
<file path=[Content_Types].xml><?xml version="1.0" encoding="utf-8"?>
<Types xmlns="http://schemas.openxmlformats.org/package/2006/content-types">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E09CC" w14:textId="77777777" w:rsidR="00DD1CED" w:rsidRDefault="00DD1CED" w:rsidP="005948C1">
      <w:pPr>
        <w:pStyle w:val="Title"/>
        <w:jc w:val="center"/>
        <w:rPr>
          <w:rFonts w:asciiTheme="minorHAnsi" w:hAnsiTheme="minorHAnsi" w:cs="Calibri"/>
          <w:b/>
          <w:sz w:val="32"/>
          <w:szCs w:val="32"/>
        </w:rPr>
      </w:pPr>
    </w:p>
    <w:p w14:paraId="469C1207" w14:textId="77777777" w:rsidR="00DD1CED" w:rsidRDefault="00DD1CED" w:rsidP="005948C1">
      <w:pPr>
        <w:pStyle w:val="Title"/>
        <w:jc w:val="center"/>
        <w:rPr>
          <w:rFonts w:asciiTheme="minorHAnsi" w:hAnsiTheme="minorHAnsi" w:cs="Calibri"/>
          <w:b/>
          <w:sz w:val="32"/>
          <w:szCs w:val="32"/>
        </w:rPr>
      </w:pPr>
    </w:p>
    <w:p w14:paraId="0B0BA23E" w14:textId="7848FFD0" w:rsidR="007E7F67" w:rsidRPr="004D5219" w:rsidRDefault="00D5205A" w:rsidP="005948C1">
      <w:pPr>
        <w:pStyle w:val="Title"/>
        <w:jc w:val="center"/>
        <w:rPr>
          <w:rFonts w:asciiTheme="minorHAnsi" w:hAnsiTheme="minorHAnsi" w:cs="Calibri"/>
          <w:b/>
          <w:sz w:val="32"/>
          <w:szCs w:val="32"/>
        </w:rPr>
      </w:pPr>
      <w:r w:rsidRPr="004D5219">
        <w:rPr>
          <w:rFonts w:asciiTheme="minorHAnsi" w:hAnsiTheme="minorHAnsi" w:cs="Calibri"/>
          <w:b/>
          <w:sz w:val="32"/>
          <w:szCs w:val="32"/>
        </w:rPr>
        <w:t>S</w:t>
      </w:r>
      <w:r w:rsidR="005A2E27" w:rsidRPr="004D5219">
        <w:rPr>
          <w:rFonts w:asciiTheme="minorHAnsi" w:hAnsiTheme="minorHAnsi" w:cs="Calibri"/>
          <w:b/>
          <w:sz w:val="32"/>
          <w:szCs w:val="32"/>
        </w:rPr>
        <w:t xml:space="preserve">iseriiklikud </w:t>
      </w:r>
      <w:r w:rsidRPr="004D5219">
        <w:rPr>
          <w:rFonts w:asciiTheme="minorHAnsi" w:hAnsiTheme="minorHAnsi" w:cs="Calibri"/>
          <w:b/>
          <w:sz w:val="32"/>
          <w:szCs w:val="32"/>
        </w:rPr>
        <w:t xml:space="preserve">sätted </w:t>
      </w:r>
      <w:r w:rsidR="005948C1">
        <w:rPr>
          <w:rFonts w:asciiTheme="minorHAnsi" w:hAnsiTheme="minorHAnsi" w:cs="Calibri"/>
          <w:b/>
          <w:sz w:val="32"/>
          <w:szCs w:val="32"/>
        </w:rPr>
        <w:t xml:space="preserve">Euroopa Komisjoni </w:t>
      </w:r>
      <w:r w:rsidR="00C5619D" w:rsidRPr="004D5219">
        <w:rPr>
          <w:rFonts w:asciiTheme="minorHAnsi" w:hAnsiTheme="minorHAnsi"/>
          <w:b/>
          <w:sz w:val="32"/>
          <w:szCs w:val="32"/>
        </w:rPr>
        <w:t>määrus</w:t>
      </w:r>
      <w:r w:rsidRPr="004D5219">
        <w:rPr>
          <w:rFonts w:asciiTheme="minorHAnsi" w:hAnsiTheme="minorHAnsi"/>
          <w:b/>
          <w:sz w:val="32"/>
          <w:szCs w:val="32"/>
        </w:rPr>
        <w:t>es</w:t>
      </w:r>
      <w:r w:rsidR="00C5619D" w:rsidRPr="004D5219">
        <w:rPr>
          <w:rFonts w:asciiTheme="minorHAnsi" w:hAnsiTheme="minorHAnsi"/>
          <w:b/>
          <w:sz w:val="32"/>
          <w:szCs w:val="32"/>
        </w:rPr>
        <w:t xml:space="preserve"> </w:t>
      </w:r>
      <w:r w:rsidRPr="004D5219">
        <w:rPr>
          <w:rFonts w:asciiTheme="minorHAnsi" w:hAnsiTheme="minorHAnsi"/>
          <w:b/>
          <w:sz w:val="32"/>
          <w:szCs w:val="32"/>
        </w:rPr>
        <w:t>(EL) 2016/631</w:t>
      </w:r>
      <w:r w:rsidR="00C5619D" w:rsidRPr="004D5219">
        <w:rPr>
          <w:rFonts w:asciiTheme="minorHAnsi" w:hAnsiTheme="minorHAnsi"/>
          <w:b/>
          <w:sz w:val="32"/>
          <w:szCs w:val="32"/>
        </w:rPr>
        <w:t xml:space="preserve"> </w:t>
      </w:r>
    </w:p>
    <w:p w14:paraId="4213787F" w14:textId="77777777" w:rsidR="008E1A17" w:rsidRPr="004D5219" w:rsidRDefault="008E1A17" w:rsidP="007E7F67">
      <w:pPr>
        <w:jc w:val="both"/>
        <w:rPr>
          <w:rFonts w:ascii="Calibri" w:hAnsi="Calibri" w:cs="Calibri"/>
          <w:lang w:val="et-EE"/>
        </w:rPr>
      </w:pPr>
    </w:p>
    <w:p w14:paraId="7870501D" w14:textId="77777777" w:rsidR="008E1A17" w:rsidRPr="004D5219" w:rsidRDefault="008E1A17" w:rsidP="007E7F67">
      <w:pPr>
        <w:jc w:val="both"/>
        <w:rPr>
          <w:rFonts w:ascii="Calibri" w:hAnsi="Calibri" w:cs="Calibri"/>
          <w:lang w:val="et-EE"/>
        </w:rPr>
      </w:pPr>
    </w:p>
    <w:p w14:paraId="63CF81B6" w14:textId="7302F8A7" w:rsidR="00A532EB" w:rsidRPr="004D5219" w:rsidRDefault="004D5219" w:rsidP="007E7F67">
      <w:pPr>
        <w:jc w:val="both"/>
        <w:rPr>
          <w:rFonts w:ascii="Calibri" w:hAnsi="Calibri" w:cs="Calibri"/>
          <w:i/>
          <w:lang w:val="et-EE"/>
        </w:rPr>
      </w:pPr>
      <w:r w:rsidRPr="004D5219">
        <w:rPr>
          <w:rFonts w:ascii="Calibri" w:hAnsi="Calibri" w:cs="Calibri"/>
          <w:i/>
          <w:lang w:val="et-EE"/>
        </w:rPr>
        <w:t xml:space="preserve">Käesolev </w:t>
      </w:r>
      <w:r>
        <w:rPr>
          <w:rFonts w:ascii="Calibri" w:hAnsi="Calibri" w:cs="Calibri"/>
          <w:i/>
          <w:lang w:val="et-EE"/>
        </w:rPr>
        <w:t xml:space="preserve">dokument </w:t>
      </w:r>
      <w:r w:rsidRPr="004D5219">
        <w:rPr>
          <w:rFonts w:ascii="Calibri" w:hAnsi="Calibri" w:cs="Calibri"/>
          <w:i/>
          <w:lang w:val="et-EE"/>
        </w:rPr>
        <w:t>baseerub</w:t>
      </w:r>
      <w:r w:rsidR="008D3597" w:rsidRPr="004D5219">
        <w:rPr>
          <w:rFonts w:ascii="Calibri" w:hAnsi="Calibri" w:cs="Calibri"/>
          <w:i/>
          <w:lang w:val="et-EE"/>
        </w:rPr>
        <w:t xml:space="preserve"> </w:t>
      </w:r>
      <w:proofErr w:type="spellStart"/>
      <w:r w:rsidR="00470D77">
        <w:rPr>
          <w:rFonts w:ascii="Calibri" w:hAnsi="Calibri" w:cs="Calibri"/>
          <w:i/>
          <w:lang w:val="et-EE"/>
        </w:rPr>
        <w:t>RfG</w:t>
      </w:r>
      <w:proofErr w:type="spellEnd"/>
      <w:r w:rsidR="00470D77">
        <w:rPr>
          <w:rFonts w:ascii="Calibri" w:hAnsi="Calibri" w:cs="Calibri"/>
          <w:i/>
          <w:lang w:val="et-EE"/>
        </w:rPr>
        <w:t xml:space="preserve"> eestikeelse</w:t>
      </w:r>
      <w:r w:rsidR="00B12324">
        <w:rPr>
          <w:rFonts w:ascii="Calibri" w:hAnsi="Calibri" w:cs="Calibri"/>
          <w:i/>
          <w:lang w:val="et-EE"/>
        </w:rPr>
        <w:t>l</w:t>
      </w:r>
      <w:r w:rsidRPr="004D5219">
        <w:rPr>
          <w:rFonts w:ascii="Calibri" w:hAnsi="Calibri" w:cs="Calibri"/>
          <w:i/>
          <w:lang w:val="et-EE"/>
        </w:rPr>
        <w:t xml:space="preserve"> versiooni</w:t>
      </w:r>
      <w:r w:rsidR="00470D77">
        <w:rPr>
          <w:rFonts w:ascii="Calibri" w:hAnsi="Calibri" w:cs="Calibri"/>
          <w:i/>
          <w:lang w:val="et-EE"/>
        </w:rPr>
        <w:t>l</w:t>
      </w:r>
      <w:r w:rsidR="00B12324">
        <w:rPr>
          <w:rFonts w:ascii="Calibri" w:hAnsi="Calibri" w:cs="Calibri"/>
          <w:i/>
          <w:lang w:val="et-EE"/>
        </w:rPr>
        <w:t xml:space="preserve">, millesse on integreeritud </w:t>
      </w:r>
      <w:r w:rsidR="005948C1">
        <w:rPr>
          <w:rFonts w:ascii="Calibri" w:hAnsi="Calibri" w:cs="Calibri"/>
          <w:i/>
          <w:lang w:val="et-EE"/>
        </w:rPr>
        <w:t>Konkurentsiameti 08.11.2018 otsusega</w:t>
      </w:r>
      <w:r w:rsidR="005948C1" w:rsidRPr="005948C1">
        <w:rPr>
          <w:rFonts w:ascii="Calibri" w:hAnsi="Calibri" w:cs="Calibri"/>
          <w:i/>
          <w:lang w:val="et-EE"/>
        </w:rPr>
        <w:t xml:space="preserve"> nr 7-26/2018-005</w:t>
      </w:r>
      <w:r w:rsidR="005948C1">
        <w:rPr>
          <w:rFonts w:ascii="Calibri" w:hAnsi="Calibri" w:cs="Calibri"/>
          <w:i/>
          <w:lang w:val="et-EE"/>
        </w:rPr>
        <w:t xml:space="preserve"> kooskõlastatud ja </w:t>
      </w:r>
      <w:proofErr w:type="spellStart"/>
      <w:r w:rsidR="00B12324">
        <w:rPr>
          <w:rFonts w:ascii="Calibri" w:hAnsi="Calibri" w:cs="Calibri"/>
          <w:i/>
          <w:lang w:val="et-EE"/>
        </w:rPr>
        <w:t>Elering</w:t>
      </w:r>
      <w:proofErr w:type="spellEnd"/>
      <w:r w:rsidR="00B12324">
        <w:rPr>
          <w:rFonts w:ascii="Calibri" w:hAnsi="Calibri" w:cs="Calibri"/>
          <w:i/>
          <w:lang w:val="et-EE"/>
        </w:rPr>
        <w:t xml:space="preserve"> AS-i poolt kehtestatud </w:t>
      </w:r>
      <w:r w:rsidR="0083636E">
        <w:rPr>
          <w:rFonts w:ascii="Calibri" w:hAnsi="Calibri" w:cs="Calibri"/>
          <w:i/>
          <w:lang w:val="et-EE"/>
        </w:rPr>
        <w:t>siseriiklikult reguleeritavad sätted</w:t>
      </w:r>
      <w:r w:rsidR="00B12324">
        <w:rPr>
          <w:rFonts w:ascii="Calibri" w:hAnsi="Calibri" w:cs="Calibri"/>
          <w:i/>
          <w:lang w:val="et-EE"/>
        </w:rPr>
        <w:t xml:space="preserve"> (</w:t>
      </w:r>
      <w:r w:rsidR="009E50CD">
        <w:rPr>
          <w:rFonts w:ascii="Calibri" w:hAnsi="Calibri" w:cs="Calibri"/>
          <w:i/>
          <w:lang w:val="et-EE"/>
        </w:rPr>
        <w:t>tähistatud</w:t>
      </w:r>
      <w:r w:rsidR="008D3597" w:rsidRPr="004D5219">
        <w:rPr>
          <w:rFonts w:ascii="Calibri" w:hAnsi="Calibri" w:cs="Calibri"/>
          <w:i/>
          <w:lang w:val="et-EE"/>
        </w:rPr>
        <w:t xml:space="preserve"> </w:t>
      </w:r>
      <w:r w:rsidR="008D3597" w:rsidRPr="00746720">
        <w:rPr>
          <w:rFonts w:ascii="Calibri" w:hAnsi="Calibri" w:cs="Calibri"/>
          <w:i/>
          <w:highlight w:val="cyan"/>
          <w:lang w:val="et-EE"/>
        </w:rPr>
        <w:t>sinise</w:t>
      </w:r>
      <w:r w:rsidR="009E50CD" w:rsidRPr="00746720">
        <w:rPr>
          <w:rFonts w:ascii="Calibri" w:hAnsi="Calibri" w:cs="Calibri"/>
          <w:i/>
          <w:highlight w:val="cyan"/>
          <w:lang w:val="et-EE"/>
        </w:rPr>
        <w:t xml:space="preserve"> tausta</w:t>
      </w:r>
      <w:r w:rsidR="008D3597" w:rsidRPr="00746720">
        <w:rPr>
          <w:rFonts w:ascii="Calibri" w:hAnsi="Calibri" w:cs="Calibri"/>
          <w:i/>
          <w:highlight w:val="cyan"/>
          <w:lang w:val="et-EE"/>
        </w:rPr>
        <w:t>ga</w:t>
      </w:r>
      <w:r w:rsidR="00B12324">
        <w:rPr>
          <w:rFonts w:ascii="Calibri" w:hAnsi="Calibri" w:cs="Calibri"/>
          <w:i/>
          <w:lang w:val="et-EE"/>
        </w:rPr>
        <w:t>)</w:t>
      </w:r>
      <w:r w:rsidR="008D3597" w:rsidRPr="004D5219">
        <w:rPr>
          <w:rFonts w:ascii="Calibri" w:hAnsi="Calibri" w:cs="Calibri"/>
          <w:i/>
          <w:lang w:val="et-EE"/>
        </w:rPr>
        <w:t>.</w:t>
      </w:r>
      <w:r w:rsidR="00470D77">
        <w:rPr>
          <w:rFonts w:ascii="Calibri" w:hAnsi="Calibri" w:cs="Calibri"/>
          <w:i/>
          <w:lang w:val="et-EE"/>
        </w:rPr>
        <w:t xml:space="preserve"> </w:t>
      </w:r>
      <w:r w:rsidR="00B12324">
        <w:rPr>
          <w:rFonts w:ascii="Calibri" w:hAnsi="Calibri" w:cs="Calibri"/>
          <w:i/>
          <w:lang w:val="et-EE"/>
        </w:rPr>
        <w:t>Dokument on loodud</w:t>
      </w:r>
      <w:r w:rsidR="005948C1">
        <w:rPr>
          <w:rFonts w:ascii="Calibri" w:hAnsi="Calibri" w:cs="Calibri"/>
          <w:i/>
          <w:lang w:val="et-EE"/>
        </w:rPr>
        <w:t xml:space="preserve"> abistava juhendmaterjalina</w:t>
      </w:r>
      <w:r w:rsidR="00B12324">
        <w:rPr>
          <w:rFonts w:ascii="Calibri" w:hAnsi="Calibri" w:cs="Calibri"/>
          <w:i/>
          <w:lang w:val="et-EE"/>
        </w:rPr>
        <w:t xml:space="preserve"> elektritootmisüksuste võrku ühendamise nõuetest tervikliku ülevaate saamiseks ja informatsiooni paremaks süstematiseerimiseks.</w:t>
      </w:r>
    </w:p>
    <w:p w14:paraId="3F4854FE" w14:textId="77777777" w:rsidR="00A532EB" w:rsidRPr="004D5219" w:rsidRDefault="00A532EB" w:rsidP="007E7F67">
      <w:pPr>
        <w:jc w:val="both"/>
        <w:rPr>
          <w:rFonts w:ascii="Calibri" w:hAnsi="Calibri" w:cs="Calibri"/>
          <w:i/>
          <w:lang w:val="et-EE"/>
        </w:rPr>
      </w:pPr>
    </w:p>
    <w:p w14:paraId="57D58088" w14:textId="1F89E29C" w:rsidR="007E7F67" w:rsidRPr="004D5219" w:rsidRDefault="007E7F67">
      <w:pPr>
        <w:rPr>
          <w:rFonts w:ascii="Calibri" w:hAnsi="Calibri" w:cs="Calibri"/>
          <w:sz w:val="20"/>
          <w:lang w:val="et-EE"/>
        </w:rPr>
      </w:pPr>
    </w:p>
    <w:p w14:paraId="54F6C7D1" w14:textId="3D50E632" w:rsidR="008E1A17" w:rsidRPr="004D5219" w:rsidRDefault="008E1A17" w:rsidP="009B6E1D">
      <w:pPr>
        <w:pStyle w:val="ti-section-1"/>
        <w:tabs>
          <w:tab w:val="center" w:pos="4725"/>
          <w:tab w:val="left" w:pos="7095"/>
        </w:tabs>
        <w:spacing w:before="480" w:beforeAutospacing="0" w:after="0" w:afterAutospacing="0"/>
        <w:jc w:val="center"/>
        <w:rPr>
          <w:b/>
          <w:bCs/>
          <w:color w:val="000000"/>
          <w:lang w:val="et-EE"/>
        </w:rPr>
      </w:pPr>
      <w:r w:rsidRPr="004D5219">
        <w:rPr>
          <w:b/>
          <w:bCs/>
          <w:color w:val="000000"/>
          <w:lang w:val="et-EE"/>
        </w:rPr>
        <w:t>II Muud kui seadusandlikud aktid</w:t>
      </w:r>
    </w:p>
    <w:p w14:paraId="1A5C7651" w14:textId="77777777" w:rsidR="008E1A17" w:rsidRPr="004D5219" w:rsidRDefault="008E1A17" w:rsidP="008E1A17">
      <w:pPr>
        <w:widowControl/>
        <w:autoSpaceDE/>
        <w:autoSpaceDN/>
        <w:spacing w:before="75" w:after="120"/>
        <w:jc w:val="center"/>
        <w:rPr>
          <w:rFonts w:ascii="Times New Roman" w:eastAsia="Times New Roman" w:hAnsi="Times New Roman" w:cs="Times New Roman"/>
          <w:b/>
          <w:bCs/>
          <w:color w:val="000000"/>
          <w:sz w:val="24"/>
          <w:szCs w:val="24"/>
          <w:lang w:val="et-EE" w:bidi="ar-SA"/>
        </w:rPr>
      </w:pPr>
      <w:r w:rsidRPr="004D5219">
        <w:rPr>
          <w:rFonts w:ascii="Times New Roman" w:eastAsia="Times New Roman" w:hAnsi="Times New Roman" w:cs="Times New Roman"/>
          <w:b/>
          <w:bCs/>
          <w:color w:val="000000"/>
          <w:sz w:val="24"/>
          <w:szCs w:val="24"/>
          <w:lang w:val="et-EE" w:bidi="ar-SA"/>
        </w:rPr>
        <w:t>MÄÄRUSED</w:t>
      </w:r>
    </w:p>
    <w:tbl>
      <w:tblPr>
        <w:tblW w:w="5000" w:type="pct"/>
        <w:tblCellSpacing w:w="0" w:type="dxa"/>
        <w:tblCellMar>
          <w:left w:w="0" w:type="dxa"/>
          <w:right w:w="0" w:type="dxa"/>
        </w:tblCellMar>
        <w:tblLook w:val="04A0" w:firstRow="1" w:lastRow="0" w:firstColumn="1" w:lastColumn="0" w:noHBand="0" w:noVBand="1"/>
      </w:tblPr>
      <w:tblGrid>
        <w:gridCol w:w="2477"/>
        <w:gridCol w:w="639"/>
        <w:gridCol w:w="4695"/>
        <w:gridCol w:w="1639"/>
      </w:tblGrid>
      <w:tr w:rsidR="008E1A17" w:rsidRPr="004D5219" w14:paraId="77004704" w14:textId="77777777" w:rsidTr="008E1A17">
        <w:trPr>
          <w:tblCellSpacing w:w="0" w:type="dxa"/>
        </w:trPr>
        <w:tc>
          <w:tcPr>
            <w:tcW w:w="0" w:type="auto"/>
            <w:vAlign w:val="center"/>
            <w:hideMark/>
          </w:tcPr>
          <w:p w14:paraId="6833CFA6" w14:textId="77777777" w:rsidR="008E1A17" w:rsidRPr="004D5219" w:rsidRDefault="008E1A17" w:rsidP="008E1A17">
            <w:pPr>
              <w:widowControl/>
              <w:autoSpaceDE/>
              <w:autoSpaceDN/>
              <w:spacing w:before="120" w:after="120"/>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27.4.2016   </w:t>
            </w:r>
          </w:p>
        </w:tc>
        <w:tc>
          <w:tcPr>
            <w:tcW w:w="0" w:type="auto"/>
            <w:vAlign w:val="center"/>
            <w:hideMark/>
          </w:tcPr>
          <w:p w14:paraId="26B2056C" w14:textId="77777777" w:rsidR="008E1A17" w:rsidRPr="004D5219" w:rsidRDefault="008E1A17" w:rsidP="008E1A17">
            <w:pPr>
              <w:widowControl/>
              <w:pBdr>
                <w:top w:val="single" w:sz="6" w:space="0" w:color="000000"/>
                <w:left w:val="single" w:sz="6" w:space="0" w:color="000000"/>
                <w:bottom w:val="single" w:sz="6" w:space="0" w:color="000000"/>
                <w:right w:val="single" w:sz="6" w:space="0" w:color="000000"/>
              </w:pBdr>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ET</w:t>
            </w:r>
          </w:p>
        </w:tc>
        <w:tc>
          <w:tcPr>
            <w:tcW w:w="0" w:type="auto"/>
            <w:vAlign w:val="center"/>
            <w:hideMark/>
          </w:tcPr>
          <w:p w14:paraId="1686CC37"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Euroopa Liidu Teataja</w:t>
            </w:r>
          </w:p>
        </w:tc>
        <w:tc>
          <w:tcPr>
            <w:tcW w:w="0" w:type="auto"/>
            <w:vAlign w:val="center"/>
            <w:hideMark/>
          </w:tcPr>
          <w:p w14:paraId="4C551480" w14:textId="77777777" w:rsidR="008E1A17" w:rsidRPr="004D5219" w:rsidRDefault="008E1A17" w:rsidP="008E1A17">
            <w:pPr>
              <w:widowControl/>
              <w:autoSpaceDE/>
              <w:autoSpaceDN/>
              <w:spacing w:before="120" w:after="120"/>
              <w:jc w:val="right"/>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 112/1</w:t>
            </w:r>
          </w:p>
        </w:tc>
      </w:tr>
    </w:tbl>
    <w:p w14:paraId="60B16075" w14:textId="77777777" w:rsidR="008E1A17" w:rsidRPr="004D5219" w:rsidRDefault="00C4789E" w:rsidP="008E1A17">
      <w:pPr>
        <w:widowControl/>
        <w:autoSpaceDE/>
        <w:autoSpaceDN/>
        <w:spacing w:before="60" w:after="60"/>
        <w:rPr>
          <w:rFonts w:ascii="Times New Roman" w:eastAsia="Times New Roman" w:hAnsi="Times New Roman" w:cs="Times New Roman"/>
          <w:color w:val="000000"/>
          <w:sz w:val="24"/>
          <w:szCs w:val="24"/>
          <w:lang w:val="et-EE" w:bidi="ar-SA"/>
        </w:rPr>
      </w:pPr>
      <w:r>
        <w:rPr>
          <w:rFonts w:ascii="Times New Roman" w:eastAsia="Times New Roman" w:hAnsi="Times New Roman" w:cs="Times New Roman"/>
          <w:noProof/>
          <w:color w:val="000000"/>
          <w:sz w:val="24"/>
          <w:szCs w:val="24"/>
          <w:lang w:val="et-EE" w:bidi="ar-SA"/>
        </w:rPr>
        <w:pict w14:anchorId="74531CAE">
          <v:rect id="_x0000_i1025" alt="" style="width:991.5pt;height:.75pt;mso-width-percent:0;mso-height-percent:0;mso-width-percent:0;mso-height-percent:0" o:hrpct="0" o:hralign="center" o:hrstd="t" o:hrnoshade="t" o:hr="t" fillcolor="black" stroked="f"/>
        </w:pict>
      </w:r>
    </w:p>
    <w:p w14:paraId="0FCE5A06" w14:textId="77777777" w:rsidR="008E1A17" w:rsidRPr="004D5219" w:rsidRDefault="008E1A17" w:rsidP="008E1A17">
      <w:pPr>
        <w:widowControl/>
        <w:autoSpaceDE/>
        <w:autoSpaceDN/>
        <w:spacing w:before="24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KOMISJONI MÄÄRUS (EL) 2016/631,</w:t>
      </w:r>
    </w:p>
    <w:p w14:paraId="7A6052C5" w14:textId="77777777" w:rsidR="008E1A17" w:rsidRPr="004D5219" w:rsidRDefault="008E1A17" w:rsidP="008E1A17">
      <w:pPr>
        <w:widowControl/>
        <w:autoSpaceDE/>
        <w:autoSpaceDN/>
        <w:spacing w:before="24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14. aprill 2016,</w:t>
      </w:r>
    </w:p>
    <w:p w14:paraId="5C54516A" w14:textId="77777777" w:rsidR="008E1A17" w:rsidRPr="004D5219" w:rsidRDefault="008E1A17" w:rsidP="008E1A17">
      <w:pPr>
        <w:widowControl/>
        <w:autoSpaceDE/>
        <w:autoSpaceDN/>
        <w:spacing w:before="24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millega kehtestatakse võrgueeskiri elektritootmisüksuste võrku ühendamise nõuete kohta</w:t>
      </w:r>
    </w:p>
    <w:p w14:paraId="29C44778" w14:textId="77777777" w:rsidR="008E1A17" w:rsidRPr="004D5219" w:rsidRDefault="008E1A17" w:rsidP="008E1A17">
      <w:pPr>
        <w:widowControl/>
        <w:autoSpaceDE/>
        <w:autoSpaceDN/>
        <w:spacing w:before="24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EMPs</w:t>
      </w:r>
      <w:proofErr w:type="spellEnd"/>
      <w:r w:rsidRPr="004D5219">
        <w:rPr>
          <w:rFonts w:ascii="inherit" w:eastAsia="Times New Roman" w:hAnsi="inherit" w:cs="Times New Roman"/>
          <w:b/>
          <w:bCs/>
          <w:color w:val="000000"/>
          <w:sz w:val="24"/>
          <w:szCs w:val="24"/>
          <w:lang w:val="et-EE" w:bidi="ar-SA"/>
        </w:rPr>
        <w:t xml:space="preserve"> kohaldatav tekst)</w:t>
      </w:r>
    </w:p>
    <w:p w14:paraId="69F6990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EUROOPA KOMISJON,</w:t>
      </w:r>
    </w:p>
    <w:p w14:paraId="345900C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võttes arvesse Euroopa Liidu toimimise lepingut,</w:t>
      </w:r>
    </w:p>
    <w:p w14:paraId="558083D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võttes arvesse Euroopa Parlamendi ja nõukogu 13. juuli 2009. aasta määrust (EÜ) nr 714/2009 võrkudele juurdepääsu tingimuste kohta piiriüleses elektrikaubanduses ning millega tunnistatakse kehtetuks määrus (EÜ) nr 1228/2003,</w:t>
      </w:r>
      <w:hyperlink r:id="rId7" w:anchor="ntr1-L_2016112ET.01000101-E0001"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1</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color w:val="000000"/>
          <w:sz w:val="24"/>
          <w:szCs w:val="24"/>
          <w:lang w:val="et-EE" w:bidi="ar-SA"/>
        </w:rPr>
        <w:t> eriti selle artikli 6 lõiget 11,</w:t>
      </w:r>
    </w:p>
    <w:p w14:paraId="3E4F11B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ning arvestades järgmist:</w:t>
      </w:r>
    </w:p>
    <w:tbl>
      <w:tblPr>
        <w:tblW w:w="5000" w:type="pct"/>
        <w:tblCellSpacing w:w="0" w:type="dxa"/>
        <w:tblLayout w:type="fixed"/>
        <w:tblCellMar>
          <w:left w:w="0" w:type="dxa"/>
          <w:right w:w="0" w:type="dxa"/>
        </w:tblCellMar>
        <w:tblLook w:val="04A0" w:firstRow="1" w:lastRow="0" w:firstColumn="1" w:lastColumn="0" w:noHBand="0" w:noVBand="1"/>
      </w:tblPr>
      <w:tblGrid>
        <w:gridCol w:w="280"/>
        <w:gridCol w:w="9170"/>
      </w:tblGrid>
      <w:tr w:rsidR="008E1A17" w:rsidRPr="00A2039D" w14:paraId="1BE793DF" w14:textId="77777777" w:rsidTr="008B3B13">
        <w:trPr>
          <w:tblCellSpacing w:w="0" w:type="dxa"/>
        </w:trPr>
        <w:tc>
          <w:tcPr>
            <w:tcW w:w="148" w:type="pct"/>
            <w:hideMark/>
          </w:tcPr>
          <w:p w14:paraId="7A66A8C9"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w:t>
            </w:r>
          </w:p>
        </w:tc>
        <w:tc>
          <w:tcPr>
            <w:tcW w:w="9170" w:type="dxa"/>
            <w:hideMark/>
          </w:tcPr>
          <w:p w14:paraId="4F662007"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Täielikult toimiva ühise energiasiseturu väljakujundamise kiire </w:t>
            </w:r>
            <w:proofErr w:type="spellStart"/>
            <w:r w:rsidRPr="004D5219">
              <w:rPr>
                <w:rFonts w:ascii="inherit" w:eastAsia="Times New Roman" w:hAnsi="inherit" w:cs="Times New Roman"/>
                <w:sz w:val="24"/>
                <w:szCs w:val="24"/>
                <w:lang w:val="et-EE" w:bidi="ar-SA"/>
              </w:rPr>
              <w:t>lõpuleviimine</w:t>
            </w:r>
            <w:proofErr w:type="spellEnd"/>
            <w:r w:rsidRPr="004D5219">
              <w:rPr>
                <w:rFonts w:ascii="inherit" w:eastAsia="Times New Roman" w:hAnsi="inherit" w:cs="Times New Roman"/>
                <w:sz w:val="24"/>
                <w:szCs w:val="24"/>
                <w:lang w:val="et-EE" w:bidi="ar-SA"/>
              </w:rPr>
              <w:t xml:space="preserve"> on äärmiselt tähtis energiavarustuskindluse tagamiseks, konkurentsivõime suurendamiseks ja kõigile tarbijatele taskukohase hinnaga ele</w:t>
            </w:r>
            <w:bookmarkStart w:id="0" w:name="_GoBack"/>
            <w:bookmarkEnd w:id="0"/>
            <w:r w:rsidRPr="004D5219">
              <w:rPr>
                <w:rFonts w:ascii="inherit" w:eastAsia="Times New Roman" w:hAnsi="inherit" w:cs="Times New Roman"/>
                <w:sz w:val="24"/>
                <w:szCs w:val="24"/>
                <w:lang w:val="et-EE" w:bidi="ar-SA"/>
              </w:rPr>
              <w:t>ktrienergia pakkumiseks.</w:t>
            </w:r>
          </w:p>
        </w:tc>
      </w:tr>
    </w:tbl>
    <w:p w14:paraId="1E2097FF"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65C1E11F" w14:textId="77777777" w:rsidTr="008E1A17">
        <w:trPr>
          <w:tblCellSpacing w:w="0" w:type="dxa"/>
        </w:trPr>
        <w:tc>
          <w:tcPr>
            <w:tcW w:w="0" w:type="auto"/>
            <w:hideMark/>
          </w:tcPr>
          <w:p w14:paraId="6373DE23"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w:t>
            </w:r>
          </w:p>
        </w:tc>
        <w:tc>
          <w:tcPr>
            <w:tcW w:w="0" w:type="auto"/>
            <w:hideMark/>
          </w:tcPr>
          <w:p w14:paraId="6F1DD002"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Määruses (EÜ) nr 714/2009 on sätestatud mittediskrimineerivad eeskirjad, millega reguleeritakse võrgule juurdepääsu piiriüleses elektrikaubanduses, et tagada elektri siseturu nõuetekohane toimimine. Lisaks sellele on Euroopa Parlamendi ja nõukogu direktiivi 2009/72/EÜ</w:t>
            </w:r>
            <w:hyperlink r:id="rId8" w:anchor="ntr2-L_2016112ET.01000101-E0002"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2</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sz w:val="24"/>
                <w:szCs w:val="24"/>
                <w:lang w:val="et-EE" w:bidi="ar-SA"/>
              </w:rPr>
              <w:t xml:space="preserve"> artikliga 5 ette nähtud, et liikmesriigid või, kui liikmesriigid on nii sätestanud, reguleerivad asutused tagavad muu hulgas selle, et töötatakse välja objektiivsed ja mittediskrimineerivad tehnilised eeskirjad, millega kehtestatakse süsteemi ühendamise tehnilise projekteerimise ja talitluse miinimumnõuded. Kui nõuetega on ette nähtud tingimused liikmesriigi võrku ühendamiseks, on sama direktiivi artikli 37 lõikes 6 sätestatud, et reguleerivad asutused on kohustatud sätestama või heaks kiitma vähemalt selliste tingimuste arvutamise või kehtestamise metoodika. Selleks, et tagada süsteemi turvalisus ühises ülekandesüsteemis, on oluline luua ühtne arusaamine nõuetest, mida kohaldada tootmismoodulite suhtes. Kõnealuseid nõudeid, mis aitavad säilitada ja taastada süsteemi turvalisust, hõlbustada elektri siseturu nõuetekohast toimimist sünkroonaladel ja </w:t>
            </w:r>
            <w:r w:rsidRPr="004D5219">
              <w:rPr>
                <w:rFonts w:ascii="inherit" w:eastAsia="Times New Roman" w:hAnsi="inherit" w:cs="Times New Roman"/>
                <w:sz w:val="24"/>
                <w:szCs w:val="24"/>
                <w:lang w:val="et-EE" w:bidi="ar-SA"/>
              </w:rPr>
              <w:lastRenderedPageBreak/>
              <w:t>sünkroonalade vahel ning saavutada kulude kokkuhoidu, tuleks käsitada kui piiriüleste võrkude küsimust ja turgude ühendamise küsimust.</w:t>
            </w:r>
          </w:p>
        </w:tc>
      </w:tr>
    </w:tbl>
    <w:p w14:paraId="59E660F7"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0EB8DBF3" w14:textId="77777777" w:rsidTr="008E1A17">
        <w:trPr>
          <w:tblCellSpacing w:w="0" w:type="dxa"/>
        </w:trPr>
        <w:tc>
          <w:tcPr>
            <w:tcW w:w="0" w:type="auto"/>
            <w:hideMark/>
          </w:tcPr>
          <w:p w14:paraId="7622C37C"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(3)</w:t>
            </w:r>
          </w:p>
        </w:tc>
        <w:tc>
          <w:tcPr>
            <w:tcW w:w="0" w:type="auto"/>
            <w:hideMark/>
          </w:tcPr>
          <w:p w14:paraId="2EB2717F"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Tuleks sätestada tootmisüksuste võrguühenduse ühtlustatud reeglid selleks, et luua võrguühenduste selge õigusraamistik liiduülese elektrikaubanduse hõlbustamiseks, tagada süsteemi turvalisus, lihtsustada taastuvate elektrienergiaallikate ühendamist, suurendada konkurentsi ning võimaldada elektrivõrgu ja ressursside tõhusamat kasutamist tarbijate hüvanguks.</w:t>
            </w:r>
          </w:p>
        </w:tc>
      </w:tr>
    </w:tbl>
    <w:p w14:paraId="64DA9F57"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46204F13" w14:textId="77777777" w:rsidTr="008E1A17">
        <w:trPr>
          <w:tblCellSpacing w:w="0" w:type="dxa"/>
        </w:trPr>
        <w:tc>
          <w:tcPr>
            <w:tcW w:w="0" w:type="auto"/>
            <w:hideMark/>
          </w:tcPr>
          <w:p w14:paraId="321FB0F0"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(4)</w:t>
            </w:r>
          </w:p>
        </w:tc>
        <w:tc>
          <w:tcPr>
            <w:tcW w:w="0" w:type="auto"/>
            <w:hideMark/>
          </w:tcPr>
          <w:p w14:paraId="04D3A2FC"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Süsteemi turvalisus sõltub osaliselt tootmismoodulite tehnilisest suutlikkusest. Seetõttu on süsteemi töökindluse põhieeldusteks korrapärane koordineerimine jaotus- ja ülekandevõrkude tasandil ning jaotus- ja ülekandevõrku ühendatud seadmete nõuetekohane </w:t>
            </w:r>
            <w:proofErr w:type="spellStart"/>
            <w:r w:rsidRPr="004D5219">
              <w:rPr>
                <w:rFonts w:ascii="inherit" w:eastAsia="Times New Roman" w:hAnsi="inherit" w:cs="Times New Roman"/>
                <w:sz w:val="24"/>
                <w:szCs w:val="24"/>
                <w:lang w:val="et-EE" w:bidi="ar-SA"/>
              </w:rPr>
              <w:t>toimivus</w:t>
            </w:r>
            <w:proofErr w:type="spellEnd"/>
            <w:r w:rsidRPr="004D5219">
              <w:rPr>
                <w:rFonts w:ascii="inherit" w:eastAsia="Times New Roman" w:hAnsi="inherit" w:cs="Times New Roman"/>
                <w:sz w:val="24"/>
                <w:szCs w:val="24"/>
                <w:lang w:val="et-EE" w:bidi="ar-SA"/>
              </w:rPr>
              <w:t>, aga ka vajalik talitluskindlus toimetulekuks häiringutega, et vältida ulatuslikke katkestusi või aidata pärast lagunemist süsteemi taastada.</w:t>
            </w:r>
          </w:p>
        </w:tc>
      </w:tr>
    </w:tbl>
    <w:p w14:paraId="60866836"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68B9FF00" w14:textId="77777777" w:rsidTr="008E1A17">
        <w:trPr>
          <w:tblCellSpacing w:w="0" w:type="dxa"/>
        </w:trPr>
        <w:tc>
          <w:tcPr>
            <w:tcW w:w="0" w:type="auto"/>
            <w:hideMark/>
          </w:tcPr>
          <w:p w14:paraId="1F58D76E"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(5)</w:t>
            </w:r>
          </w:p>
        </w:tc>
        <w:tc>
          <w:tcPr>
            <w:tcW w:w="0" w:type="auto"/>
            <w:hideMark/>
          </w:tcPr>
          <w:p w14:paraId="2E4D5B72"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Süsteem saab turvaliselt toimida üksnes siis, kui tootmisüksuste omanikud ja võrguettevõtjad teevad tihedat koostööd. Eelkõige ebaharilikes talitlustingimustes sõltub süsteemi toimimine sellest, kuidas talitlevad tootmismoodulid häiringute korral, kui pinge erineb pinge võrdlusväärtusest 1 (suhtelistes ühikutes,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ja sagedus nimisagedusest. Insener-tehnilisest vaatekohast käsitatakse võrkusid ja tootmismooduleid seoses süsteemi turvalisusega ühtse vastastikku seotud osadest elektrisüsteemina. Seepärast tuleks võrguga ühendamise eeltingimusena kehtestada tootmismoodulite kohta asjakohased tehnilised nõuded.</w:t>
            </w:r>
          </w:p>
        </w:tc>
      </w:tr>
    </w:tbl>
    <w:p w14:paraId="427893FE"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38617274" w14:textId="77777777" w:rsidTr="008E1A17">
        <w:trPr>
          <w:tblCellSpacing w:w="0" w:type="dxa"/>
        </w:trPr>
        <w:tc>
          <w:tcPr>
            <w:tcW w:w="0" w:type="auto"/>
            <w:hideMark/>
          </w:tcPr>
          <w:p w14:paraId="26D24DD1"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(6)</w:t>
            </w:r>
          </w:p>
        </w:tc>
        <w:tc>
          <w:tcPr>
            <w:tcW w:w="0" w:type="auto"/>
            <w:hideMark/>
          </w:tcPr>
          <w:p w14:paraId="6D001CE5"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Reguleerivad asutused peavad kaaluma, millised on mõistlikud kulud, mis tekivad võrguettevõtjatel käesoleva määruse rakendamisel,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14:paraId="0D70B053"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7410CD7B" w14:textId="77777777" w:rsidTr="008E1A17">
        <w:trPr>
          <w:tblCellSpacing w:w="0" w:type="dxa"/>
        </w:trPr>
        <w:tc>
          <w:tcPr>
            <w:tcW w:w="0" w:type="auto"/>
            <w:hideMark/>
          </w:tcPr>
          <w:p w14:paraId="37290E02"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(7)</w:t>
            </w:r>
          </w:p>
        </w:tc>
        <w:tc>
          <w:tcPr>
            <w:tcW w:w="0" w:type="auto"/>
            <w:hideMark/>
          </w:tcPr>
          <w:p w14:paraId="3D0B42DC"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Erinevatel sünkroonsetel elektrisüsteemidel Euroopa Liidus on erinevad näitajad, mida tuleb arvesse võtta, kui määratakse kindlaks nõuded tootmisüksuste kohta. Seepärast on asjakohane võtta võrguühenduste eeskirjade kehtestamisel arvesse piirkondlikke eripärasid, nagu on nõutud määruse (EÜ) nr 714/2009 artikli 8 lõikes 6.</w:t>
            </w:r>
          </w:p>
        </w:tc>
      </w:tr>
    </w:tbl>
    <w:p w14:paraId="43A7E68A"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4C9FE146" w14:textId="77777777" w:rsidTr="008E1A17">
        <w:trPr>
          <w:tblCellSpacing w:w="0" w:type="dxa"/>
        </w:trPr>
        <w:tc>
          <w:tcPr>
            <w:tcW w:w="0" w:type="auto"/>
            <w:hideMark/>
          </w:tcPr>
          <w:p w14:paraId="1B44038B"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(8)</w:t>
            </w:r>
          </w:p>
        </w:tc>
        <w:tc>
          <w:tcPr>
            <w:tcW w:w="0" w:type="auto"/>
            <w:hideMark/>
          </w:tcPr>
          <w:p w14:paraId="1B48A2F2"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Pidades silmas õiguskindluse tagamise vajadust, tuleks käesoleva määruse nõudeid kohaldada uute tootmisüksuste suhtes, kuid neid ei tuleks kohaldada olemasolevate tootmismoodulite ja veel ehitamata, kuid kavandamise lõppjärgus olevate seadmete suhtes, välja arvatud juhul, kui asjaomane reguleeriv asutus või liikmesriik otsustab teisiti seoses süsteeminõuete arenemisega, tasuvusanalüüsiga ja selliste tootmisüksuste ulatusliku ajakohastamisega.</w:t>
            </w:r>
          </w:p>
        </w:tc>
      </w:tr>
    </w:tbl>
    <w:p w14:paraId="2C921F96" w14:textId="77777777" w:rsidR="008E1A17" w:rsidRPr="004D5219" w:rsidRDefault="008E1A17" w:rsidP="008B3B13">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37BFD791" w14:textId="77777777" w:rsidTr="008E1A17">
        <w:trPr>
          <w:tblCellSpacing w:w="0" w:type="dxa"/>
        </w:trPr>
        <w:tc>
          <w:tcPr>
            <w:tcW w:w="0" w:type="auto"/>
            <w:hideMark/>
          </w:tcPr>
          <w:p w14:paraId="7CD27935" w14:textId="77777777" w:rsidR="008E1A17" w:rsidRPr="004D5219" w:rsidRDefault="008E1A17" w:rsidP="008B3B1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(9)</w:t>
            </w:r>
          </w:p>
        </w:tc>
        <w:tc>
          <w:tcPr>
            <w:tcW w:w="0" w:type="auto"/>
            <w:hideMark/>
          </w:tcPr>
          <w:p w14:paraId="3180DD8A" w14:textId="77777777" w:rsidR="008E1A17" w:rsidRPr="004D5219" w:rsidRDefault="008E1A17" w:rsidP="008B3B13">
            <w:pPr>
              <w:widowControl/>
              <w:autoSpaceDE/>
              <w:autoSpaceDN/>
              <w:spacing w:before="120"/>
              <w:ind w:left="145"/>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Tootmismoodulite olulisuse hindamisel tuleks arvestada nende suurust ja mõju kogu süsteemis. Sünkroonseadmeid tuleks liigitada seadme suuruse järgi ja võtta arvesse kõik tootmisüksuse osad, mis on tavaliselt eraldamatud, näiteks ühe kombineeritud tsükliga gaasiturbiinpaigaldise eraldi gaasi- või auruturbiini jõul töötavad generaatorid. Kui tootmisüksuses on mitu sellist kombineeritud tsükliga gaasiturbiinpaigaldist, tuleks suuruse järgi hinnata neist igaüht eraldi, mitte kogu üksust tervikuna. Mittesünkroonselt ühendatud tootmisseadmeid, kui need on koos ja moodustavad ühe majandusüksuse ja kui neil on üks ühenduspunkt, tuleks hinnata nende koguvõimsuse järgi.</w:t>
            </w:r>
          </w:p>
        </w:tc>
      </w:tr>
    </w:tbl>
    <w:p w14:paraId="55BDA6B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0BEC2175" w14:textId="77777777" w:rsidTr="008E1A17">
        <w:trPr>
          <w:tblCellSpacing w:w="0" w:type="dxa"/>
        </w:trPr>
        <w:tc>
          <w:tcPr>
            <w:tcW w:w="0" w:type="auto"/>
            <w:hideMark/>
          </w:tcPr>
          <w:p w14:paraId="67B2DBC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(10)</w:t>
            </w:r>
          </w:p>
        </w:tc>
        <w:tc>
          <w:tcPr>
            <w:tcW w:w="0" w:type="auto"/>
            <w:hideMark/>
          </w:tcPr>
          <w:p w14:paraId="53A56A4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Arvestades seda, et eri tootmisüksused võivad olla ühendatud erineval pingel, ning võttes arvesse nende maksimaalset tootmisvõimsust, tuleks käesoleva määruse puhul eristada eri tüüpi tootmisüksusi ja sätestada erinevad nõuete tasandid. Käesolevas määruses ei sätestata reegleid tootmismooduli ühenduspunkti pinge kindlaks määramiseks.</w:t>
            </w:r>
          </w:p>
        </w:tc>
      </w:tr>
    </w:tbl>
    <w:p w14:paraId="7CCC474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0382271B" w14:textId="77777777" w:rsidTr="008E1A17">
        <w:trPr>
          <w:tblCellSpacing w:w="0" w:type="dxa"/>
        </w:trPr>
        <w:tc>
          <w:tcPr>
            <w:tcW w:w="0" w:type="auto"/>
            <w:hideMark/>
          </w:tcPr>
          <w:p w14:paraId="43D7CE2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(11)</w:t>
            </w:r>
          </w:p>
        </w:tc>
        <w:tc>
          <w:tcPr>
            <w:tcW w:w="0" w:type="auto"/>
            <w:hideMark/>
          </w:tcPr>
          <w:p w14:paraId="490C9A2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Nõuded, mida kohaldatakse A-tüüpi tootmismoodulite suhtes, peaksid olema põhinõuded, mida on vaja, et tagada tootmisvõime piiratud automaatse kaja ja võrguettevõtja minimaalse kontrolli puhul. Nõuetega tuleks tagada, et süsteemi tööpiirkonnas ei tekiks ulatuslikke tootmiskadusid, minimeerides nii kriitilisi juhtumeid; tuleks lisada nõuded, mis võimaldavad ulatusliku sekkumise, kui süsteemis tekib kriitiline olukord.</w:t>
            </w:r>
          </w:p>
        </w:tc>
      </w:tr>
    </w:tbl>
    <w:p w14:paraId="3322E9F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15DE9638" w14:textId="77777777" w:rsidTr="008E1A17">
        <w:trPr>
          <w:tblCellSpacing w:w="0" w:type="dxa"/>
        </w:trPr>
        <w:tc>
          <w:tcPr>
            <w:tcW w:w="0" w:type="auto"/>
            <w:hideMark/>
          </w:tcPr>
          <w:p w14:paraId="5D7744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(12)</w:t>
            </w:r>
          </w:p>
        </w:tc>
        <w:tc>
          <w:tcPr>
            <w:tcW w:w="0" w:type="auto"/>
            <w:hideMark/>
          </w:tcPr>
          <w:p w14:paraId="4393BDA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B-tüüpi tootmismoodulite puhul tuleks nõuetega ette näha suurema ulatusega automaatne dünaamiline reageering ja suurem vastupidavus vahejuhtumite korral talitluses, et tagada sellise dünaamilise reageeringu kasutamine ning võrguettevõtja kontrolli ja teabe kõrgem tasand tootmisvõimsuste kasutamiseks. Nõuetega tagatakse automaatne reageering, et leevendada süsteemi vahejuhtumite mõju ja maksimeerida tootmise dünaamiline reageering süsteemi vahejuhtumitele.</w:t>
            </w:r>
          </w:p>
        </w:tc>
      </w:tr>
    </w:tbl>
    <w:p w14:paraId="173595D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7B5B38C6" w14:textId="77777777" w:rsidTr="008E1A17">
        <w:trPr>
          <w:tblCellSpacing w:w="0" w:type="dxa"/>
        </w:trPr>
        <w:tc>
          <w:tcPr>
            <w:tcW w:w="0" w:type="auto"/>
            <w:hideMark/>
          </w:tcPr>
          <w:p w14:paraId="7DC16A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(13)</w:t>
            </w:r>
          </w:p>
        </w:tc>
        <w:tc>
          <w:tcPr>
            <w:tcW w:w="0" w:type="auto"/>
            <w:hideMark/>
          </w:tcPr>
          <w:p w14:paraId="003138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C-tüüpi tootmismoodulite puhul kohaldatavate nõuetega tuleks tagada täpne, stabiilne ja väga hästi juhitav reaalajaline dünaamiline reageering, mille eesmärk on tagada põhilised abiteenused varustuskindluse saavutamiseks. Need nõuded peaksid hõlmama kõiki süsteemi seisundeid neist tuleneva nõuete, funktsioonide, juhtimise ja teabe </w:t>
            </w:r>
            <w:proofErr w:type="spellStart"/>
            <w:r w:rsidRPr="004D5219">
              <w:rPr>
                <w:rFonts w:ascii="inherit" w:eastAsia="Times New Roman" w:hAnsi="inherit" w:cs="Times New Roman"/>
                <w:sz w:val="24"/>
                <w:szCs w:val="24"/>
                <w:lang w:val="et-EE" w:bidi="ar-SA"/>
              </w:rPr>
              <w:t>vastasmõjude</w:t>
            </w:r>
            <w:proofErr w:type="spellEnd"/>
            <w:r w:rsidRPr="004D5219">
              <w:rPr>
                <w:rFonts w:ascii="inherit" w:eastAsia="Times New Roman" w:hAnsi="inherit" w:cs="Times New Roman"/>
                <w:sz w:val="24"/>
                <w:szCs w:val="24"/>
                <w:lang w:val="et-EE" w:bidi="ar-SA"/>
              </w:rPr>
              <w:t xml:space="preserve"> üksikasjaliku spetsifikatsiooniga, et kasutada sellist suutlikkust ja tagada reaalajaline süsteemi reageering, mis on vajalik süsteemi vahejuhtumite vältimiseks ja ohjamiseks ning asjakohaselt toimimiseks. Nende nõuetega peaks olema tagatud tootmismoodulite piisav võimsus, et reageerida nii normaaltalitluse kui ka süsteemi häiringute puhul; nende nõuetega tuleks tagada vajalik teave ja juhtimine erinevates tootmise olukordades.</w:t>
            </w:r>
          </w:p>
        </w:tc>
      </w:tr>
    </w:tbl>
    <w:p w14:paraId="759DFD0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110467E2" w14:textId="77777777" w:rsidTr="008E1A17">
        <w:trPr>
          <w:tblCellSpacing w:w="0" w:type="dxa"/>
        </w:trPr>
        <w:tc>
          <w:tcPr>
            <w:tcW w:w="0" w:type="auto"/>
            <w:hideMark/>
          </w:tcPr>
          <w:p w14:paraId="490058B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(14)</w:t>
            </w:r>
          </w:p>
        </w:tc>
        <w:tc>
          <w:tcPr>
            <w:tcW w:w="0" w:type="auto"/>
            <w:hideMark/>
          </w:tcPr>
          <w:p w14:paraId="2D57813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D-tüüpi tootmismoodulite suhtes kohaldatavad nõuded peaksid olema iseloomulikud kõrgemal pingel ühendatud tootmisele, mis mõjutab kogu süsteemi talitlust ja juhtimist. Nõuetega tuleks tagada ühendsüsteemi stabiilne töö, mis võimaldaks kasutada tootmise abiteenuseid kogu Euroopa ulatuses.</w:t>
            </w:r>
          </w:p>
        </w:tc>
      </w:tr>
    </w:tbl>
    <w:p w14:paraId="7112013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03523711" w14:textId="77777777" w:rsidTr="008E1A17">
        <w:trPr>
          <w:tblCellSpacing w:w="0" w:type="dxa"/>
        </w:trPr>
        <w:tc>
          <w:tcPr>
            <w:tcW w:w="0" w:type="auto"/>
            <w:hideMark/>
          </w:tcPr>
          <w:p w14:paraId="5AC5C3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(15)</w:t>
            </w:r>
          </w:p>
        </w:tc>
        <w:tc>
          <w:tcPr>
            <w:tcW w:w="0" w:type="auto"/>
            <w:hideMark/>
          </w:tcPr>
          <w:p w14:paraId="6FE6C6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Nõuded peaksid põhinema mittediskrimineerimise ja läbipaistvuse põhimõtetel, samuti tuleks nõuetega tagada optimaalne vahekord kõigi osaliste suurima kogutõhususe ja väikseimate kulude vahel. Seega peaksid need nõuded kajastama erinevusi tootmise erinevate näitajatega tehniliste lahenduste käsitlemises, samuti tuleks nõuetega vältida mittevajalikke investeeringuid teatud geograafilistes piirkondades seoses selliste piirkondade eripäraga. Põhivõrguettevõtjad ja jaotusvõrguettevõtjad, sealhulgas suletud jaotusvõrgu ettevõtjad, saavad neid erinevusi võtta arvesse, koostades käesoleva määruse kohaseid nõudeid, arvestades ühtlasi, et piirid, mille järgi tehakse kindlaks, kas süsteem on ülekandevõrk või jaotusvõrk, määratakse kindlaks riigi tasandil.</w:t>
            </w:r>
          </w:p>
        </w:tc>
      </w:tr>
    </w:tbl>
    <w:p w14:paraId="0417388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63322F7F" w14:textId="77777777" w:rsidTr="008E1A17">
        <w:trPr>
          <w:tblCellSpacing w:w="0" w:type="dxa"/>
        </w:trPr>
        <w:tc>
          <w:tcPr>
            <w:tcW w:w="0" w:type="auto"/>
            <w:hideMark/>
          </w:tcPr>
          <w:p w14:paraId="09E16DF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(16)</w:t>
            </w:r>
          </w:p>
        </w:tc>
        <w:tc>
          <w:tcPr>
            <w:tcW w:w="0" w:type="auto"/>
            <w:hideMark/>
          </w:tcPr>
          <w:p w14:paraId="2844670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Piiriülese mõju tõttu tuleks käesoleva määrusega sätestada, et kõikidel pingeastmetel oleksid ühesugused nõuded sageduse kohta ja seda vähemalt sünkroonala piires. See on tähtis seetõttu, et sünkroonalal mõjutab sageduse muutus ühes liikmesriigis kohe sagedust kõikides teistes liikmesriikides ja see võib kahjustada ka seadmeid neis liikmesriikides.</w:t>
            </w:r>
          </w:p>
        </w:tc>
      </w:tr>
    </w:tbl>
    <w:p w14:paraId="175502E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31B99A33" w14:textId="77777777" w:rsidTr="008E1A17">
        <w:trPr>
          <w:tblCellSpacing w:w="0" w:type="dxa"/>
        </w:trPr>
        <w:tc>
          <w:tcPr>
            <w:tcW w:w="0" w:type="auto"/>
            <w:hideMark/>
          </w:tcPr>
          <w:p w14:paraId="335D94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(17)</w:t>
            </w:r>
          </w:p>
        </w:tc>
        <w:tc>
          <w:tcPr>
            <w:tcW w:w="0" w:type="auto"/>
            <w:hideMark/>
          </w:tcPr>
          <w:p w14:paraId="281466D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Süsteemi talitluskindluse tagamiseks peaks ühendatud süsteemi iga sünkroonala tootmismoodulitel olema võimalik jääda süsteemiga ühendatuks kindlaksmääratud sageduse ja pinge vahemikus.</w:t>
            </w:r>
          </w:p>
        </w:tc>
      </w:tr>
    </w:tbl>
    <w:p w14:paraId="385D5F6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0BE50FB0" w14:textId="77777777" w:rsidTr="008E1A17">
        <w:trPr>
          <w:tblCellSpacing w:w="0" w:type="dxa"/>
        </w:trPr>
        <w:tc>
          <w:tcPr>
            <w:tcW w:w="0" w:type="auto"/>
            <w:hideMark/>
          </w:tcPr>
          <w:p w14:paraId="7122F5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(18)</w:t>
            </w:r>
          </w:p>
        </w:tc>
        <w:tc>
          <w:tcPr>
            <w:tcW w:w="0" w:type="auto"/>
            <w:hideMark/>
          </w:tcPr>
          <w:p w14:paraId="651FB16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Käesoleva määrusega tuleks ette näha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näitajate väärtuste vahemikud riiklike valikute tegemiseks, järgides proportsionaalset käsitlust, mille puhul võetakse arvesse süsteemi erinevaid vajadusi, näiteks taastuvate energiaallikate osakaalu ja olemasoleva võrgu, nii ülekande- kui ka jaotusvõrgu kaitseskeeme. Arvestades mõne võrgu konfiguratsiooni, peaks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nõude ülemine piir olema 250 </w:t>
            </w:r>
            <w:proofErr w:type="spellStart"/>
            <w:r w:rsidRPr="004D5219">
              <w:rPr>
                <w:rFonts w:ascii="inherit" w:eastAsia="Times New Roman" w:hAnsi="inherit" w:cs="Times New Roman"/>
                <w:sz w:val="24"/>
                <w:szCs w:val="24"/>
                <w:lang w:val="et-EE" w:bidi="ar-SA"/>
              </w:rPr>
              <w:t>millisekundit</w:t>
            </w:r>
            <w:proofErr w:type="spellEnd"/>
            <w:r w:rsidRPr="004D5219">
              <w:rPr>
                <w:rFonts w:ascii="inherit" w:eastAsia="Times New Roman" w:hAnsi="inherit" w:cs="Times New Roman"/>
                <w:sz w:val="24"/>
                <w:szCs w:val="24"/>
                <w:lang w:val="et-EE" w:bidi="ar-SA"/>
              </w:rPr>
              <w:t xml:space="preserve">. Arvestades seda, et kõige levinum rikke eraldamisaeg Euroopas on praegu 150 </w:t>
            </w:r>
            <w:proofErr w:type="spellStart"/>
            <w:r w:rsidRPr="004D5219">
              <w:rPr>
                <w:rFonts w:ascii="inherit" w:eastAsia="Times New Roman" w:hAnsi="inherit" w:cs="Times New Roman"/>
                <w:sz w:val="24"/>
                <w:szCs w:val="24"/>
                <w:lang w:val="et-EE" w:bidi="ar-SA"/>
              </w:rPr>
              <w:t>millisekundit</w:t>
            </w:r>
            <w:proofErr w:type="spellEnd"/>
            <w:r w:rsidRPr="004D5219">
              <w:rPr>
                <w:rFonts w:ascii="inherit" w:eastAsia="Times New Roman" w:hAnsi="inherit" w:cs="Times New Roman"/>
                <w:sz w:val="24"/>
                <w:szCs w:val="24"/>
                <w:lang w:val="et-EE" w:bidi="ar-SA"/>
              </w:rPr>
              <w:t>, jääb liikmesriigi määratud asutusele, kelle ülesanne on käesoleva määruse nõuetele vastavuse heakskiitmine, kohustus teha enne heakskiitmist kindlaks, kas on vaja kehtestada pikema aja nõue.</w:t>
            </w:r>
          </w:p>
        </w:tc>
      </w:tr>
    </w:tbl>
    <w:p w14:paraId="6D979BE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4F1475CF" w14:textId="77777777" w:rsidTr="008E1A17">
        <w:trPr>
          <w:tblCellSpacing w:w="0" w:type="dxa"/>
        </w:trPr>
        <w:tc>
          <w:tcPr>
            <w:tcW w:w="0" w:type="auto"/>
            <w:hideMark/>
          </w:tcPr>
          <w:p w14:paraId="6C455D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(19)</w:t>
            </w:r>
          </w:p>
        </w:tc>
        <w:tc>
          <w:tcPr>
            <w:tcW w:w="0" w:type="auto"/>
            <w:hideMark/>
          </w:tcPr>
          <w:p w14:paraId="3C100EC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Rikke-eelsete ja rikkejärgsete tingimuste määratlemisel seoses </w:t>
            </w:r>
            <w:proofErr w:type="spellStart"/>
            <w:r w:rsidRPr="004D5219">
              <w:rPr>
                <w:rFonts w:ascii="inherit" w:eastAsia="Times New Roman" w:hAnsi="inherit" w:cs="Times New Roman"/>
                <w:sz w:val="24"/>
                <w:szCs w:val="24"/>
                <w:lang w:val="et-EE" w:bidi="ar-SA"/>
              </w:rPr>
              <w:t>rikkeläbimisvõimega</w:t>
            </w:r>
            <w:proofErr w:type="spellEnd"/>
            <w:r w:rsidRPr="004D5219">
              <w:rPr>
                <w:rFonts w:ascii="inherit" w:eastAsia="Times New Roman" w:hAnsi="inherit" w:cs="Times New Roman"/>
                <w:sz w:val="24"/>
                <w:szCs w:val="24"/>
                <w:lang w:val="et-EE" w:bidi="ar-SA"/>
              </w:rPr>
              <w:t xml:space="preserve"> tuleb asjaomasel põhivõrguettevõtjal otsustada, kas eelistada tootmismoodulite rikke-eelseid talitlustingimusi või pikemat rikke eraldamise aega, võttes arvesse süsteemi omadusi, nt võrgu topoloogiat ja elektritootmise struktuuri.</w:t>
            </w:r>
          </w:p>
        </w:tc>
      </w:tr>
    </w:tbl>
    <w:p w14:paraId="5EF86DE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4D5219" w14:paraId="3E72E175" w14:textId="77777777" w:rsidTr="008E1A17">
        <w:trPr>
          <w:tblCellSpacing w:w="0" w:type="dxa"/>
        </w:trPr>
        <w:tc>
          <w:tcPr>
            <w:tcW w:w="0" w:type="auto"/>
            <w:hideMark/>
          </w:tcPr>
          <w:p w14:paraId="7B9CF96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(20)</w:t>
            </w:r>
          </w:p>
        </w:tc>
        <w:tc>
          <w:tcPr>
            <w:tcW w:w="0" w:type="auto"/>
            <w:hideMark/>
          </w:tcPr>
          <w:p w14:paraId="5017DC7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Ühendsüsteemi talitluse seisukohast on tähtis tagada sobiv uuesti ühendamine pärast võrguhäiringust tingitud juhuslikku ühenduse katkemist. Süsteemi stabiilsuse ja turvalisuse </w:t>
            </w:r>
            <w:r w:rsidRPr="004D5219">
              <w:rPr>
                <w:rFonts w:ascii="inherit" w:eastAsia="Times New Roman" w:hAnsi="inherit" w:cs="Times New Roman"/>
                <w:sz w:val="24"/>
                <w:szCs w:val="24"/>
                <w:lang w:val="et-EE" w:bidi="ar-SA"/>
              </w:rPr>
              <w:lastRenderedPageBreak/>
              <w:t>säilitamiseks on oluline asjakohane võrgukaitse, eriti süsteemi häiringute korral. Kaitseskeemidega võib häiringute süvenemist takistada ja piirata nende tagajärgi.</w:t>
            </w:r>
          </w:p>
        </w:tc>
      </w:tr>
    </w:tbl>
    <w:p w14:paraId="58401FD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3488C9BD" w14:textId="77777777" w:rsidTr="008E1A17">
        <w:trPr>
          <w:tblCellSpacing w:w="0" w:type="dxa"/>
        </w:trPr>
        <w:tc>
          <w:tcPr>
            <w:tcW w:w="0" w:type="auto"/>
            <w:hideMark/>
          </w:tcPr>
          <w:p w14:paraId="2F1363B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(21)</w:t>
            </w:r>
          </w:p>
        </w:tc>
        <w:tc>
          <w:tcPr>
            <w:tcW w:w="0" w:type="auto"/>
            <w:hideMark/>
          </w:tcPr>
          <w:p w14:paraId="15E6063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Võrguettevõtjate poolt on süsteemi stabiilsuse ja talitluskindluse tagamise eeltingimus asjakohane teabevahetus võrguettevõtjate ja tootmisüksuste omanike vahel. Võrguettevõtjatel peab olema järjepidev ülevaade süsteemi seisundist, sealhulgas teave tootmismoodulite töötingimustest, ja võimalus suhelda tootmismoodulitega, et edastada tegevusjuhiseid.</w:t>
            </w:r>
          </w:p>
        </w:tc>
      </w:tr>
    </w:tbl>
    <w:p w14:paraId="7EB0311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324F81F5" w14:textId="77777777" w:rsidTr="008E1A17">
        <w:trPr>
          <w:tblCellSpacing w:w="0" w:type="dxa"/>
        </w:trPr>
        <w:tc>
          <w:tcPr>
            <w:tcW w:w="0" w:type="auto"/>
            <w:hideMark/>
          </w:tcPr>
          <w:p w14:paraId="48596DD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(22)</w:t>
            </w:r>
          </w:p>
        </w:tc>
        <w:tc>
          <w:tcPr>
            <w:tcW w:w="0" w:type="auto"/>
            <w:hideMark/>
          </w:tcPr>
          <w:p w14:paraId="29D6D8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Hädaolukordades, mis võivad ohustada süsteemi stabiilsust ja talitluskindlust, peaks võrguettevõtjatel olema võimalik nõuda, et tootmismoodulite väljundvõimsust saaks seadistada nii, et võrguettevõtjad saaksid täita süsteemi talitluskindluse tagamise nõudeid.</w:t>
            </w:r>
          </w:p>
        </w:tc>
      </w:tr>
    </w:tbl>
    <w:p w14:paraId="2F396D3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2EC29F33" w14:textId="77777777" w:rsidTr="008E1A17">
        <w:trPr>
          <w:tblCellSpacing w:w="0" w:type="dxa"/>
        </w:trPr>
        <w:tc>
          <w:tcPr>
            <w:tcW w:w="0" w:type="auto"/>
            <w:hideMark/>
          </w:tcPr>
          <w:p w14:paraId="4920CA2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(23)</w:t>
            </w:r>
          </w:p>
        </w:tc>
        <w:tc>
          <w:tcPr>
            <w:tcW w:w="0" w:type="auto"/>
            <w:hideMark/>
          </w:tcPr>
          <w:p w14:paraId="09F8F4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Ühendatud süsteemide vahel peaksid olema kooskõlastatud pingevahemikud, sest pingevahemik on otsustava tähtsusega sünkroonala võimsussüsteemi planeerimise ja talitluse tagamiseks. Pingehäiringutest tingitud ühenduse katkemine mõjutab naabersüsteeme. Pingevahemike määratlemata jätmine võib tekitada ulatuslikku ebakindlust süsteemi planeerimises ja juhtimises süsteemi talitlemisel normaalsetest erinevates töötingimustes.</w:t>
            </w:r>
          </w:p>
        </w:tc>
      </w:tr>
    </w:tbl>
    <w:p w14:paraId="7B62291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1E14308F" w14:textId="77777777" w:rsidTr="008E1A17">
        <w:trPr>
          <w:tblCellSpacing w:w="0" w:type="dxa"/>
        </w:trPr>
        <w:tc>
          <w:tcPr>
            <w:tcW w:w="0" w:type="auto"/>
            <w:hideMark/>
          </w:tcPr>
          <w:p w14:paraId="7FCF2EB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(24)</w:t>
            </w:r>
          </w:p>
        </w:tc>
        <w:tc>
          <w:tcPr>
            <w:tcW w:w="0" w:type="auto"/>
            <w:hideMark/>
          </w:tcPr>
          <w:p w14:paraId="4A4041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vajadus sõltub mitmest tegurist, sealhulgas võrgu tihedusest ning sisestatud ja tarbitud võimsuse suhtest, mida tuleb võtta arvesse reaktiivvõimsuse nõuete kehtestamisel. Kui võrguettevõtja vastutusala piires on kohalike süsteemide omadused erinevad, võib olla asjakohane kasutada mitut profiili. Reaktiivvõimsuse tootmine (</w:t>
            </w:r>
            <w:proofErr w:type="spellStart"/>
            <w:r w:rsidRPr="004D5219">
              <w:rPr>
                <w:rFonts w:ascii="inherit" w:eastAsia="Times New Roman" w:hAnsi="inherit" w:cs="Times New Roman"/>
                <w:sz w:val="24"/>
                <w:szCs w:val="24"/>
                <w:lang w:val="et-EE" w:bidi="ar-SA"/>
              </w:rPr>
              <w:t>hilistuv</w:t>
            </w:r>
            <w:proofErr w:type="spellEnd"/>
            <w:r w:rsidRPr="004D5219">
              <w:rPr>
                <w:rFonts w:ascii="inherit" w:eastAsia="Times New Roman" w:hAnsi="inherit" w:cs="Times New Roman"/>
                <w:sz w:val="24"/>
                <w:szCs w:val="24"/>
                <w:lang w:val="et-EE" w:bidi="ar-SA"/>
              </w:rPr>
              <w:t>) kõrgepingel ja reaktiivvõimsuse tarbimine (ennetav) madalpingel võib mitte olla vajalik. Reaktiivvõimsuse nõuded võivad seada piiranguid elektritootmisüksuste projekteerimisele ja talitlusele. Seepärast on tähtis põhjalikult hinnata, milliseid ressursse on vaja, et süsteem tõhusalt toimiks.</w:t>
            </w:r>
          </w:p>
        </w:tc>
      </w:tr>
    </w:tbl>
    <w:p w14:paraId="07979E8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1FC20E37" w14:textId="77777777" w:rsidTr="008E1A17">
        <w:trPr>
          <w:tblCellSpacing w:w="0" w:type="dxa"/>
        </w:trPr>
        <w:tc>
          <w:tcPr>
            <w:tcW w:w="0" w:type="auto"/>
            <w:hideMark/>
          </w:tcPr>
          <w:p w14:paraId="5EA9DD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(25)</w:t>
            </w:r>
          </w:p>
        </w:tc>
        <w:tc>
          <w:tcPr>
            <w:tcW w:w="0" w:type="auto"/>
            <w:hideMark/>
          </w:tcPr>
          <w:p w14:paraId="35A8975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Sünkroonmoodulitele on omane sageduse kõrvalekaldeid takistada või aeglustada, kuid paljudel taastuvenergia tehnilistel lahendustel seda omadust ei ole. Kui taastuvenergia osa on suur, tuleks võtta meetmeid, et vältida suuri sageduse muutusi taastuvenergia tootmisel. Taastuvenergiat võiks aidata laiemalt kasutada tehisinerts, kuna taastuvenergia ise ei anna loomulikul viisil inertsipanust.</w:t>
            </w:r>
          </w:p>
        </w:tc>
      </w:tr>
    </w:tbl>
    <w:p w14:paraId="72A81D4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3A79D3C3" w14:textId="77777777" w:rsidTr="008E1A17">
        <w:trPr>
          <w:tblCellSpacing w:w="0" w:type="dxa"/>
        </w:trPr>
        <w:tc>
          <w:tcPr>
            <w:tcW w:w="0" w:type="auto"/>
            <w:hideMark/>
          </w:tcPr>
          <w:p w14:paraId="36775F8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(26)</w:t>
            </w:r>
          </w:p>
        </w:tc>
        <w:tc>
          <w:tcPr>
            <w:tcW w:w="0" w:type="auto"/>
            <w:hideMark/>
          </w:tcPr>
          <w:p w14:paraId="1C9926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Käesoleva määrusega tuleks sätestada asjakohased ja proportsionaalsed vastavuskatsetused, et võrguettevõtjatel oleks võimalik talitluskindlust tagada.</w:t>
            </w:r>
          </w:p>
        </w:tc>
      </w:tr>
    </w:tbl>
    <w:p w14:paraId="6EBDB27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4D5219" w14:paraId="2EC3785A" w14:textId="77777777" w:rsidTr="008E1A17">
        <w:trPr>
          <w:tblCellSpacing w:w="0" w:type="dxa"/>
        </w:trPr>
        <w:tc>
          <w:tcPr>
            <w:tcW w:w="0" w:type="auto"/>
            <w:hideMark/>
          </w:tcPr>
          <w:p w14:paraId="7E7526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(27)</w:t>
            </w:r>
          </w:p>
        </w:tc>
        <w:tc>
          <w:tcPr>
            <w:tcW w:w="0" w:type="auto"/>
            <w:hideMark/>
          </w:tcPr>
          <w:p w14:paraId="6F4B172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Reguleerivad asutused, liikmesriigid ja võrguettevõtjad peaksid ühendamise nõuete väljatöötamisel ja heakskiitmisel turu täielikku ühendamist silmas pidades tagama, et võrguühenduse nõuded oleksid ühtlustatud võimalikult suures ulatuses. Eriti tuleks ühendamisnõuete väljatöötamisel tähelepanu pöörata kehtestatud tehnilistele normidele.</w:t>
            </w:r>
          </w:p>
        </w:tc>
      </w:tr>
    </w:tbl>
    <w:p w14:paraId="1BECD80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25A5EF73" w14:textId="77777777" w:rsidTr="008E1A17">
        <w:trPr>
          <w:tblCellSpacing w:w="0" w:type="dxa"/>
        </w:trPr>
        <w:tc>
          <w:tcPr>
            <w:tcW w:w="0" w:type="auto"/>
            <w:hideMark/>
          </w:tcPr>
          <w:p w14:paraId="682976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(28)</w:t>
            </w:r>
          </w:p>
        </w:tc>
        <w:tc>
          <w:tcPr>
            <w:tcW w:w="0" w:type="auto"/>
            <w:hideMark/>
          </w:tcPr>
          <w:p w14:paraId="19A9E4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Käesolevas määruses tuleks sätestada menetlus eeskirjadest erandite tegemiseks, et võtta arvesse kohalikke olusid. Nimetatud erandid võivad olla seotud erandlike juhtudega, kui kõnealuste reeglite järgimine võiks ohustada kohaliku võrgu stabiilsust või kui tootmismooduli ohutuks tööks on vaja töötingimusi, mis ei ole kooskõlas käesoleva määrusega. Teatavate soojuse ja elektri koostootmisjaamade puhul, millel on suurem tõhusus, võib käesolevas määruses sätestatud reeglite kohaldamine kaasa tuua ebaproportsionaalseid kulusid ja vähendada nende tõhusust.</w:t>
            </w:r>
          </w:p>
        </w:tc>
      </w:tr>
    </w:tbl>
    <w:p w14:paraId="69DFC8D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011D60B8" w14:textId="77777777" w:rsidTr="008E1A17">
        <w:trPr>
          <w:tblCellSpacing w:w="0" w:type="dxa"/>
        </w:trPr>
        <w:tc>
          <w:tcPr>
            <w:tcW w:w="0" w:type="auto"/>
            <w:hideMark/>
          </w:tcPr>
          <w:p w14:paraId="4928FD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(29)</w:t>
            </w:r>
          </w:p>
        </w:tc>
        <w:tc>
          <w:tcPr>
            <w:tcW w:w="0" w:type="auto"/>
            <w:hideMark/>
          </w:tcPr>
          <w:p w14:paraId="44A1754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Võrguettevõtjad võivad asjaomase reguleeriva asutuse või, kui see on liikmesriigis asjakohane, muu asutuse nõusolekul lubada teha erandeid teatud liiki tootmismoodulite klasside puhul.</w:t>
            </w:r>
          </w:p>
        </w:tc>
      </w:tr>
    </w:tbl>
    <w:p w14:paraId="5F14153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6ED8692E" w14:textId="77777777" w:rsidTr="008E1A17">
        <w:trPr>
          <w:tblCellSpacing w:w="0" w:type="dxa"/>
        </w:trPr>
        <w:tc>
          <w:tcPr>
            <w:tcW w:w="0" w:type="auto"/>
            <w:hideMark/>
          </w:tcPr>
          <w:p w14:paraId="207F86F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(30)</w:t>
            </w:r>
          </w:p>
        </w:tc>
        <w:tc>
          <w:tcPr>
            <w:tcW w:w="0" w:type="auto"/>
            <w:hideMark/>
          </w:tcPr>
          <w:p w14:paraId="5768E9A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 määrus on võetud vastu määruse (EÜ) nr 714/2009 alusel, mida sellega täiendatakse ja mille lahutamatu osa see on. Muudes õigusaktides olevaid viiteid määrusele (EÜ) nr 714/2009 loetakse ka viideteks käesolevale määrusele.</w:t>
            </w:r>
          </w:p>
        </w:tc>
      </w:tr>
    </w:tbl>
    <w:p w14:paraId="7F480EC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9050"/>
      </w:tblGrid>
      <w:tr w:rsidR="008E1A17" w:rsidRPr="00A2039D" w14:paraId="14957A39" w14:textId="77777777" w:rsidTr="008E1A17">
        <w:trPr>
          <w:tblCellSpacing w:w="0" w:type="dxa"/>
        </w:trPr>
        <w:tc>
          <w:tcPr>
            <w:tcW w:w="0" w:type="auto"/>
            <w:hideMark/>
          </w:tcPr>
          <w:p w14:paraId="0A6BFF4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(31)</w:t>
            </w:r>
          </w:p>
        </w:tc>
        <w:tc>
          <w:tcPr>
            <w:tcW w:w="0" w:type="auto"/>
            <w:hideMark/>
          </w:tcPr>
          <w:p w14:paraId="6C2CFA91" w14:textId="2075D18D"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Käesolevas määruses sätestatud meetmed on kooskõlas määruse (EÜ) nr 714/2009 artikli 23 lõikes 1 nimetatud komitee arvamusega</w:t>
            </w:r>
            <w:r w:rsidR="00C21680">
              <w:rPr>
                <w:rFonts w:ascii="inherit" w:eastAsia="Times New Roman" w:hAnsi="inherit" w:cs="Times New Roman"/>
                <w:sz w:val="24"/>
                <w:szCs w:val="24"/>
                <w:lang w:val="et-EE" w:bidi="ar-SA"/>
              </w:rPr>
              <w:t>.</w:t>
            </w:r>
          </w:p>
        </w:tc>
      </w:tr>
    </w:tbl>
    <w:p w14:paraId="5185DF1C" w14:textId="77777777" w:rsidR="00C21680" w:rsidRDefault="00C21680"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492B5E9D" w14:textId="6A4D1AEF" w:rsidR="00C21680" w:rsidRDefault="00C21680"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26AA0781" w14:textId="1FD99770"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I JAOTIS</w:t>
      </w:r>
    </w:p>
    <w:p w14:paraId="63EE9549"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ÜLDSÄTTED</w:t>
      </w:r>
    </w:p>
    <w:p w14:paraId="52E1FEE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w:t>
      </w:r>
    </w:p>
    <w:p w14:paraId="42FD385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Reguleerimisese</w:t>
      </w:r>
    </w:p>
    <w:p w14:paraId="0767399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Käesoleva määrusega kehtestatakse võrgueeskiri, milles sätestatakse nõuded elektritootmisüksuste, eelkõige sünkroonmoodulite, energiapargimoodulite ja avamere energiapargimoodulite ühendamiseks elektriühendsüsteemi. Võrgueeskiri aitab seega tagada ausa konkurentsi tingimusi elektri siseturul, süsteemi turvalisust ja taastuvate energiaallikate liitumist ning aitab soodustada Euroopa Liidu ülest elektrikaubandust.</w:t>
      </w:r>
    </w:p>
    <w:p w14:paraId="1E18795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Samuti sätestatakse käesolevas määruses kohustus tagada, et võrguettevõtjad kasutaksid tootmisüksuste suutlikkust asjakohaselt läbipaistval ja mittediskrimineerival viisil, et tagada võrdsed võimalused kõikjal Euroopa Liidus.</w:t>
      </w:r>
    </w:p>
    <w:p w14:paraId="2BF30C1E"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w:t>
      </w:r>
    </w:p>
    <w:p w14:paraId="26249FC2"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Mõisted</w:t>
      </w:r>
    </w:p>
    <w:p w14:paraId="6611AC8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Käesoleva määruse kohaldamisel kasutatakse mõisteid Euroopa Parlamendi ja nõukogu direktiivi 2012/27/EL</w:t>
      </w:r>
      <w:hyperlink r:id="rId9" w:anchor="ntr3-L_2016112ET.01000101-E0003"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3</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color w:val="000000"/>
          <w:sz w:val="24"/>
          <w:szCs w:val="24"/>
          <w:lang w:val="et-EE" w:bidi="ar-SA"/>
        </w:rPr>
        <w:t> artikli 2, määruse (EÜ) nr 714/2009 artikli 2, komisjoni määruse (EL) 2015/1222</w:t>
      </w:r>
      <w:hyperlink r:id="rId10" w:anchor="ntr4-L_2016112ET.01000101-E0004"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4</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color w:val="000000"/>
          <w:sz w:val="24"/>
          <w:szCs w:val="24"/>
          <w:lang w:val="et-EE" w:bidi="ar-SA"/>
        </w:rPr>
        <w:t>artikli 2, komisjoni määruse (EL) nr 543/2013</w:t>
      </w:r>
      <w:hyperlink r:id="rId11" w:anchor="ntr5-L_2016112ET.01000101-E0005"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5</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color w:val="000000"/>
          <w:sz w:val="24"/>
          <w:szCs w:val="24"/>
          <w:lang w:val="et-EE" w:bidi="ar-SA"/>
        </w:rPr>
        <w:t> artikli 2 ning direktiivi 2009/72/EÜ artikli 2 tähenduses.</w:t>
      </w:r>
    </w:p>
    <w:p w14:paraId="4F152CE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Lisaks kasutatakse järgmisi mõisteid:</w:t>
      </w:r>
    </w:p>
    <w:p w14:paraId="7A67B28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w:t>
      </w:r>
      <w:r w:rsidRPr="004D5219">
        <w:rPr>
          <w:rFonts w:ascii="inherit" w:eastAsia="Times New Roman" w:hAnsi="inherit" w:cs="Times New Roman"/>
          <w:b/>
          <w:bCs/>
          <w:color w:val="000000"/>
          <w:sz w:val="24"/>
          <w:szCs w:val="24"/>
          <w:lang w:val="et-EE" w:bidi="ar-SA"/>
        </w:rPr>
        <w:t>„asutus“</w:t>
      </w:r>
      <w:r w:rsidRPr="004D5219">
        <w:rPr>
          <w:rFonts w:ascii="inherit" w:eastAsia="Times New Roman" w:hAnsi="inherit" w:cs="Times New Roman"/>
          <w:color w:val="000000"/>
          <w:sz w:val="24"/>
          <w:szCs w:val="24"/>
          <w:lang w:val="et-EE" w:bidi="ar-SA"/>
        </w:rPr>
        <w:t>– reguleeriv asutus või muu riiklik asutus, võrguettevõtja või muu riikliku õiguse kohaselt nimetatud ava- või eraõiguslik isik;</w:t>
      </w:r>
    </w:p>
    <w:p w14:paraId="773858A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w:t>
      </w:r>
      <w:r w:rsidRPr="004D5219">
        <w:rPr>
          <w:rFonts w:ascii="inherit" w:eastAsia="Times New Roman" w:hAnsi="inherit" w:cs="Times New Roman"/>
          <w:b/>
          <w:bCs/>
          <w:color w:val="000000"/>
          <w:sz w:val="24"/>
          <w:szCs w:val="24"/>
          <w:lang w:val="et-EE" w:bidi="ar-SA"/>
        </w:rPr>
        <w:t>„sünkroonala“</w:t>
      </w:r>
      <w:r w:rsidRPr="004D5219">
        <w:rPr>
          <w:rFonts w:ascii="inherit" w:eastAsia="Times New Roman" w:hAnsi="inherit" w:cs="Times New Roman"/>
          <w:color w:val="000000"/>
          <w:sz w:val="24"/>
          <w:szCs w:val="24"/>
          <w:lang w:val="et-EE" w:bidi="ar-SA"/>
        </w:rPr>
        <w:t>– sünkroonselt ühendatud põhivõrguettevõtjatega ala, nagu Mandri-Euroopa sünkroonala, Ühendkuningriigi sünkroonala, Iirimaa ja Põhja-Iirimaa sünkroonala, Põhja-Euroopa sünkroonala ning Leedu, Läti ja Eesti energiasüsteem, edaspidi „Balti energiasüsteem“, mis on osa suuremast sünkroonalast;</w:t>
      </w:r>
    </w:p>
    <w:p w14:paraId="47AEE64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w:t>
      </w:r>
      <w:r w:rsidRPr="004D5219">
        <w:rPr>
          <w:rFonts w:ascii="inherit" w:eastAsia="Times New Roman" w:hAnsi="inherit" w:cs="Times New Roman"/>
          <w:b/>
          <w:bCs/>
          <w:color w:val="000000"/>
          <w:sz w:val="24"/>
          <w:szCs w:val="24"/>
          <w:lang w:val="et-EE" w:bidi="ar-SA"/>
        </w:rPr>
        <w:t>„pinge“</w:t>
      </w:r>
      <w:r w:rsidRPr="004D5219">
        <w:rPr>
          <w:rFonts w:ascii="inherit" w:eastAsia="Times New Roman" w:hAnsi="inherit" w:cs="Times New Roman"/>
          <w:color w:val="000000"/>
          <w:sz w:val="24"/>
          <w:szCs w:val="24"/>
          <w:lang w:val="et-EE" w:bidi="ar-SA"/>
        </w:rPr>
        <w:t xml:space="preserve">– kahe punkti potentsiaalide vahe, mõõdetud kui </w:t>
      </w:r>
      <w:proofErr w:type="spellStart"/>
      <w:r w:rsidRPr="004D5219">
        <w:rPr>
          <w:rFonts w:ascii="inherit" w:eastAsia="Times New Roman" w:hAnsi="inherit" w:cs="Times New Roman"/>
          <w:color w:val="000000"/>
          <w:sz w:val="24"/>
          <w:szCs w:val="24"/>
          <w:lang w:val="et-EE" w:bidi="ar-SA"/>
        </w:rPr>
        <w:t>faasidevahelise</w:t>
      </w:r>
      <w:proofErr w:type="spellEnd"/>
      <w:r w:rsidRPr="004D5219">
        <w:rPr>
          <w:rFonts w:ascii="inherit" w:eastAsia="Times New Roman" w:hAnsi="inherit" w:cs="Times New Roman"/>
          <w:color w:val="000000"/>
          <w:sz w:val="24"/>
          <w:szCs w:val="24"/>
          <w:lang w:val="et-EE" w:bidi="ar-SA"/>
        </w:rPr>
        <w:t xml:space="preserve"> pinge pärijärgnevuskomponentide ruutkeskmine väärtus põhisagedusel;</w:t>
      </w:r>
    </w:p>
    <w:p w14:paraId="1BC3F36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w:t>
      </w:r>
      <w:r w:rsidRPr="004D5219">
        <w:rPr>
          <w:rFonts w:ascii="inherit" w:eastAsia="Times New Roman" w:hAnsi="inherit" w:cs="Times New Roman"/>
          <w:b/>
          <w:bCs/>
          <w:color w:val="000000"/>
          <w:sz w:val="24"/>
          <w:szCs w:val="24"/>
          <w:lang w:val="et-EE" w:bidi="ar-SA"/>
        </w:rPr>
        <w:t>„näivvõimsus“</w:t>
      </w:r>
      <w:r w:rsidRPr="004D5219">
        <w:rPr>
          <w:rFonts w:ascii="inherit" w:eastAsia="Times New Roman" w:hAnsi="inherit" w:cs="Times New Roman"/>
          <w:color w:val="000000"/>
          <w:sz w:val="24"/>
          <w:szCs w:val="24"/>
          <w:lang w:val="et-EE" w:bidi="ar-SA"/>
        </w:rPr>
        <w:t>– voolutugevuse ja pinge korrutis põhisagedusel; kolmefaasisüsteemi näivvõimsus on voolutugevuse ja pinge korrutis, mis on korrutatud ruutjuurega kolmest; seda mõõdetakse tavaliselt kilovoltamprites [</w:t>
      </w:r>
      <w:proofErr w:type="spellStart"/>
      <w:r w:rsidRPr="004D5219">
        <w:rPr>
          <w:rFonts w:ascii="inherit" w:eastAsia="Times New Roman" w:hAnsi="inherit" w:cs="Times New Roman"/>
          <w:color w:val="000000"/>
          <w:sz w:val="24"/>
          <w:szCs w:val="24"/>
          <w:lang w:val="et-EE" w:bidi="ar-SA"/>
        </w:rPr>
        <w:t>kVA</w:t>
      </w:r>
      <w:proofErr w:type="spellEnd"/>
      <w:r w:rsidRPr="004D5219">
        <w:rPr>
          <w:rFonts w:ascii="inherit" w:eastAsia="Times New Roman" w:hAnsi="inherit" w:cs="Times New Roman"/>
          <w:color w:val="000000"/>
          <w:sz w:val="24"/>
          <w:szCs w:val="24"/>
          <w:lang w:val="et-EE" w:bidi="ar-SA"/>
        </w:rPr>
        <w:t>] ja megavoltamprites [MVA];</w:t>
      </w:r>
    </w:p>
    <w:p w14:paraId="475D7B3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w:t>
      </w:r>
      <w:r w:rsidRPr="004D5219">
        <w:rPr>
          <w:rFonts w:ascii="inherit" w:eastAsia="Times New Roman" w:hAnsi="inherit" w:cs="Times New Roman"/>
          <w:b/>
          <w:bCs/>
          <w:color w:val="000000"/>
          <w:sz w:val="24"/>
          <w:szCs w:val="24"/>
          <w:lang w:val="et-EE" w:bidi="ar-SA"/>
        </w:rPr>
        <w:t>„tootmismoodul“</w:t>
      </w:r>
      <w:r w:rsidRPr="004D5219">
        <w:rPr>
          <w:rFonts w:ascii="inherit" w:eastAsia="Times New Roman" w:hAnsi="inherit" w:cs="Times New Roman"/>
          <w:color w:val="000000"/>
          <w:sz w:val="24"/>
          <w:szCs w:val="24"/>
          <w:lang w:val="et-EE" w:bidi="ar-SA"/>
        </w:rPr>
        <w:t>– kas sünkroonmoodul või energiapargimoodul;</w:t>
      </w:r>
    </w:p>
    <w:p w14:paraId="684C49F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w:t>
      </w:r>
      <w:r w:rsidRPr="004D5219">
        <w:rPr>
          <w:rFonts w:ascii="inherit" w:eastAsia="Times New Roman" w:hAnsi="inherit" w:cs="Times New Roman"/>
          <w:b/>
          <w:bCs/>
          <w:color w:val="000000"/>
          <w:sz w:val="24"/>
          <w:szCs w:val="24"/>
          <w:lang w:val="et-EE" w:bidi="ar-SA"/>
        </w:rPr>
        <w:t>„tootmisüksus“</w:t>
      </w:r>
      <w:r w:rsidRPr="004D5219">
        <w:rPr>
          <w:rFonts w:ascii="inherit" w:eastAsia="Times New Roman" w:hAnsi="inherit" w:cs="Times New Roman"/>
          <w:color w:val="000000"/>
          <w:sz w:val="24"/>
          <w:szCs w:val="24"/>
          <w:lang w:val="et-EE" w:bidi="ar-SA"/>
        </w:rPr>
        <w:t>– üksus, mis muundab primaarenergia elektrienergiaks ja mis koosneb ühest või mitmest tootmismoodulist, mis on võrku ühendatud ühes või mitmes ühenduspunktis;</w:t>
      </w:r>
    </w:p>
    <w:p w14:paraId="51BF4F6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w:t>
      </w:r>
      <w:r w:rsidRPr="004D5219">
        <w:rPr>
          <w:rFonts w:ascii="inherit" w:eastAsia="Times New Roman" w:hAnsi="inherit" w:cs="Times New Roman"/>
          <w:b/>
          <w:bCs/>
          <w:color w:val="000000"/>
          <w:sz w:val="24"/>
          <w:szCs w:val="24"/>
          <w:lang w:val="et-EE" w:bidi="ar-SA"/>
        </w:rPr>
        <w:t>„tootmisüksuse omanik“</w:t>
      </w:r>
      <w:r w:rsidRPr="004D5219">
        <w:rPr>
          <w:rFonts w:ascii="inherit" w:eastAsia="Times New Roman" w:hAnsi="inherit" w:cs="Times New Roman"/>
          <w:color w:val="000000"/>
          <w:sz w:val="24"/>
          <w:szCs w:val="24"/>
          <w:lang w:val="et-EE" w:bidi="ar-SA"/>
        </w:rPr>
        <w:t>– füüsiline või juriidiline isik, kelle omanduses on tootmisüksus;</w:t>
      </w:r>
    </w:p>
    <w:p w14:paraId="335693E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8)   </w:t>
      </w:r>
      <w:r w:rsidRPr="004D5219">
        <w:rPr>
          <w:rFonts w:ascii="inherit" w:eastAsia="Times New Roman" w:hAnsi="inherit" w:cs="Times New Roman"/>
          <w:b/>
          <w:bCs/>
          <w:color w:val="000000"/>
          <w:sz w:val="24"/>
          <w:szCs w:val="24"/>
          <w:lang w:val="et-EE" w:bidi="ar-SA"/>
        </w:rPr>
        <w:t>„põhitootmisseade“</w:t>
      </w:r>
      <w:r w:rsidRPr="004D5219">
        <w:rPr>
          <w:rFonts w:ascii="inherit" w:eastAsia="Times New Roman" w:hAnsi="inherit" w:cs="Times New Roman"/>
          <w:color w:val="000000"/>
          <w:sz w:val="24"/>
          <w:szCs w:val="24"/>
          <w:lang w:val="et-EE" w:bidi="ar-SA"/>
        </w:rPr>
        <w:t>– üks või mitu põhiseadet, mida on vaja primaarenergia muundamiseks elektrienergiaks;</w:t>
      </w:r>
    </w:p>
    <w:p w14:paraId="1B753BE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9)   </w:t>
      </w:r>
      <w:r w:rsidRPr="004D5219">
        <w:rPr>
          <w:rFonts w:ascii="inherit" w:eastAsia="Times New Roman" w:hAnsi="inherit" w:cs="Times New Roman"/>
          <w:b/>
          <w:bCs/>
          <w:color w:val="000000"/>
          <w:sz w:val="24"/>
          <w:szCs w:val="24"/>
          <w:lang w:val="et-EE" w:bidi="ar-SA"/>
        </w:rPr>
        <w:t>„sünkroonmoodul“</w:t>
      </w:r>
      <w:r w:rsidRPr="004D5219">
        <w:rPr>
          <w:rFonts w:ascii="inherit" w:eastAsia="Times New Roman" w:hAnsi="inherit" w:cs="Times New Roman"/>
          <w:color w:val="000000"/>
          <w:sz w:val="24"/>
          <w:szCs w:val="24"/>
          <w:lang w:val="et-EE" w:bidi="ar-SA"/>
        </w:rPr>
        <w:t>– jagamatu seadmestik, mis suudab toota elektrienergiat nii, et genereeritud pinge sagedus, generaatori pöörlemiskiirus ja võrgusagedus on püsivas vastavuses ja seega sünkroonsed;</w:t>
      </w:r>
    </w:p>
    <w:p w14:paraId="7B87896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10)   </w:t>
      </w:r>
      <w:r w:rsidRPr="004D5219">
        <w:rPr>
          <w:rFonts w:ascii="inherit" w:eastAsia="Times New Roman" w:hAnsi="inherit" w:cs="Times New Roman"/>
          <w:b/>
          <w:bCs/>
          <w:color w:val="000000"/>
          <w:sz w:val="24"/>
          <w:szCs w:val="24"/>
          <w:lang w:val="et-EE" w:bidi="ar-SA"/>
        </w:rPr>
        <w:t>„tootmismooduli dokument“</w:t>
      </w:r>
      <w:r w:rsidRPr="004D5219">
        <w:rPr>
          <w:rFonts w:ascii="inherit" w:eastAsia="Times New Roman" w:hAnsi="inherit" w:cs="Times New Roman"/>
          <w:color w:val="000000"/>
          <w:sz w:val="24"/>
          <w:szCs w:val="24"/>
          <w:lang w:val="et-EE" w:bidi="ar-SA"/>
        </w:rPr>
        <w:t xml:space="preserve">– dokument, mille tootmismooduli omanik esitab asjaomasele võrguettevõtjale B-tüüpi või C-tüüpi tootmismooduli kohta ja millega kinnitatakse, et on näidatud </w:t>
      </w:r>
      <w:r w:rsidRPr="004D5219">
        <w:rPr>
          <w:rFonts w:ascii="inherit" w:eastAsia="Times New Roman" w:hAnsi="inherit" w:cs="Times New Roman"/>
          <w:color w:val="000000"/>
          <w:sz w:val="24"/>
          <w:szCs w:val="24"/>
          <w:lang w:val="et-EE" w:bidi="ar-SA"/>
        </w:rPr>
        <w:lastRenderedPageBreak/>
        <w:t>tootmismooduli vastavus käesolevas määruses sätestatud tehnilistele nõuetele, ning milles leiduvad asjaomased andmed ja kinnitused, sealhulgas vastavuse kinnitus;</w:t>
      </w:r>
    </w:p>
    <w:p w14:paraId="19AED34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11)   </w:t>
      </w:r>
      <w:r w:rsidRPr="004D5219">
        <w:rPr>
          <w:rFonts w:ascii="inherit" w:eastAsia="Times New Roman" w:hAnsi="inherit" w:cs="Times New Roman"/>
          <w:b/>
          <w:bCs/>
          <w:color w:val="000000"/>
          <w:sz w:val="24"/>
          <w:szCs w:val="24"/>
          <w:lang w:val="et-EE" w:bidi="ar-SA"/>
        </w:rPr>
        <w:t>„asjaomane põhivõrguettevõtja“</w:t>
      </w:r>
      <w:r w:rsidRPr="004D5219">
        <w:rPr>
          <w:rFonts w:ascii="inherit" w:eastAsia="Times New Roman" w:hAnsi="inherit" w:cs="Times New Roman"/>
          <w:color w:val="000000"/>
          <w:sz w:val="24"/>
          <w:szCs w:val="24"/>
          <w:lang w:val="et-EE" w:bidi="ar-SA"/>
        </w:rPr>
        <w:t>– põhivõrguettevõtja, kelle juhtimispiirkonnas on lülitatud või lülitatakse mis tahes pingeastmega võrku tootmismoodul, tarbimisüksus, jaotusvõrk või alalisvooluülekandesüsteem;</w:t>
      </w:r>
    </w:p>
    <w:p w14:paraId="62EC916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12)   </w:t>
      </w:r>
      <w:r w:rsidRPr="004D5219">
        <w:rPr>
          <w:rFonts w:ascii="inherit" w:eastAsia="Times New Roman" w:hAnsi="inherit" w:cs="Times New Roman"/>
          <w:b/>
          <w:bCs/>
          <w:color w:val="000000"/>
          <w:sz w:val="24"/>
          <w:szCs w:val="24"/>
          <w:lang w:val="et-EE" w:bidi="ar-SA"/>
        </w:rPr>
        <w:t>„võrk“</w:t>
      </w:r>
      <w:r w:rsidRPr="004D5219">
        <w:rPr>
          <w:rFonts w:ascii="inherit" w:eastAsia="Times New Roman" w:hAnsi="inherit" w:cs="Times New Roman"/>
          <w:color w:val="000000"/>
          <w:sz w:val="24"/>
          <w:szCs w:val="24"/>
          <w:lang w:val="et-EE" w:bidi="ar-SA"/>
        </w:rPr>
        <w:t>– seadmed ja aparaadid, mis on omavahel ühendatud elektrienergia ülekandmiseks või jaotamiseks;</w:t>
      </w:r>
    </w:p>
    <w:p w14:paraId="2893F0B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13)   </w:t>
      </w:r>
      <w:r w:rsidRPr="004D5219">
        <w:rPr>
          <w:rFonts w:ascii="inherit" w:eastAsia="Times New Roman" w:hAnsi="inherit" w:cs="Times New Roman"/>
          <w:b/>
          <w:bCs/>
          <w:color w:val="000000"/>
          <w:sz w:val="24"/>
          <w:szCs w:val="24"/>
          <w:lang w:val="et-EE" w:bidi="ar-SA"/>
        </w:rPr>
        <w:t>„asjaomane võrguettevõtja“</w:t>
      </w:r>
      <w:r w:rsidRPr="004D5219">
        <w:rPr>
          <w:rFonts w:ascii="inherit" w:eastAsia="Times New Roman" w:hAnsi="inherit" w:cs="Times New Roman"/>
          <w:color w:val="000000"/>
          <w:sz w:val="24"/>
          <w:szCs w:val="24"/>
          <w:lang w:val="et-EE" w:bidi="ar-SA"/>
        </w:rPr>
        <w:t>– kas põhivõrguettevõtja või jaotusvõrguettevõtja, kelle süsteemi on ühendatud või ühendatakse tootmismoodul, tarbimisüksus, jaotusvõrk või alalisvooluülekandesüsteem;</w:t>
      </w:r>
    </w:p>
    <w:p w14:paraId="4E87835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14)   </w:t>
      </w:r>
      <w:r w:rsidRPr="004D5219">
        <w:rPr>
          <w:rFonts w:ascii="inherit" w:eastAsia="Times New Roman" w:hAnsi="inherit" w:cs="Times New Roman"/>
          <w:b/>
          <w:bCs/>
          <w:color w:val="000000"/>
          <w:sz w:val="24"/>
          <w:szCs w:val="24"/>
          <w:lang w:val="et-EE" w:bidi="ar-SA"/>
        </w:rPr>
        <w:t>„ühendusleping“</w:t>
      </w:r>
      <w:r w:rsidRPr="004D5219">
        <w:rPr>
          <w:rFonts w:ascii="inherit" w:eastAsia="Times New Roman" w:hAnsi="inherit" w:cs="Times New Roman"/>
          <w:color w:val="000000"/>
          <w:sz w:val="24"/>
          <w:szCs w:val="24"/>
          <w:lang w:val="et-EE" w:bidi="ar-SA"/>
        </w:rPr>
        <w:t>– asjaomase võrguettevõtja ja kas tootmisüksuse omaniku, tarbimisüksuse omaniku, jaotusvõrguettevõtja või alalisvooluülekandesüsteemi omaniku vaheline leping, milles sätestatakse asjaomane objekt ning tootmisüksuse, tarbimisüksuse, jaotusvõrgu, jaotusüksuse või alalisvooluülekandesüsteemi spetsiifilised tehnilised nõuded;</w:t>
      </w:r>
    </w:p>
    <w:p w14:paraId="3FC5692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15)   </w:t>
      </w:r>
      <w:r w:rsidRPr="004D5219">
        <w:rPr>
          <w:rFonts w:ascii="inherit" w:eastAsia="Times New Roman" w:hAnsi="inherit" w:cs="Times New Roman"/>
          <w:b/>
          <w:bCs/>
          <w:color w:val="000000"/>
          <w:sz w:val="24"/>
          <w:szCs w:val="24"/>
          <w:lang w:val="et-EE" w:bidi="ar-SA"/>
        </w:rPr>
        <w:t>„ühenduspunkt“</w:t>
      </w:r>
      <w:r w:rsidRPr="004D5219">
        <w:rPr>
          <w:rFonts w:ascii="inherit" w:eastAsia="Times New Roman" w:hAnsi="inherit" w:cs="Times New Roman"/>
          <w:color w:val="000000"/>
          <w:sz w:val="24"/>
          <w:szCs w:val="24"/>
          <w:lang w:val="et-EE" w:bidi="ar-SA"/>
        </w:rPr>
        <w:t>– ühenduskoht, mille kaudu tootmismoodul, tarbimisüksus, jaotusvõrk või alalisvooluülekandesüsteem on ühendatud ülekandevõrgu, avamere võrgu, jaotusvõrgu (sealhulgas suletud jaotusvõrgu) või alalisvooluülekandesüsteemiga, nagu on sätestatud ühenduslepingus;</w:t>
      </w:r>
    </w:p>
    <w:p w14:paraId="1360F0B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16)   </w:t>
      </w:r>
      <w:r w:rsidRPr="004D5219">
        <w:rPr>
          <w:rFonts w:ascii="inherit" w:eastAsia="Times New Roman" w:hAnsi="inherit" w:cs="Times New Roman"/>
          <w:b/>
          <w:bCs/>
          <w:color w:val="000000"/>
          <w:sz w:val="24"/>
          <w:szCs w:val="24"/>
          <w:lang w:val="et-EE" w:bidi="ar-SA"/>
        </w:rPr>
        <w:t>„maksimumvõimsus (</w:t>
      </w:r>
      <w:proofErr w:type="spellStart"/>
      <w:r w:rsidRPr="004D5219">
        <w:rPr>
          <w:rFonts w:ascii="inherit" w:eastAsia="Times New Roman" w:hAnsi="inherit" w:cs="Times New Roman"/>
          <w:b/>
          <w:bCs/>
          <w:color w:val="000000"/>
          <w:sz w:val="24"/>
          <w:szCs w:val="24"/>
          <w:lang w:val="et-EE" w:bidi="ar-SA"/>
        </w:rPr>
        <w:t>P</w:t>
      </w:r>
      <w:r w:rsidRPr="004D5219">
        <w:rPr>
          <w:rFonts w:ascii="inherit" w:eastAsia="Times New Roman" w:hAnsi="inherit" w:cs="Times New Roman"/>
          <w:b/>
          <w:bCs/>
          <w:color w:val="000000"/>
          <w:sz w:val="17"/>
          <w:szCs w:val="17"/>
          <w:vertAlign w:val="subscript"/>
          <w:lang w:val="et-EE" w:bidi="ar-SA"/>
        </w:rPr>
        <w:t>max</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maksimaalne pidev aktiivvõimsus, mida suudab tootmismoodul toota ja millest on lahutatud mooduli omatarve – tarve, mis on seotud üksnes sellesama tootmismooduli tootmise tagamisega ja mida ei suunata võrku – ning mis on määratletud kas ühenduslepinguga või kokkuleppega asjaomase võrguettevõtja ja tootmisüksuse omaniku vahel;</w:t>
      </w:r>
    </w:p>
    <w:p w14:paraId="0900532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17)   </w:t>
      </w:r>
      <w:r w:rsidRPr="004D5219">
        <w:rPr>
          <w:rFonts w:ascii="inherit" w:eastAsia="Times New Roman" w:hAnsi="inherit" w:cs="Times New Roman"/>
          <w:b/>
          <w:bCs/>
          <w:color w:val="000000"/>
          <w:sz w:val="24"/>
          <w:szCs w:val="24"/>
          <w:lang w:val="et-EE" w:bidi="ar-SA"/>
        </w:rPr>
        <w:t>„energiapargimoodul“</w:t>
      </w:r>
      <w:r w:rsidRPr="004D5219">
        <w:rPr>
          <w:rFonts w:ascii="inherit" w:eastAsia="Times New Roman" w:hAnsi="inherit" w:cs="Times New Roman"/>
          <w:color w:val="000000"/>
          <w:sz w:val="24"/>
          <w:szCs w:val="24"/>
          <w:lang w:val="et-EE" w:bidi="ar-SA"/>
        </w:rPr>
        <w:t>– elektrienergia tootmise tootmisüksus või tootmisüksuste kogum, mis on võrku ühendatud kas mittesünkroonselt või on ühendatud jõuelektroonikaseadmete kaudu ning millel on ka üks ühenduspunkt ülekandevõrguga, jaotusvõrguga (sealhulgas suletud jaotusvõrguga) või alalisvooluülekandesüsteemiga;</w:t>
      </w:r>
    </w:p>
    <w:p w14:paraId="6C821C5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18)   </w:t>
      </w:r>
      <w:r w:rsidRPr="004D5219">
        <w:rPr>
          <w:rFonts w:ascii="inherit" w:eastAsia="Times New Roman" w:hAnsi="inherit" w:cs="Times New Roman"/>
          <w:b/>
          <w:bCs/>
          <w:color w:val="000000"/>
          <w:sz w:val="24"/>
          <w:szCs w:val="24"/>
          <w:lang w:val="et-EE" w:bidi="ar-SA"/>
        </w:rPr>
        <w:t>„avamere energiapargimoodul“</w:t>
      </w:r>
      <w:r w:rsidRPr="004D5219">
        <w:rPr>
          <w:rFonts w:ascii="inherit" w:eastAsia="Times New Roman" w:hAnsi="inherit" w:cs="Times New Roman"/>
          <w:color w:val="000000"/>
          <w:sz w:val="24"/>
          <w:szCs w:val="24"/>
          <w:lang w:val="et-EE" w:bidi="ar-SA"/>
        </w:rPr>
        <w:t>– merel paiknev energiapargimoodul, mille ühenduspunkt on merel;</w:t>
      </w:r>
    </w:p>
    <w:p w14:paraId="5685F90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19)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sünkroonkompensaatortalitlus</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generaatori talitlus ilma jõumasinata, nii et generaator ise dünaamiliselt juhib pinget reaktiivvõimsuse tootmise või tarbimise teel;</w:t>
      </w:r>
    </w:p>
    <w:p w14:paraId="6CAFE0C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20)   </w:t>
      </w:r>
      <w:r w:rsidRPr="004D5219">
        <w:rPr>
          <w:rFonts w:ascii="inherit" w:eastAsia="Times New Roman" w:hAnsi="inherit" w:cs="Times New Roman"/>
          <w:b/>
          <w:bCs/>
          <w:color w:val="000000"/>
          <w:sz w:val="24"/>
          <w:szCs w:val="24"/>
          <w:lang w:val="et-EE" w:bidi="ar-SA"/>
        </w:rPr>
        <w:t>„aktiivvõimsus“</w:t>
      </w:r>
      <w:r w:rsidRPr="004D5219">
        <w:rPr>
          <w:rFonts w:ascii="inherit" w:eastAsia="Times New Roman" w:hAnsi="inherit" w:cs="Times New Roman"/>
          <w:color w:val="000000"/>
          <w:sz w:val="24"/>
          <w:szCs w:val="24"/>
          <w:lang w:val="et-EE" w:bidi="ar-SA"/>
        </w:rPr>
        <w:t>– näivvõimsuse reaalkomponent põhisagedusel, väljendatud vattides või selle kordsetes, nagu nt kilovattides [kW] või megavattides [MW];</w:t>
      </w:r>
    </w:p>
    <w:p w14:paraId="324E2A1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21)   </w:t>
      </w:r>
      <w:r w:rsidRPr="004D5219">
        <w:rPr>
          <w:rFonts w:ascii="inherit" w:eastAsia="Times New Roman" w:hAnsi="inherit" w:cs="Times New Roman"/>
          <w:b/>
          <w:bCs/>
          <w:color w:val="000000"/>
          <w:sz w:val="24"/>
          <w:szCs w:val="24"/>
          <w:lang w:val="et-EE" w:bidi="ar-SA"/>
        </w:rPr>
        <w:t>„pumpjaam (</w:t>
      </w:r>
      <w:proofErr w:type="spellStart"/>
      <w:r w:rsidRPr="004D5219">
        <w:rPr>
          <w:rFonts w:ascii="inherit" w:eastAsia="Times New Roman" w:hAnsi="inherit" w:cs="Times New Roman"/>
          <w:b/>
          <w:bCs/>
          <w:color w:val="000000"/>
          <w:sz w:val="24"/>
          <w:szCs w:val="24"/>
          <w:lang w:val="et-EE" w:bidi="ar-SA"/>
        </w:rPr>
        <w:t>hüdroakumulatsioonijaam</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xml:space="preserve">– </w:t>
      </w:r>
      <w:proofErr w:type="spellStart"/>
      <w:r w:rsidRPr="004D5219">
        <w:rPr>
          <w:rFonts w:ascii="inherit" w:eastAsia="Times New Roman" w:hAnsi="inherit" w:cs="Times New Roman"/>
          <w:color w:val="000000"/>
          <w:sz w:val="24"/>
          <w:szCs w:val="24"/>
          <w:lang w:val="et-EE" w:bidi="ar-SA"/>
        </w:rPr>
        <w:t>hüdroseade</w:t>
      </w:r>
      <w:proofErr w:type="spellEnd"/>
      <w:r w:rsidRPr="004D5219">
        <w:rPr>
          <w:rFonts w:ascii="inherit" w:eastAsia="Times New Roman" w:hAnsi="inherit" w:cs="Times New Roman"/>
          <w:color w:val="000000"/>
          <w:sz w:val="24"/>
          <w:szCs w:val="24"/>
          <w:lang w:val="et-EE" w:bidi="ar-SA"/>
        </w:rPr>
        <w:t>, milles vett pumbatakse üles ja säilitatakse elektrienergia tootmiseks;</w:t>
      </w:r>
    </w:p>
    <w:p w14:paraId="7BB0EC5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22)   </w:t>
      </w:r>
      <w:r w:rsidRPr="004D5219">
        <w:rPr>
          <w:rFonts w:ascii="inherit" w:eastAsia="Times New Roman" w:hAnsi="inherit" w:cs="Times New Roman"/>
          <w:b/>
          <w:bCs/>
          <w:color w:val="000000"/>
          <w:sz w:val="24"/>
          <w:szCs w:val="24"/>
          <w:lang w:val="et-EE" w:bidi="ar-SA"/>
        </w:rPr>
        <w:t>„sagedus“</w:t>
      </w:r>
      <w:r w:rsidRPr="004D5219">
        <w:rPr>
          <w:rFonts w:ascii="inherit" w:eastAsia="Times New Roman" w:hAnsi="inherit" w:cs="Times New Roman"/>
          <w:color w:val="000000"/>
          <w:sz w:val="24"/>
          <w:szCs w:val="24"/>
          <w:lang w:val="et-EE" w:bidi="ar-SA"/>
        </w:rPr>
        <w:t>– süsteemi elektrisagedus hertsides [Hz], mida saab mõõta sünkroonala kõikides osades, eeldusel et süsteemis on sekundi suurusjärku aja jooksul sagedusel ühtne väärtus, millest võib olla ainult väikseid kõrvalekaldeid eri mõõtekohtades. Sageduse nimiväärtus on 50 Hz;</w:t>
      </w:r>
    </w:p>
    <w:p w14:paraId="4D67FD2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23)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statism</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püsitalitluse suhtelise sageduse muudu ja sellele vastava suhtelise aktiivvõimsuse muudu suhe [%]. Suhteline sageduse muut arvutatakse nimisageduse suhtes ja suhteline aktiivvõimsuse muut kas maksimumvõimsuse suhtes või asjaomase piiri saavutamise hetkele vastava tegeliku aktiivvõimsuse suhtes;</w:t>
      </w:r>
    </w:p>
    <w:p w14:paraId="2968A87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24)   </w:t>
      </w:r>
      <w:r w:rsidRPr="004D5219">
        <w:rPr>
          <w:rFonts w:ascii="inherit" w:eastAsia="Times New Roman" w:hAnsi="inherit" w:cs="Times New Roman"/>
          <w:b/>
          <w:bCs/>
          <w:color w:val="000000"/>
          <w:sz w:val="24"/>
          <w:szCs w:val="24"/>
          <w:lang w:val="et-EE" w:bidi="ar-SA"/>
        </w:rPr>
        <w:t>„minimaalne reguleerimistase“</w:t>
      </w:r>
      <w:r w:rsidRPr="004D5219">
        <w:rPr>
          <w:rFonts w:ascii="inherit" w:eastAsia="Times New Roman" w:hAnsi="inherit" w:cs="Times New Roman"/>
          <w:color w:val="000000"/>
          <w:sz w:val="24"/>
          <w:szCs w:val="24"/>
          <w:lang w:val="et-EE" w:bidi="ar-SA"/>
        </w:rPr>
        <w:t>– ühenduslepingus või asjaomase võrguettevõtja ja tootmisüksuse omaniku vahelises kokkuleppes sätestatud minimaalne väärtus, milleni tootmismooduli aktiivvõimsust saab reguleerida;</w:t>
      </w:r>
    </w:p>
    <w:p w14:paraId="2F131C5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25)   </w:t>
      </w:r>
      <w:r w:rsidRPr="004D5219">
        <w:rPr>
          <w:rFonts w:ascii="inherit" w:eastAsia="Times New Roman" w:hAnsi="inherit" w:cs="Times New Roman"/>
          <w:b/>
          <w:bCs/>
          <w:color w:val="000000"/>
          <w:sz w:val="24"/>
          <w:szCs w:val="24"/>
          <w:lang w:val="et-EE" w:bidi="ar-SA"/>
        </w:rPr>
        <w:t>„seadeväärtus“</w:t>
      </w:r>
      <w:r w:rsidRPr="004D5219">
        <w:rPr>
          <w:rFonts w:ascii="inherit" w:eastAsia="Times New Roman" w:hAnsi="inherit" w:cs="Times New Roman"/>
          <w:color w:val="000000"/>
          <w:sz w:val="24"/>
          <w:szCs w:val="24"/>
          <w:lang w:val="et-EE" w:bidi="ar-SA"/>
        </w:rPr>
        <w:t>– juhtimisskeemides tüüpiliselt kasutatava mis tahes näitaja sihtväärtus;</w:t>
      </w:r>
    </w:p>
    <w:p w14:paraId="0B332A4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26)   </w:t>
      </w:r>
      <w:r w:rsidRPr="004D5219">
        <w:rPr>
          <w:rFonts w:ascii="inherit" w:eastAsia="Times New Roman" w:hAnsi="inherit" w:cs="Times New Roman"/>
          <w:b/>
          <w:bCs/>
          <w:color w:val="000000"/>
          <w:sz w:val="24"/>
          <w:szCs w:val="24"/>
          <w:lang w:val="et-EE" w:bidi="ar-SA"/>
        </w:rPr>
        <w:t>„juhis“</w:t>
      </w:r>
      <w:r w:rsidRPr="004D5219">
        <w:rPr>
          <w:rFonts w:ascii="inherit" w:eastAsia="Times New Roman" w:hAnsi="inherit" w:cs="Times New Roman"/>
          <w:color w:val="000000"/>
          <w:sz w:val="24"/>
          <w:szCs w:val="24"/>
          <w:lang w:val="et-EE" w:bidi="ar-SA"/>
        </w:rPr>
        <w:t>– mis tahes käsklus, mille oma pädevuse piires annab võrguettevõtja toimingu tegemiseks tootmisüksuse omanikule, tarbimisüksuse omanikule, jaotusvõrguettevõtjale või alalisvooluülekandesüsteemi omanikule;</w:t>
      </w:r>
    </w:p>
    <w:p w14:paraId="44E96BC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27)   </w:t>
      </w:r>
      <w:r w:rsidRPr="004D5219">
        <w:rPr>
          <w:rFonts w:ascii="inherit" w:eastAsia="Times New Roman" w:hAnsi="inherit" w:cs="Times New Roman"/>
          <w:b/>
          <w:bCs/>
          <w:color w:val="000000"/>
          <w:sz w:val="24"/>
          <w:szCs w:val="24"/>
          <w:lang w:val="et-EE" w:bidi="ar-SA"/>
        </w:rPr>
        <w:t>„turvatud rike“</w:t>
      </w:r>
      <w:r w:rsidRPr="004D5219">
        <w:rPr>
          <w:rFonts w:ascii="inherit" w:eastAsia="Times New Roman" w:hAnsi="inherit" w:cs="Times New Roman"/>
          <w:color w:val="000000"/>
          <w:sz w:val="24"/>
          <w:szCs w:val="24"/>
          <w:lang w:val="et-EE" w:bidi="ar-SA"/>
        </w:rPr>
        <w:t xml:space="preserve">– rike, mis kõrvaldatakse edukalt vastavalt võrguettevõtja </w:t>
      </w:r>
      <w:proofErr w:type="spellStart"/>
      <w:r w:rsidRPr="004D5219">
        <w:rPr>
          <w:rFonts w:ascii="inherit" w:eastAsia="Times New Roman" w:hAnsi="inherit" w:cs="Times New Roman"/>
          <w:color w:val="000000"/>
          <w:sz w:val="24"/>
          <w:szCs w:val="24"/>
          <w:lang w:val="et-EE" w:bidi="ar-SA"/>
        </w:rPr>
        <w:t>rikkekõrvaldamisjuhistele</w:t>
      </w:r>
      <w:proofErr w:type="spellEnd"/>
      <w:r w:rsidRPr="004D5219">
        <w:rPr>
          <w:rFonts w:ascii="inherit" w:eastAsia="Times New Roman" w:hAnsi="inherit" w:cs="Times New Roman"/>
          <w:color w:val="000000"/>
          <w:sz w:val="24"/>
          <w:szCs w:val="24"/>
          <w:lang w:val="et-EE" w:bidi="ar-SA"/>
        </w:rPr>
        <w:t>;</w:t>
      </w:r>
    </w:p>
    <w:p w14:paraId="49D8EC3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28)   </w:t>
      </w:r>
      <w:r w:rsidRPr="004D5219">
        <w:rPr>
          <w:rFonts w:ascii="inherit" w:eastAsia="Times New Roman" w:hAnsi="inherit" w:cs="Times New Roman"/>
          <w:b/>
          <w:bCs/>
          <w:color w:val="000000"/>
          <w:sz w:val="24"/>
          <w:szCs w:val="24"/>
          <w:lang w:val="et-EE" w:bidi="ar-SA"/>
        </w:rPr>
        <w:t>„reaktiivvõimsus“</w:t>
      </w:r>
      <w:r w:rsidRPr="004D5219">
        <w:rPr>
          <w:rFonts w:ascii="inherit" w:eastAsia="Times New Roman" w:hAnsi="inherit" w:cs="Times New Roman"/>
          <w:color w:val="000000"/>
          <w:sz w:val="24"/>
          <w:szCs w:val="24"/>
          <w:lang w:val="et-EE" w:bidi="ar-SA"/>
        </w:rPr>
        <w:t>– näivvõimsuse imaginaarkomponent põhisagedusel; seda väljendatakse tavaliselt kilovarrides [</w:t>
      </w:r>
      <w:proofErr w:type="spellStart"/>
      <w:r w:rsidRPr="004D5219">
        <w:rPr>
          <w:rFonts w:ascii="inherit" w:eastAsia="Times New Roman" w:hAnsi="inherit" w:cs="Times New Roman"/>
          <w:color w:val="000000"/>
          <w:sz w:val="24"/>
          <w:szCs w:val="24"/>
          <w:lang w:val="et-EE" w:bidi="ar-SA"/>
        </w:rPr>
        <w:t>kvar</w:t>
      </w:r>
      <w:proofErr w:type="spellEnd"/>
      <w:r w:rsidRPr="004D5219">
        <w:rPr>
          <w:rFonts w:ascii="inherit" w:eastAsia="Times New Roman" w:hAnsi="inherit" w:cs="Times New Roman"/>
          <w:color w:val="000000"/>
          <w:sz w:val="24"/>
          <w:szCs w:val="24"/>
          <w:lang w:val="et-EE" w:bidi="ar-SA"/>
        </w:rPr>
        <w:t>] ja megavarrides [</w:t>
      </w:r>
      <w:proofErr w:type="spellStart"/>
      <w:r w:rsidRPr="004D5219">
        <w:rPr>
          <w:rFonts w:ascii="inherit" w:eastAsia="Times New Roman" w:hAnsi="inherit" w:cs="Times New Roman"/>
          <w:color w:val="000000"/>
          <w:sz w:val="24"/>
          <w:szCs w:val="24"/>
          <w:lang w:val="et-EE" w:bidi="ar-SA"/>
        </w:rPr>
        <w:t>Mvar</w:t>
      </w:r>
      <w:proofErr w:type="spellEnd"/>
      <w:r w:rsidRPr="004D5219">
        <w:rPr>
          <w:rFonts w:ascii="inherit" w:eastAsia="Times New Roman" w:hAnsi="inherit" w:cs="Times New Roman"/>
          <w:color w:val="000000"/>
          <w:sz w:val="24"/>
          <w:szCs w:val="24"/>
          <w:lang w:val="et-EE" w:bidi="ar-SA"/>
        </w:rPr>
        <w:t>];</w:t>
      </w:r>
    </w:p>
    <w:p w14:paraId="21EBC16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29)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rikkeläbimisvõime</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elektriseadme võime olla võrku ühendatud ja jätkata tööd, kui ühenduspunktis on turvatud rikkest põhjustatud madalam pinge;</w:t>
      </w:r>
    </w:p>
    <w:p w14:paraId="6C67F6D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30)   </w:t>
      </w:r>
      <w:r w:rsidRPr="004D5219">
        <w:rPr>
          <w:rFonts w:ascii="inherit" w:eastAsia="Times New Roman" w:hAnsi="inherit" w:cs="Times New Roman"/>
          <w:b/>
          <w:bCs/>
          <w:color w:val="000000"/>
          <w:sz w:val="24"/>
          <w:szCs w:val="24"/>
          <w:lang w:val="et-EE" w:bidi="ar-SA"/>
        </w:rPr>
        <w:t>„generaator“</w:t>
      </w:r>
      <w:r w:rsidRPr="004D5219">
        <w:rPr>
          <w:rFonts w:ascii="inherit" w:eastAsia="Times New Roman" w:hAnsi="inherit" w:cs="Times New Roman"/>
          <w:color w:val="000000"/>
          <w:sz w:val="24"/>
          <w:szCs w:val="24"/>
          <w:lang w:val="et-EE" w:bidi="ar-SA"/>
        </w:rPr>
        <w:t>– seade, mis muundab mehaanilist energiat pöörleva magnetvälja kaudu elektrienergiaks;</w:t>
      </w:r>
    </w:p>
    <w:p w14:paraId="6B768A0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31)   </w:t>
      </w:r>
      <w:r w:rsidRPr="004D5219">
        <w:rPr>
          <w:rFonts w:ascii="inherit" w:eastAsia="Times New Roman" w:hAnsi="inherit" w:cs="Times New Roman"/>
          <w:b/>
          <w:bCs/>
          <w:color w:val="000000"/>
          <w:sz w:val="24"/>
          <w:szCs w:val="24"/>
          <w:lang w:val="et-EE" w:bidi="ar-SA"/>
        </w:rPr>
        <w:t>„vool“</w:t>
      </w:r>
      <w:r w:rsidRPr="004D5219">
        <w:rPr>
          <w:rFonts w:ascii="inherit" w:eastAsia="Times New Roman" w:hAnsi="inherit" w:cs="Times New Roman"/>
          <w:color w:val="000000"/>
          <w:sz w:val="24"/>
          <w:szCs w:val="24"/>
          <w:lang w:val="et-EE" w:bidi="ar-SA"/>
        </w:rPr>
        <w:t>– elektrilaengute suunatud liikumine; voolutugevust mõõdetakse kui faasivoolu pärijärgnevuskomponendi ruutkeskmist väärtust põhisagedusel;</w:t>
      </w:r>
    </w:p>
    <w:p w14:paraId="3D9AE1A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32)   </w:t>
      </w:r>
      <w:r w:rsidRPr="004D5219">
        <w:rPr>
          <w:rFonts w:ascii="inherit" w:eastAsia="Times New Roman" w:hAnsi="inherit" w:cs="Times New Roman"/>
          <w:b/>
          <w:bCs/>
          <w:color w:val="000000"/>
          <w:sz w:val="24"/>
          <w:szCs w:val="24"/>
          <w:lang w:val="et-EE" w:bidi="ar-SA"/>
        </w:rPr>
        <w:t>„staator“</w:t>
      </w:r>
      <w:r w:rsidRPr="004D5219">
        <w:rPr>
          <w:rFonts w:ascii="inherit" w:eastAsia="Times New Roman" w:hAnsi="inherit" w:cs="Times New Roman"/>
          <w:color w:val="000000"/>
          <w:sz w:val="24"/>
          <w:szCs w:val="24"/>
          <w:lang w:val="et-EE" w:bidi="ar-SA"/>
        </w:rPr>
        <w:t xml:space="preserve">– pöörleva seadme osa, milles on </w:t>
      </w:r>
      <w:proofErr w:type="spellStart"/>
      <w:r w:rsidRPr="004D5219">
        <w:rPr>
          <w:rFonts w:ascii="inherit" w:eastAsia="Times New Roman" w:hAnsi="inherit" w:cs="Times New Roman"/>
          <w:color w:val="000000"/>
          <w:sz w:val="24"/>
          <w:szCs w:val="24"/>
          <w:lang w:val="et-EE" w:bidi="ar-SA"/>
        </w:rPr>
        <w:t>paigalseisvad</w:t>
      </w:r>
      <w:proofErr w:type="spellEnd"/>
      <w:r w:rsidRPr="004D5219">
        <w:rPr>
          <w:rFonts w:ascii="inherit" w:eastAsia="Times New Roman" w:hAnsi="inherit" w:cs="Times New Roman"/>
          <w:color w:val="000000"/>
          <w:sz w:val="24"/>
          <w:szCs w:val="24"/>
          <w:lang w:val="et-EE" w:bidi="ar-SA"/>
        </w:rPr>
        <w:t xml:space="preserve"> magnetosad koos oma mähistega;</w:t>
      </w:r>
    </w:p>
    <w:p w14:paraId="79D0724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33)   </w:t>
      </w:r>
      <w:r w:rsidRPr="004D5219">
        <w:rPr>
          <w:rFonts w:ascii="inherit" w:eastAsia="Times New Roman" w:hAnsi="inherit" w:cs="Times New Roman"/>
          <w:b/>
          <w:bCs/>
          <w:color w:val="000000"/>
          <w:sz w:val="24"/>
          <w:szCs w:val="24"/>
          <w:lang w:val="et-EE" w:bidi="ar-SA"/>
        </w:rPr>
        <w:t>„inerts“</w:t>
      </w:r>
      <w:r w:rsidRPr="004D5219">
        <w:rPr>
          <w:rFonts w:ascii="inherit" w:eastAsia="Times New Roman" w:hAnsi="inherit" w:cs="Times New Roman"/>
          <w:color w:val="000000"/>
          <w:sz w:val="24"/>
          <w:szCs w:val="24"/>
          <w:lang w:val="et-EE" w:bidi="ar-SA"/>
        </w:rPr>
        <w:t xml:space="preserve">– pöörleva jäiga keha, näiteks generaatori rootori omadus jätkata ühtlast pöörlemist muutumatu </w:t>
      </w:r>
      <w:proofErr w:type="spellStart"/>
      <w:r w:rsidRPr="004D5219">
        <w:rPr>
          <w:rFonts w:ascii="inherit" w:eastAsia="Times New Roman" w:hAnsi="inherit" w:cs="Times New Roman"/>
          <w:color w:val="000000"/>
          <w:sz w:val="24"/>
          <w:szCs w:val="24"/>
          <w:lang w:val="et-EE" w:bidi="ar-SA"/>
        </w:rPr>
        <w:t>pöördimpulsiga</w:t>
      </w:r>
      <w:proofErr w:type="spellEnd"/>
      <w:r w:rsidRPr="004D5219">
        <w:rPr>
          <w:rFonts w:ascii="inherit" w:eastAsia="Times New Roman" w:hAnsi="inherit" w:cs="Times New Roman"/>
          <w:color w:val="000000"/>
          <w:sz w:val="24"/>
          <w:szCs w:val="24"/>
          <w:lang w:val="et-EE" w:bidi="ar-SA"/>
        </w:rPr>
        <w:t xml:space="preserve"> seni, kuni pole rakendatud välist pöördemomenti;</w:t>
      </w:r>
    </w:p>
    <w:p w14:paraId="4CBDE69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34)   </w:t>
      </w:r>
      <w:r w:rsidRPr="004D5219">
        <w:rPr>
          <w:rFonts w:ascii="inherit" w:eastAsia="Times New Roman" w:hAnsi="inherit" w:cs="Times New Roman"/>
          <w:b/>
          <w:bCs/>
          <w:color w:val="000000"/>
          <w:sz w:val="24"/>
          <w:szCs w:val="24"/>
          <w:lang w:val="et-EE" w:bidi="ar-SA"/>
        </w:rPr>
        <w:t>„tehisinerts“</w:t>
      </w:r>
      <w:r w:rsidRPr="004D5219">
        <w:rPr>
          <w:rFonts w:ascii="inherit" w:eastAsia="Times New Roman" w:hAnsi="inherit" w:cs="Times New Roman"/>
          <w:color w:val="000000"/>
          <w:sz w:val="24"/>
          <w:szCs w:val="24"/>
          <w:lang w:val="et-EE" w:bidi="ar-SA"/>
        </w:rPr>
        <w:t>– energiapargimooduli või alalisvooluülekandesüsteemi omadus, millega asendatakse sünkroonmooduli inertsi mõju ja tänu millele säilib etteantud talitlustase;</w:t>
      </w:r>
    </w:p>
    <w:p w14:paraId="2C44EB9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35)   </w:t>
      </w:r>
      <w:r w:rsidRPr="004D5219">
        <w:rPr>
          <w:rFonts w:ascii="inherit" w:eastAsia="Times New Roman" w:hAnsi="inherit" w:cs="Times New Roman"/>
          <w:b/>
          <w:bCs/>
          <w:color w:val="000000"/>
          <w:sz w:val="24"/>
          <w:szCs w:val="24"/>
          <w:lang w:val="et-EE" w:bidi="ar-SA"/>
        </w:rPr>
        <w:t>„sageduse juhtimine“</w:t>
      </w:r>
      <w:r w:rsidRPr="004D5219">
        <w:rPr>
          <w:rFonts w:ascii="inherit" w:eastAsia="Times New Roman" w:hAnsi="inherit" w:cs="Times New Roman"/>
          <w:color w:val="000000"/>
          <w:sz w:val="24"/>
          <w:szCs w:val="24"/>
          <w:lang w:val="et-EE" w:bidi="ar-SA"/>
        </w:rPr>
        <w:t>– tootmismooduli või alalisvooluülekandesüsteemi võime süsteemis püsiva sageduse hoidmiseks kohandada oma väljundaktiivvõimsust vastavalt süsteemi mõõdetud sageduse kõrvalekaldele sageduse seadeväärtusest;</w:t>
      </w:r>
    </w:p>
    <w:p w14:paraId="6B0E5EB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36)   </w:t>
      </w:r>
      <w:r w:rsidRPr="004D5219">
        <w:rPr>
          <w:rFonts w:ascii="inherit" w:eastAsia="Times New Roman" w:hAnsi="inherit" w:cs="Times New Roman"/>
          <w:b/>
          <w:bCs/>
          <w:color w:val="000000"/>
          <w:sz w:val="24"/>
          <w:szCs w:val="24"/>
          <w:lang w:val="et-EE" w:bidi="ar-SA"/>
        </w:rPr>
        <w:t>„sagedustundlik talitlus“</w:t>
      </w:r>
      <w:r w:rsidRPr="004D5219">
        <w:rPr>
          <w:rFonts w:ascii="inherit" w:eastAsia="Times New Roman" w:hAnsi="inherit" w:cs="Times New Roman"/>
          <w:color w:val="000000"/>
          <w:sz w:val="24"/>
          <w:szCs w:val="24"/>
          <w:lang w:val="et-EE" w:bidi="ar-SA"/>
        </w:rPr>
        <w:t>– tootmismooduli või alalisvooluülekandesüsteemi talitlus, mille puhul väljundaktiivvõimsus muutub vastavalt süsteemi sageduse muutumisele nii, et see aitaks süsteemis taastada sihtsagedust;</w:t>
      </w:r>
    </w:p>
    <w:p w14:paraId="2155479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37)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ülesagedusega</w:t>
      </w:r>
      <w:proofErr w:type="spellEnd"/>
      <w:r w:rsidRPr="004D5219">
        <w:rPr>
          <w:rFonts w:ascii="inherit" w:eastAsia="Times New Roman" w:hAnsi="inherit" w:cs="Times New Roman"/>
          <w:b/>
          <w:bCs/>
          <w:color w:val="000000"/>
          <w:sz w:val="24"/>
          <w:szCs w:val="24"/>
          <w:lang w:val="et-EE" w:bidi="ar-SA"/>
        </w:rPr>
        <w:t xml:space="preserve"> piiratud sagedustundlik talitlus“</w:t>
      </w:r>
      <w:r w:rsidRPr="004D5219">
        <w:rPr>
          <w:rFonts w:ascii="inherit" w:eastAsia="Times New Roman" w:hAnsi="inherit" w:cs="Times New Roman"/>
          <w:color w:val="000000"/>
          <w:sz w:val="24"/>
          <w:szCs w:val="24"/>
          <w:lang w:val="et-EE" w:bidi="ar-SA"/>
        </w:rPr>
        <w:t>– tootmismooduli või alalisvooluülekandesüsteemi talitlus, mille puhul väljundaktiivvõimsus väheneb vastavalt süsteemi sageduse tõusule üle teatava väärtuse;</w:t>
      </w:r>
    </w:p>
    <w:p w14:paraId="5FA71D2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38)   </w:t>
      </w:r>
      <w:r w:rsidRPr="004D5219">
        <w:rPr>
          <w:rFonts w:ascii="inherit" w:eastAsia="Times New Roman" w:hAnsi="inherit" w:cs="Times New Roman"/>
          <w:b/>
          <w:bCs/>
          <w:color w:val="000000"/>
          <w:sz w:val="24"/>
          <w:szCs w:val="24"/>
          <w:lang w:val="et-EE" w:bidi="ar-SA"/>
        </w:rPr>
        <w:t>„alasagedusega piiratud sagedustundlik seisund“</w:t>
      </w:r>
      <w:r w:rsidRPr="004D5219">
        <w:rPr>
          <w:rFonts w:ascii="inherit" w:eastAsia="Times New Roman" w:hAnsi="inherit" w:cs="Times New Roman"/>
          <w:color w:val="000000"/>
          <w:sz w:val="24"/>
          <w:szCs w:val="24"/>
          <w:lang w:val="et-EE" w:bidi="ar-SA"/>
        </w:rPr>
        <w:t>– tootmismooduli või alalisvooluülekandesüsteemi talitlus, mille puhul väljundaktiivvõimsus suureneb vastavalt süsteemi sageduse langemisele alla teatava väärtuse;</w:t>
      </w:r>
    </w:p>
    <w:p w14:paraId="29154F3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39)   </w:t>
      </w:r>
      <w:r w:rsidRPr="004D5219">
        <w:rPr>
          <w:rFonts w:ascii="inherit" w:eastAsia="Times New Roman" w:hAnsi="inherit" w:cs="Times New Roman"/>
          <w:b/>
          <w:bCs/>
          <w:color w:val="000000"/>
          <w:sz w:val="24"/>
          <w:szCs w:val="24"/>
          <w:lang w:val="et-EE" w:bidi="ar-SA"/>
        </w:rPr>
        <w:t>„sageduskaja tundetuspiirkond“</w:t>
      </w:r>
      <w:r w:rsidRPr="004D5219">
        <w:rPr>
          <w:rFonts w:ascii="inherit" w:eastAsia="Times New Roman" w:hAnsi="inherit" w:cs="Times New Roman"/>
          <w:color w:val="000000"/>
          <w:sz w:val="24"/>
          <w:szCs w:val="24"/>
          <w:lang w:val="et-EE" w:bidi="ar-SA"/>
        </w:rPr>
        <w:t>– teatav tahtlikult loodud vahemik, mille ulatuses sageduse juhtimist ei toimu;</w:t>
      </w:r>
    </w:p>
    <w:p w14:paraId="318C846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40)   </w:t>
      </w:r>
      <w:r w:rsidRPr="004D5219">
        <w:rPr>
          <w:rFonts w:ascii="inherit" w:eastAsia="Times New Roman" w:hAnsi="inherit" w:cs="Times New Roman"/>
          <w:b/>
          <w:bCs/>
          <w:color w:val="000000"/>
          <w:sz w:val="24"/>
          <w:szCs w:val="24"/>
          <w:lang w:val="et-EE" w:bidi="ar-SA"/>
        </w:rPr>
        <w:t>„sageduskaja tundetus“</w:t>
      </w:r>
      <w:r w:rsidRPr="004D5219">
        <w:rPr>
          <w:rFonts w:ascii="inherit" w:eastAsia="Times New Roman" w:hAnsi="inherit" w:cs="Times New Roman"/>
          <w:color w:val="000000"/>
          <w:sz w:val="24"/>
          <w:szCs w:val="24"/>
          <w:lang w:val="et-EE" w:bidi="ar-SA"/>
        </w:rPr>
        <w:t>– juhtimissüsteemi omadus, mis määratakse kui sageduse või sisendsignaali vähim väärtus, mis tekitab väljundvõimsuse või väljundsignaali muutuse;</w:t>
      </w:r>
    </w:p>
    <w:p w14:paraId="76BFA58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41)   </w:t>
      </w:r>
      <w:r w:rsidRPr="004D5219">
        <w:rPr>
          <w:rFonts w:ascii="inherit" w:eastAsia="Times New Roman" w:hAnsi="inherit" w:cs="Times New Roman"/>
          <w:b/>
          <w:bCs/>
          <w:color w:val="000000"/>
          <w:sz w:val="24"/>
          <w:szCs w:val="24"/>
          <w:lang w:val="et-EE" w:bidi="ar-SA"/>
        </w:rPr>
        <w:t>„P-Q graafik“</w:t>
      </w:r>
      <w:r w:rsidRPr="004D5219">
        <w:rPr>
          <w:rFonts w:ascii="inherit" w:eastAsia="Times New Roman" w:hAnsi="inherit" w:cs="Times New Roman"/>
          <w:color w:val="000000"/>
          <w:sz w:val="24"/>
          <w:szCs w:val="24"/>
          <w:lang w:val="et-EE" w:bidi="ar-SA"/>
        </w:rPr>
        <w:t>– graafik, mis kirjeldab tootmismooduli reaktiivvõimsussuutlikkuse sõltuvust aktiivvõimsusest ühenduspunktis;</w:t>
      </w:r>
    </w:p>
    <w:p w14:paraId="313E048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42)   </w:t>
      </w:r>
      <w:r w:rsidRPr="004D5219">
        <w:rPr>
          <w:rFonts w:ascii="inherit" w:eastAsia="Times New Roman" w:hAnsi="inherit" w:cs="Times New Roman"/>
          <w:b/>
          <w:bCs/>
          <w:color w:val="000000"/>
          <w:sz w:val="24"/>
          <w:szCs w:val="24"/>
          <w:lang w:val="et-EE" w:bidi="ar-SA"/>
        </w:rPr>
        <w:t>„püsitalitluse stabiilsus“</w:t>
      </w:r>
      <w:r w:rsidRPr="004D5219">
        <w:rPr>
          <w:rFonts w:ascii="inherit" w:eastAsia="Times New Roman" w:hAnsi="inherit" w:cs="Times New Roman"/>
          <w:color w:val="000000"/>
          <w:sz w:val="24"/>
          <w:szCs w:val="24"/>
          <w:lang w:val="et-EE" w:bidi="ar-SA"/>
        </w:rPr>
        <w:t>– võrgu ja sünkroonmooduli võime taastada ja säilitada püsitalitlus pärast väikest häiringut;</w:t>
      </w:r>
    </w:p>
    <w:p w14:paraId="3340C32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43)   </w:t>
      </w:r>
      <w:r w:rsidRPr="004D5219">
        <w:rPr>
          <w:rFonts w:ascii="inherit" w:eastAsia="Times New Roman" w:hAnsi="inherit" w:cs="Times New Roman"/>
          <w:b/>
          <w:bCs/>
          <w:color w:val="000000"/>
          <w:sz w:val="24"/>
          <w:szCs w:val="24"/>
          <w:lang w:val="et-EE" w:bidi="ar-SA"/>
        </w:rPr>
        <w:t>„saartalitlus“</w:t>
      </w:r>
      <w:r w:rsidRPr="004D5219">
        <w:rPr>
          <w:rFonts w:ascii="inherit" w:eastAsia="Times New Roman" w:hAnsi="inherit" w:cs="Times New Roman"/>
          <w:color w:val="000000"/>
          <w:sz w:val="24"/>
          <w:szCs w:val="24"/>
          <w:lang w:val="et-EE" w:bidi="ar-SA"/>
        </w:rPr>
        <w:t>– teatava võrgu või võrgu osa sõltumatu talitlus pärast ühendsüsteemist eraldamist; sellises võrgus või võrgu osas peab leiduma vähemalt üks tootmismoodul või alalisvooluülekandesüsteem, mis seda varustab energiaga ning juhib selle sagedust ja pinget;</w:t>
      </w:r>
    </w:p>
    <w:p w14:paraId="568C732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44)   </w:t>
      </w:r>
      <w:r w:rsidRPr="004D5219">
        <w:rPr>
          <w:rFonts w:ascii="inherit" w:eastAsia="Times New Roman" w:hAnsi="inherit" w:cs="Times New Roman"/>
          <w:b/>
          <w:bCs/>
          <w:color w:val="000000"/>
          <w:sz w:val="24"/>
          <w:szCs w:val="24"/>
          <w:lang w:val="et-EE" w:bidi="ar-SA"/>
        </w:rPr>
        <w:t>„omatarbetoite talitlus“</w:t>
      </w:r>
      <w:r w:rsidRPr="004D5219">
        <w:rPr>
          <w:rFonts w:ascii="inherit" w:eastAsia="Times New Roman" w:hAnsi="inherit" w:cs="Times New Roman"/>
          <w:color w:val="000000"/>
          <w:sz w:val="24"/>
          <w:szCs w:val="24"/>
          <w:lang w:val="et-EE" w:bidi="ar-SA"/>
        </w:rPr>
        <w:t>– talitlus, mille puhul on tagatud, et tootmisüksused suudavad jätkata tarnimist oma tarbeks, kui võrgu rikke tõttu tootmismoodulid ühendatakse võrgust lahti ja hakkavad toitma oma abiseadmeid;</w:t>
      </w:r>
    </w:p>
    <w:p w14:paraId="652AAF4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45)   </w:t>
      </w:r>
      <w:r w:rsidRPr="004D5219">
        <w:rPr>
          <w:rFonts w:ascii="inherit" w:eastAsia="Times New Roman" w:hAnsi="inherit" w:cs="Times New Roman"/>
          <w:b/>
          <w:bCs/>
          <w:color w:val="000000"/>
          <w:sz w:val="24"/>
          <w:szCs w:val="24"/>
          <w:lang w:val="et-EE" w:bidi="ar-SA"/>
        </w:rPr>
        <w:t>„isekäivitusvõime“</w:t>
      </w:r>
      <w:r w:rsidRPr="004D5219">
        <w:rPr>
          <w:rFonts w:ascii="inherit" w:eastAsia="Times New Roman" w:hAnsi="inherit" w:cs="Times New Roman"/>
          <w:color w:val="000000"/>
          <w:sz w:val="24"/>
          <w:szCs w:val="24"/>
          <w:lang w:val="et-EE" w:bidi="ar-SA"/>
        </w:rPr>
        <w:t>– tootmismooduli võime pärast täielikku väljalülitust taas tööle hakata asjaomase abitoiteallika abil ilma tootmismooduli suhtes välise elektrienergia toiteta;</w:t>
      </w:r>
    </w:p>
    <w:p w14:paraId="319235C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46)   </w:t>
      </w:r>
      <w:r w:rsidRPr="004D5219">
        <w:rPr>
          <w:rFonts w:ascii="inherit" w:eastAsia="Times New Roman" w:hAnsi="inherit" w:cs="Times New Roman"/>
          <w:b/>
          <w:bCs/>
          <w:color w:val="000000"/>
          <w:sz w:val="24"/>
          <w:szCs w:val="24"/>
          <w:lang w:val="et-EE" w:bidi="ar-SA"/>
        </w:rPr>
        <w:t xml:space="preserve">„volitatud </w:t>
      </w:r>
      <w:proofErr w:type="spellStart"/>
      <w:r w:rsidRPr="004D5219">
        <w:rPr>
          <w:rFonts w:ascii="inherit" w:eastAsia="Times New Roman" w:hAnsi="inherit" w:cs="Times New Roman"/>
          <w:b/>
          <w:bCs/>
          <w:color w:val="000000"/>
          <w:sz w:val="24"/>
          <w:szCs w:val="24"/>
          <w:lang w:val="et-EE" w:bidi="ar-SA"/>
        </w:rPr>
        <w:t>sertifitseerija</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xml:space="preserve">– üksus, kes annab välja seadmete tõendeid ja tootmismoodulite dokumente ning keda akrediteerib Euroopa Parlamendi ja nõukogu määruse (EÜ) </w:t>
      </w:r>
      <w:r w:rsidRPr="004D5219">
        <w:rPr>
          <w:rFonts w:ascii="inherit" w:eastAsia="Times New Roman" w:hAnsi="inherit" w:cs="Times New Roman"/>
          <w:color w:val="000000"/>
          <w:sz w:val="24"/>
          <w:szCs w:val="24"/>
          <w:lang w:val="et-EE" w:bidi="ar-SA"/>
        </w:rPr>
        <w:lastRenderedPageBreak/>
        <w:t>nr 765/2008</w:t>
      </w:r>
      <w:hyperlink r:id="rId12" w:anchor="ntr6-L_2016112ET.01000101-E0006" w:history="1">
        <w:r w:rsidRPr="004D5219">
          <w:rPr>
            <w:rFonts w:ascii="inherit" w:eastAsia="Times New Roman" w:hAnsi="inherit" w:cs="Times New Roman"/>
            <w:color w:val="0000FF"/>
            <w:sz w:val="24"/>
            <w:szCs w:val="24"/>
            <w:u w:val="single"/>
            <w:lang w:val="et-EE" w:bidi="ar-SA"/>
          </w:rPr>
          <w:t> (</w:t>
        </w:r>
        <w:r w:rsidRPr="004D5219">
          <w:rPr>
            <w:rFonts w:ascii="inherit" w:eastAsia="Times New Roman" w:hAnsi="inherit" w:cs="Times New Roman"/>
            <w:color w:val="0000FF"/>
            <w:sz w:val="17"/>
            <w:szCs w:val="17"/>
            <w:u w:val="single"/>
            <w:vertAlign w:val="superscript"/>
            <w:lang w:val="et-EE" w:bidi="ar-SA"/>
          </w:rPr>
          <w:t>6</w:t>
        </w:r>
        <w:r w:rsidRPr="004D5219">
          <w:rPr>
            <w:rFonts w:ascii="inherit" w:eastAsia="Times New Roman" w:hAnsi="inherit" w:cs="Times New Roman"/>
            <w:color w:val="0000FF"/>
            <w:sz w:val="24"/>
            <w:szCs w:val="24"/>
            <w:u w:val="single"/>
            <w:lang w:val="et-EE" w:bidi="ar-SA"/>
          </w:rPr>
          <w:t>)</w:t>
        </w:r>
      </w:hyperlink>
      <w:r w:rsidRPr="004D5219">
        <w:rPr>
          <w:rFonts w:ascii="inherit" w:eastAsia="Times New Roman" w:hAnsi="inherit" w:cs="Times New Roman"/>
          <w:color w:val="000000"/>
          <w:sz w:val="24"/>
          <w:szCs w:val="24"/>
          <w:lang w:val="et-EE" w:bidi="ar-SA"/>
        </w:rPr>
        <w:t> kohaselt loodud Euroopa akrediteerimiskoostöö organisatsiooni (EA) riiklik haruasutus;</w:t>
      </w:r>
    </w:p>
    <w:p w14:paraId="5125824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47)   </w:t>
      </w:r>
      <w:r w:rsidRPr="004D5219">
        <w:rPr>
          <w:rFonts w:ascii="inherit" w:eastAsia="Times New Roman" w:hAnsi="inherit" w:cs="Times New Roman"/>
          <w:b/>
          <w:bCs/>
          <w:color w:val="000000"/>
          <w:sz w:val="24"/>
          <w:szCs w:val="24"/>
          <w:lang w:val="et-EE" w:bidi="ar-SA"/>
        </w:rPr>
        <w:t>„seadme tõend“</w:t>
      </w:r>
      <w:r w:rsidRPr="004D5219">
        <w:rPr>
          <w:rFonts w:ascii="inherit" w:eastAsia="Times New Roman" w:hAnsi="inherit" w:cs="Times New Roman"/>
          <w:color w:val="000000"/>
          <w:sz w:val="24"/>
          <w:szCs w:val="24"/>
          <w:lang w:val="et-EE" w:bidi="ar-SA"/>
        </w:rPr>
        <w:t xml:space="preserve">– dokument, mille on välja andnud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tootmismoodulis, tarbimisüksuses, jaotusvõrgus, tarbimisseadmes või alalisvooluülekandesüsteemis kasutatavate seadmete kohta. Seadme tõendis on määratud kindlaks kehtivuspiirid riigi või muul tasandil, millele vastavalt on valitud Euroopa tasandil lubatud väärtuste vahemikust spetsiifiline väärtus. Teatavate osade asendamiseks vastavusmenetluses võidakse seadme tõendis osutada mudelitele, mis on katsetulemuste alusel asendamiseks heaks kiidetud;</w:t>
      </w:r>
    </w:p>
    <w:p w14:paraId="2703FB7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48)   </w:t>
      </w:r>
      <w:r w:rsidRPr="004D5219">
        <w:rPr>
          <w:rFonts w:ascii="inherit" w:eastAsia="Times New Roman" w:hAnsi="inherit" w:cs="Times New Roman"/>
          <w:b/>
          <w:bCs/>
          <w:color w:val="000000"/>
          <w:sz w:val="24"/>
          <w:szCs w:val="24"/>
          <w:lang w:val="et-EE" w:bidi="ar-SA"/>
        </w:rPr>
        <w:t>„ergutuse juhtimissüsteem“</w:t>
      </w:r>
      <w:r w:rsidRPr="004D5219">
        <w:rPr>
          <w:rFonts w:ascii="inherit" w:eastAsia="Times New Roman" w:hAnsi="inherit" w:cs="Times New Roman"/>
          <w:color w:val="000000"/>
          <w:sz w:val="24"/>
          <w:szCs w:val="24"/>
          <w:lang w:val="et-EE" w:bidi="ar-SA"/>
        </w:rPr>
        <w:t>– tagasisidestuses juhtimissüsteem, mis hõlmab sünkroonmasinat koos oma ergutussüsteemiga;</w:t>
      </w:r>
    </w:p>
    <w:p w14:paraId="5ED1FE7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49)   </w:t>
      </w:r>
      <w:r w:rsidRPr="004D5219">
        <w:rPr>
          <w:rFonts w:ascii="inherit" w:eastAsia="Times New Roman" w:hAnsi="inherit" w:cs="Times New Roman"/>
          <w:b/>
          <w:bCs/>
          <w:color w:val="000000"/>
          <w:sz w:val="24"/>
          <w:szCs w:val="24"/>
          <w:lang w:val="et-EE" w:bidi="ar-SA"/>
        </w:rPr>
        <w:t>„U-Q/</w:t>
      </w:r>
      <w:proofErr w:type="spellStart"/>
      <w:r w:rsidRPr="004D5219">
        <w:rPr>
          <w:rFonts w:ascii="inherit" w:eastAsia="Times New Roman" w:hAnsi="inherit" w:cs="Times New Roman"/>
          <w:b/>
          <w:bCs/>
          <w:color w:val="000000"/>
          <w:sz w:val="24"/>
          <w:szCs w:val="24"/>
          <w:lang w:val="et-EE" w:bidi="ar-SA"/>
        </w:rPr>
        <w:t>P</w:t>
      </w:r>
      <w:r w:rsidRPr="004D5219">
        <w:rPr>
          <w:rFonts w:ascii="inherit" w:eastAsia="Times New Roman" w:hAnsi="inherit" w:cs="Times New Roman"/>
          <w:b/>
          <w:bCs/>
          <w:color w:val="000000"/>
          <w:sz w:val="17"/>
          <w:szCs w:val="17"/>
          <w:vertAlign w:val="subscript"/>
          <w:lang w:val="et-EE" w:bidi="ar-SA"/>
        </w:rPr>
        <w:t>max</w:t>
      </w:r>
      <w:proofErr w:type="spellEnd"/>
      <w:r w:rsidRPr="004D5219">
        <w:rPr>
          <w:rFonts w:ascii="inherit" w:eastAsia="Times New Roman" w:hAnsi="inherit" w:cs="Times New Roman"/>
          <w:b/>
          <w:bCs/>
          <w:color w:val="000000"/>
          <w:sz w:val="24"/>
          <w:szCs w:val="24"/>
          <w:lang w:val="et-EE" w:bidi="ar-SA"/>
        </w:rPr>
        <w:t> graafik“</w:t>
      </w:r>
      <w:r w:rsidRPr="004D5219">
        <w:rPr>
          <w:rFonts w:ascii="inherit" w:eastAsia="Times New Roman" w:hAnsi="inherit" w:cs="Times New Roman"/>
          <w:color w:val="000000"/>
          <w:sz w:val="24"/>
          <w:szCs w:val="24"/>
          <w:lang w:val="et-EE" w:bidi="ar-SA"/>
        </w:rPr>
        <w:t>– graafik, mis kirjeldab tootmismooduli või alalisvooluülekandesüsteemi muundurjaama reaktiivvõimsuse sõltuvust pingest ühenduspunktis;</w:t>
      </w:r>
    </w:p>
    <w:p w14:paraId="391CAC1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50)   </w:t>
      </w:r>
      <w:r w:rsidRPr="004D5219">
        <w:rPr>
          <w:rFonts w:ascii="inherit" w:eastAsia="Times New Roman" w:hAnsi="inherit" w:cs="Times New Roman"/>
          <w:b/>
          <w:bCs/>
          <w:color w:val="000000"/>
          <w:sz w:val="24"/>
          <w:szCs w:val="24"/>
          <w:lang w:val="et-EE" w:bidi="ar-SA"/>
        </w:rPr>
        <w:t>„stabiilse talitluse miinimumtase“</w:t>
      </w:r>
      <w:r w:rsidRPr="004D5219">
        <w:rPr>
          <w:rFonts w:ascii="inherit" w:eastAsia="Times New Roman" w:hAnsi="inherit" w:cs="Times New Roman"/>
          <w:color w:val="000000"/>
          <w:sz w:val="24"/>
          <w:szCs w:val="24"/>
          <w:lang w:val="et-EE" w:bidi="ar-SA"/>
        </w:rPr>
        <w:t>– ühenduslepinguga või asjaomase võrguettevõtja ja tootmisüksuse omaniku vahelise kokkuleppega sätestatud minimaalne aktiivvõimsus, mille puhul tootmismoodul saab stabiilselt töötada piiramata aja jooksul;</w:t>
      </w:r>
    </w:p>
    <w:p w14:paraId="1C03E94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51)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üleergutuspiiraja</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automaatpingeregulaatori juhtimisseade, mis ei lase generaatori rootorit üle koormata, piirates ergutusvoolu;</w:t>
      </w:r>
    </w:p>
    <w:p w14:paraId="5D18C4E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52)   </w:t>
      </w:r>
      <w:r w:rsidRPr="004D5219">
        <w:rPr>
          <w:rFonts w:ascii="inherit" w:eastAsia="Times New Roman" w:hAnsi="inherit" w:cs="Times New Roman"/>
          <w:b/>
          <w:bCs/>
          <w:color w:val="000000"/>
          <w:sz w:val="24"/>
          <w:szCs w:val="24"/>
          <w:lang w:val="et-EE" w:bidi="ar-SA"/>
        </w:rPr>
        <w:t>„</w:t>
      </w:r>
      <w:proofErr w:type="spellStart"/>
      <w:r w:rsidRPr="004D5219">
        <w:rPr>
          <w:rFonts w:ascii="inherit" w:eastAsia="Times New Roman" w:hAnsi="inherit" w:cs="Times New Roman"/>
          <w:b/>
          <w:bCs/>
          <w:color w:val="000000"/>
          <w:sz w:val="24"/>
          <w:szCs w:val="24"/>
          <w:lang w:val="et-EE" w:bidi="ar-SA"/>
        </w:rPr>
        <w:t>alaergutuspiiraja</w:t>
      </w:r>
      <w:proofErr w:type="spellEnd"/>
      <w:r w:rsidRPr="004D5219">
        <w:rPr>
          <w:rFonts w:ascii="inherit" w:eastAsia="Times New Roman" w:hAnsi="inherit" w:cs="Times New Roman"/>
          <w:b/>
          <w:bCs/>
          <w:color w:val="000000"/>
          <w:sz w:val="24"/>
          <w:szCs w:val="24"/>
          <w:lang w:val="et-EE" w:bidi="ar-SA"/>
        </w:rPr>
        <w:t>“</w:t>
      </w:r>
      <w:r w:rsidRPr="004D5219">
        <w:rPr>
          <w:rFonts w:ascii="inherit" w:eastAsia="Times New Roman" w:hAnsi="inherit" w:cs="Times New Roman"/>
          <w:color w:val="000000"/>
          <w:sz w:val="24"/>
          <w:szCs w:val="24"/>
          <w:lang w:val="et-EE" w:bidi="ar-SA"/>
        </w:rPr>
        <w:t>– automaatse pingeregulaatori juhtimisseade, mis ei lase generaatori sünkronismil puuduliku ergutuse tõttu kaduda;</w:t>
      </w:r>
    </w:p>
    <w:p w14:paraId="1A46745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53)   </w:t>
      </w:r>
      <w:r w:rsidRPr="004D5219">
        <w:rPr>
          <w:rFonts w:ascii="inherit" w:eastAsia="Times New Roman" w:hAnsi="inherit" w:cs="Times New Roman"/>
          <w:b/>
          <w:bCs/>
          <w:color w:val="000000"/>
          <w:sz w:val="24"/>
          <w:szCs w:val="24"/>
          <w:lang w:val="et-EE" w:bidi="ar-SA"/>
        </w:rPr>
        <w:t>„automaatpingeregulaator“</w:t>
      </w:r>
      <w:r w:rsidRPr="004D5219">
        <w:rPr>
          <w:rFonts w:ascii="inherit" w:eastAsia="Times New Roman" w:hAnsi="inherit" w:cs="Times New Roman"/>
          <w:color w:val="000000"/>
          <w:sz w:val="24"/>
          <w:szCs w:val="24"/>
          <w:lang w:val="et-EE" w:bidi="ar-SA"/>
        </w:rPr>
        <w:t>– pidevalt töötav automaatseade, mis juhib sünkroonmooduli väljundpinget, võrreldes seda pinge seadeväärtusega ja juhtides ergutussüsteemi väljundit;</w:t>
      </w:r>
    </w:p>
    <w:p w14:paraId="1BE8E2D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54)   </w:t>
      </w:r>
      <w:r w:rsidRPr="004D5219">
        <w:rPr>
          <w:rFonts w:ascii="inherit" w:eastAsia="Times New Roman" w:hAnsi="inherit" w:cs="Times New Roman"/>
          <w:b/>
          <w:bCs/>
          <w:color w:val="000000"/>
          <w:sz w:val="24"/>
          <w:szCs w:val="24"/>
          <w:lang w:val="et-EE" w:bidi="ar-SA"/>
        </w:rPr>
        <w:t>„elektrisüsteemi stabilisaator“</w:t>
      </w:r>
      <w:r w:rsidRPr="004D5219">
        <w:rPr>
          <w:rFonts w:ascii="inherit" w:eastAsia="Times New Roman" w:hAnsi="inherit" w:cs="Times New Roman"/>
          <w:color w:val="000000"/>
          <w:sz w:val="24"/>
          <w:szCs w:val="24"/>
          <w:lang w:val="et-EE" w:bidi="ar-SA"/>
        </w:rPr>
        <w:t>– sünkroonmooduli pingeregulaatori täiendav funktsioon, mis seisneb võimsuse võnkumise summutamises;</w:t>
      </w:r>
    </w:p>
    <w:p w14:paraId="50538B1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55)   </w:t>
      </w:r>
      <w:r w:rsidRPr="004D5219">
        <w:rPr>
          <w:rFonts w:ascii="inherit" w:eastAsia="Times New Roman" w:hAnsi="inherit" w:cs="Times New Roman"/>
          <w:b/>
          <w:bCs/>
          <w:color w:val="000000"/>
          <w:sz w:val="24"/>
          <w:szCs w:val="24"/>
          <w:lang w:val="et-EE" w:bidi="ar-SA"/>
        </w:rPr>
        <w:t>„kiire rikkevool“</w:t>
      </w:r>
      <w:r w:rsidRPr="004D5219">
        <w:rPr>
          <w:rFonts w:ascii="inherit" w:eastAsia="Times New Roman" w:hAnsi="inherit" w:cs="Times New Roman"/>
          <w:color w:val="000000"/>
          <w:sz w:val="24"/>
          <w:szCs w:val="24"/>
          <w:lang w:val="et-EE" w:bidi="ar-SA"/>
        </w:rPr>
        <w:t>– elektririkkest põhjustatud vool, mille tekitab energiapargimoodul või alalisvooluülekandesüsteem rikkest põhjustatud pinge kõrvalekalde ajal ja järel, et võrgu kaitsesüsteemid saaksid rikke selle algusjärgus kindlaks teha ning aidata süsteemi pinget säilitada rikke edasises järgus ja pärast rikke eraldamist pinge taastada;</w:t>
      </w:r>
    </w:p>
    <w:p w14:paraId="300C505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56)   </w:t>
      </w:r>
      <w:r w:rsidRPr="004D5219">
        <w:rPr>
          <w:rFonts w:ascii="inherit" w:eastAsia="Times New Roman" w:hAnsi="inherit" w:cs="Times New Roman"/>
          <w:b/>
          <w:bCs/>
          <w:color w:val="000000"/>
          <w:sz w:val="24"/>
          <w:szCs w:val="24"/>
          <w:lang w:val="et-EE" w:bidi="ar-SA"/>
        </w:rPr>
        <w:t>„võimsustegur“</w:t>
      </w:r>
      <w:r w:rsidRPr="004D5219">
        <w:rPr>
          <w:rFonts w:ascii="inherit" w:eastAsia="Times New Roman" w:hAnsi="inherit" w:cs="Times New Roman"/>
          <w:color w:val="000000"/>
          <w:sz w:val="24"/>
          <w:szCs w:val="24"/>
          <w:lang w:val="et-EE" w:bidi="ar-SA"/>
        </w:rPr>
        <w:t>– aktiivvõimsuse absoluutväärtuse ja näivvõimsuse suhe;</w:t>
      </w:r>
    </w:p>
    <w:p w14:paraId="6373090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57)   </w:t>
      </w:r>
      <w:r w:rsidRPr="004D5219">
        <w:rPr>
          <w:rFonts w:ascii="inherit" w:eastAsia="Times New Roman" w:hAnsi="inherit" w:cs="Times New Roman"/>
          <w:b/>
          <w:bCs/>
          <w:color w:val="000000"/>
          <w:sz w:val="24"/>
          <w:szCs w:val="24"/>
          <w:lang w:val="et-EE" w:bidi="ar-SA"/>
        </w:rPr>
        <w:t>„kalle“</w:t>
      </w:r>
      <w:r w:rsidRPr="004D5219">
        <w:rPr>
          <w:rFonts w:ascii="inherit" w:eastAsia="Times New Roman" w:hAnsi="inherit" w:cs="Times New Roman"/>
          <w:color w:val="000000"/>
          <w:sz w:val="24"/>
          <w:szCs w:val="24"/>
          <w:lang w:val="et-EE" w:bidi="ar-SA"/>
        </w:rPr>
        <w:t xml:space="preserve">– pinge muudu (pinge võrdlusväärtuse 1 </w:t>
      </w:r>
      <w:proofErr w:type="spellStart"/>
      <w:r w:rsidRPr="004D5219">
        <w:rPr>
          <w:rFonts w:ascii="inherit" w:eastAsia="Times New Roman" w:hAnsi="inherit" w:cs="Times New Roman"/>
          <w:color w:val="000000"/>
          <w:sz w:val="24"/>
          <w:szCs w:val="24"/>
          <w:lang w:val="et-EE" w:bidi="ar-SA"/>
        </w:rPr>
        <w:t>s.ü</w:t>
      </w:r>
      <w:proofErr w:type="spellEnd"/>
      <w:r w:rsidRPr="004D5219">
        <w:rPr>
          <w:rFonts w:ascii="inherit" w:eastAsia="Times New Roman" w:hAnsi="inherit" w:cs="Times New Roman"/>
          <w:color w:val="000000"/>
          <w:sz w:val="24"/>
          <w:szCs w:val="24"/>
          <w:lang w:val="et-EE" w:bidi="ar-SA"/>
        </w:rPr>
        <w:t>. suhtes) ja võrku sisestatud reaktiivvõimsuse muudu (nullist maksimaalseni, maksimumreaktiivvõimsuse suhtes) suhe;</w:t>
      </w:r>
    </w:p>
    <w:p w14:paraId="4F2E08D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58)   </w:t>
      </w:r>
      <w:r w:rsidRPr="004D5219">
        <w:rPr>
          <w:rFonts w:ascii="inherit" w:eastAsia="Times New Roman" w:hAnsi="inherit" w:cs="Times New Roman"/>
          <w:b/>
          <w:bCs/>
          <w:color w:val="000000"/>
          <w:sz w:val="24"/>
          <w:szCs w:val="24"/>
          <w:lang w:val="et-EE" w:bidi="ar-SA"/>
        </w:rPr>
        <w:t>„avamere võrguühendussüsteem“</w:t>
      </w:r>
      <w:r w:rsidRPr="004D5219">
        <w:rPr>
          <w:rFonts w:ascii="inherit" w:eastAsia="Times New Roman" w:hAnsi="inherit" w:cs="Times New Roman"/>
          <w:color w:val="000000"/>
          <w:sz w:val="24"/>
          <w:szCs w:val="24"/>
          <w:lang w:val="et-EE" w:bidi="ar-SA"/>
        </w:rPr>
        <w:t>– kõik ühenduselemendid mereühenduspunkti ja maismaa süsteemi vahel maismaaühenduspunktis;</w:t>
      </w:r>
    </w:p>
    <w:p w14:paraId="3415FBE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59)   </w:t>
      </w:r>
      <w:r w:rsidRPr="004D5219">
        <w:rPr>
          <w:rFonts w:ascii="inherit" w:eastAsia="Times New Roman" w:hAnsi="inherit" w:cs="Times New Roman"/>
          <w:b/>
          <w:bCs/>
          <w:color w:val="000000"/>
          <w:sz w:val="24"/>
          <w:szCs w:val="24"/>
          <w:lang w:val="et-EE" w:bidi="ar-SA"/>
        </w:rPr>
        <w:t>„maismaaühenduspunkt“</w:t>
      </w:r>
      <w:r w:rsidRPr="004D5219">
        <w:rPr>
          <w:rFonts w:ascii="inherit" w:eastAsia="Times New Roman" w:hAnsi="inherit" w:cs="Times New Roman"/>
          <w:color w:val="000000"/>
          <w:sz w:val="24"/>
          <w:szCs w:val="24"/>
          <w:lang w:val="et-EE" w:bidi="ar-SA"/>
        </w:rPr>
        <w:t>– punkt, kus on avamereühendussüsteem ühendatud asjaomase võrguettevõtja maismaavõrguga;</w:t>
      </w:r>
    </w:p>
    <w:p w14:paraId="4A6D473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60)   </w:t>
      </w:r>
      <w:r w:rsidRPr="004D5219">
        <w:rPr>
          <w:rFonts w:ascii="inherit" w:eastAsia="Times New Roman" w:hAnsi="inherit" w:cs="Times New Roman"/>
          <w:b/>
          <w:bCs/>
          <w:color w:val="000000"/>
          <w:sz w:val="24"/>
          <w:szCs w:val="24"/>
          <w:lang w:val="et-EE" w:bidi="ar-SA"/>
        </w:rPr>
        <w:t>„paigaldamisdokument“</w:t>
      </w:r>
      <w:r w:rsidRPr="004D5219">
        <w:rPr>
          <w:rFonts w:ascii="inherit" w:eastAsia="Times New Roman" w:hAnsi="inherit" w:cs="Times New Roman"/>
          <w:color w:val="000000"/>
          <w:sz w:val="24"/>
          <w:szCs w:val="24"/>
          <w:lang w:val="et-EE" w:bidi="ar-SA"/>
        </w:rPr>
        <w:t>– lihtne liigendatud dokument, mis sisaldab teavet pingel alla 1 000 V ühendatud A-tüüpi tootmismooduli või tarbimisseadme kohta koos tarbimiskajaga ning millega kinnitatakse, et asjakohased nõuded on täidetud;</w:t>
      </w:r>
    </w:p>
    <w:p w14:paraId="5D52370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61)   </w:t>
      </w:r>
      <w:r w:rsidRPr="004D5219">
        <w:rPr>
          <w:rFonts w:ascii="inherit" w:eastAsia="Times New Roman" w:hAnsi="inherit" w:cs="Times New Roman"/>
          <w:b/>
          <w:bCs/>
          <w:color w:val="000000"/>
          <w:sz w:val="24"/>
          <w:szCs w:val="24"/>
          <w:lang w:val="et-EE" w:bidi="ar-SA"/>
        </w:rPr>
        <w:t>„vastavustõend“</w:t>
      </w:r>
      <w:r w:rsidRPr="004D5219">
        <w:rPr>
          <w:rFonts w:ascii="inherit" w:eastAsia="Times New Roman" w:hAnsi="inherit" w:cs="Times New Roman"/>
          <w:color w:val="000000"/>
          <w:sz w:val="24"/>
          <w:szCs w:val="24"/>
          <w:lang w:val="et-EE" w:bidi="ar-SA"/>
        </w:rPr>
        <w:t>– dokument, mille esitab tootmismooduli omanik, tarbimisüksuse omanik, jaotusvõrguettevõtja või alalisvooluülekandesüsteemi omanik võrguettevõtjale ja milles kinnitatakse jooksva olukorra vastavust asjakohastele tehnilistele tingimustele ja nõuetele;</w:t>
      </w:r>
    </w:p>
    <w:p w14:paraId="3616529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62)   </w:t>
      </w:r>
      <w:r w:rsidRPr="004D5219">
        <w:rPr>
          <w:rFonts w:ascii="inherit" w:eastAsia="Times New Roman" w:hAnsi="inherit" w:cs="Times New Roman"/>
          <w:b/>
          <w:bCs/>
          <w:color w:val="000000"/>
          <w:sz w:val="24"/>
          <w:szCs w:val="24"/>
          <w:lang w:val="et-EE" w:bidi="ar-SA"/>
        </w:rPr>
        <w:t>„lõplik käiduteade“</w:t>
      </w:r>
      <w:r w:rsidRPr="004D5219">
        <w:rPr>
          <w:rFonts w:ascii="inherit" w:eastAsia="Times New Roman" w:hAnsi="inherit" w:cs="Times New Roman"/>
          <w:color w:val="000000"/>
          <w:sz w:val="24"/>
          <w:szCs w:val="24"/>
          <w:lang w:val="et-EE" w:bidi="ar-SA"/>
        </w:rPr>
        <w:t>– teade, mille annab välja asjaomane võrguettevõtja tootmisüksuse omanikule, tarbimisüksuse omanikule, jaotusvõrguettevõtjale või alalisvooluülekandesüsteemi omanikule, kelle üksus, võrk või süsteem vastab asjaomastele näitajatele ja nõuetele, ning mis lubab neil võrguühendust kasutades käitada vastavalt tootmisüksust, tarbimisüksust, jaotusvõrku või alalisvooluülekandesüsteemi;</w:t>
      </w:r>
    </w:p>
    <w:p w14:paraId="116B9AD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63)   </w:t>
      </w:r>
      <w:r w:rsidRPr="004D5219">
        <w:rPr>
          <w:rFonts w:ascii="inherit" w:eastAsia="Times New Roman" w:hAnsi="inherit" w:cs="Times New Roman"/>
          <w:b/>
          <w:bCs/>
          <w:color w:val="000000"/>
          <w:sz w:val="24"/>
          <w:szCs w:val="24"/>
          <w:lang w:val="et-EE" w:bidi="ar-SA"/>
        </w:rPr>
        <w:t>„pingestamisteade“</w:t>
      </w:r>
      <w:r w:rsidRPr="004D5219">
        <w:rPr>
          <w:rFonts w:ascii="inherit" w:eastAsia="Times New Roman" w:hAnsi="inherit" w:cs="Times New Roman"/>
          <w:color w:val="000000"/>
          <w:sz w:val="24"/>
          <w:szCs w:val="24"/>
          <w:lang w:val="et-EE" w:bidi="ar-SA"/>
        </w:rPr>
        <w:t xml:space="preserve">– teade, mille annab välja asjaomane võrguettevõtja tootmisüksuse omanikule, tarbimisüksuse omanikule, jaotusvõrguettevõtjale või alalisvooluülekandesüsteemi omanikule enne vastava </w:t>
      </w:r>
      <w:proofErr w:type="spellStart"/>
      <w:r w:rsidRPr="004D5219">
        <w:rPr>
          <w:rFonts w:ascii="inherit" w:eastAsia="Times New Roman" w:hAnsi="inherit" w:cs="Times New Roman"/>
          <w:color w:val="000000"/>
          <w:sz w:val="24"/>
          <w:szCs w:val="24"/>
          <w:lang w:val="et-EE" w:bidi="ar-SA"/>
        </w:rPr>
        <w:t>sisevõrgu</w:t>
      </w:r>
      <w:proofErr w:type="spellEnd"/>
      <w:r w:rsidRPr="004D5219">
        <w:rPr>
          <w:rFonts w:ascii="inherit" w:eastAsia="Times New Roman" w:hAnsi="inherit" w:cs="Times New Roman"/>
          <w:color w:val="000000"/>
          <w:sz w:val="24"/>
          <w:szCs w:val="24"/>
          <w:lang w:val="et-EE" w:bidi="ar-SA"/>
        </w:rPr>
        <w:t xml:space="preserve"> pingestamist;</w:t>
      </w:r>
    </w:p>
    <w:p w14:paraId="6820DD9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64)   </w:t>
      </w:r>
      <w:r w:rsidRPr="004D5219">
        <w:rPr>
          <w:rFonts w:ascii="inherit" w:eastAsia="Times New Roman" w:hAnsi="inherit" w:cs="Times New Roman"/>
          <w:b/>
          <w:bCs/>
          <w:color w:val="000000"/>
          <w:sz w:val="24"/>
          <w:szCs w:val="24"/>
          <w:lang w:val="et-EE" w:bidi="ar-SA"/>
        </w:rPr>
        <w:t>„ajutine käiduteade“</w:t>
      </w:r>
      <w:r w:rsidRPr="004D5219">
        <w:rPr>
          <w:rFonts w:ascii="inherit" w:eastAsia="Times New Roman" w:hAnsi="inherit" w:cs="Times New Roman"/>
          <w:color w:val="000000"/>
          <w:sz w:val="24"/>
          <w:szCs w:val="24"/>
          <w:lang w:val="et-EE" w:bidi="ar-SA"/>
        </w:rPr>
        <w:t>– teade, mille annab välja asjaomane võrguettevõtja tootmisüksuse omanikule, tarbimisüksuse omanikule, jaotusvõrguettevõtjale või alalisvooluülekandesüsteemi omanikule ning mis lubab neil käitada vastavalt tootmisüksust, tarbimisüksust, jaotusvõrku või alalisvooluülekandesüsteemi, kasutades võrguühendust piiratud aja jooksul, ja alustada vastavuskatseid, et kinnitada asjakohastele tingimustele ja nõuetele vastavust;</w:t>
      </w:r>
    </w:p>
    <w:p w14:paraId="4FE294E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65)   </w:t>
      </w:r>
      <w:r w:rsidRPr="004D5219">
        <w:rPr>
          <w:rFonts w:ascii="inherit" w:eastAsia="Times New Roman" w:hAnsi="inherit" w:cs="Times New Roman"/>
          <w:b/>
          <w:bCs/>
          <w:color w:val="000000"/>
          <w:sz w:val="24"/>
          <w:szCs w:val="24"/>
          <w:lang w:val="et-EE" w:bidi="ar-SA"/>
        </w:rPr>
        <w:t>„piiratud käidu teade“</w:t>
      </w:r>
      <w:r w:rsidRPr="004D5219">
        <w:rPr>
          <w:rFonts w:ascii="inherit" w:eastAsia="Times New Roman" w:hAnsi="inherit" w:cs="Times New Roman"/>
          <w:color w:val="000000"/>
          <w:sz w:val="24"/>
          <w:szCs w:val="24"/>
          <w:lang w:val="et-EE" w:bidi="ar-SA"/>
        </w:rPr>
        <w:t>– teade, mille annab välja asjaomane võrguettevõtja tootmisüksuse omanikule, tarbimisüksuse omanikule, jaotusvõrguettevõtjale või alalisvooluülekandesüsteemi omanikule, kellel on juba olnud lõpliku käiduteate seisund, kuid kellel on kas ajutiselt käsil oluline muudatus või kes on kaotanud suutlikkuse täita asjakohaseid tingimusi ja nõudeid.</w:t>
      </w:r>
    </w:p>
    <w:p w14:paraId="4276EC4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w:t>
      </w:r>
    </w:p>
    <w:p w14:paraId="67527C5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Kohaldamisala</w:t>
      </w:r>
    </w:p>
    <w:p w14:paraId="6279D43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Kui ei ole sätestatud teisiti, kohaldatakse käesolevas määruses sätestatud ühendamisnõudeid uute </w:t>
      </w:r>
      <w:proofErr w:type="spellStart"/>
      <w:r w:rsidRPr="004D5219">
        <w:rPr>
          <w:rFonts w:ascii="inherit" w:eastAsia="Times New Roman" w:hAnsi="inherit" w:cs="Times New Roman"/>
          <w:color w:val="000000"/>
          <w:sz w:val="24"/>
          <w:szCs w:val="24"/>
          <w:lang w:val="et-EE" w:bidi="ar-SA"/>
        </w:rPr>
        <w:t>elektritootmismoodulite</w:t>
      </w:r>
      <w:proofErr w:type="spellEnd"/>
      <w:r w:rsidRPr="004D5219">
        <w:rPr>
          <w:rFonts w:ascii="inherit" w:eastAsia="Times New Roman" w:hAnsi="inherit" w:cs="Times New Roman"/>
          <w:color w:val="000000"/>
          <w:sz w:val="24"/>
          <w:szCs w:val="24"/>
          <w:lang w:val="et-EE" w:bidi="ar-SA"/>
        </w:rPr>
        <w:t xml:space="preserve"> suhtes, mida artikli 5 kohaselt loetakse oluliseks.</w:t>
      </w:r>
    </w:p>
    <w:p w14:paraId="76CE8F4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Asjaomane võrguettevõtja ei tohi lubada ühendada tootmismoodulit, mis ei vasta käesolevas määruses sätestatud nõuetele ja mida ei hõlma erand, mille on artikli 60 kohaselt lubanud reguleeriv asutus või muu asutus, kui see on kohaldatav liikmesriigis. Asjaomane võrguettevõtja edastab sellise põhjendatud keeldumise kirjalikult tootmisüksuse omanikule ja reguleerivale asutusele, välja arvatud juhul, kui reguleeriv asutus on teisiti määratlenud.</w:t>
      </w:r>
    </w:p>
    <w:p w14:paraId="6D5A8B9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0C0F68F" w14:textId="77777777" w:rsidTr="008E1A17">
        <w:trPr>
          <w:tblCellSpacing w:w="0" w:type="dxa"/>
        </w:trPr>
        <w:tc>
          <w:tcPr>
            <w:tcW w:w="0" w:type="auto"/>
            <w:hideMark/>
          </w:tcPr>
          <w:p w14:paraId="45A9740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0D4DA2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tootmismoodulid, mis on ühendatud liikmesriikide saarte selliste ülekandevõrkude ja jaotusvõrkudega või ülekandevõrkude ja jaotusvõrkude osadega, mis ei tööta sünkroonselt Mandri-Euroopa, Suurbritannia, Põhjamaade, Iirimaa ja Põhja-Iirimaa või Balti energiasüsteemi sünkroonalaga;</w:t>
            </w:r>
          </w:p>
        </w:tc>
      </w:tr>
    </w:tbl>
    <w:p w14:paraId="15BFAC3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5923A0F" w14:textId="77777777" w:rsidTr="008E1A17">
        <w:trPr>
          <w:tblCellSpacing w:w="0" w:type="dxa"/>
        </w:trPr>
        <w:tc>
          <w:tcPr>
            <w:tcW w:w="0" w:type="auto"/>
            <w:hideMark/>
          </w:tcPr>
          <w:p w14:paraId="753F3C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6116D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tootmismoodulid, mis on paigaldatud varutoiteks ja talitlevad süsteemiga rööbiti vähem kui viis minutit kalendrikuus, kui süsteem on tavalises talitluses. Tootmismooduli rööbiti talitlemist hoolduse ajal ja juurutamisel tehtavate katsete ajal ei loeta viie minuti hulka;</w:t>
            </w:r>
          </w:p>
        </w:tc>
      </w:tr>
    </w:tbl>
    <w:p w14:paraId="45CA283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3B70BBB" w14:textId="77777777" w:rsidTr="008E1A17">
        <w:trPr>
          <w:tblCellSpacing w:w="0" w:type="dxa"/>
        </w:trPr>
        <w:tc>
          <w:tcPr>
            <w:tcW w:w="0" w:type="auto"/>
            <w:hideMark/>
          </w:tcPr>
          <w:p w14:paraId="7775ACD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87536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tootmismoodulid, millel ei ole püsiühenduspunkti ja mida võrguettevõtjad kasutavad selleks, et ajutiselt võimsust pakkuda, kui süsteemi normaalset võimsust ei ole kas osaliselt või üldse mitte võimalik kasutada;</w:t>
            </w:r>
          </w:p>
        </w:tc>
      </w:tr>
    </w:tbl>
    <w:p w14:paraId="6049EE0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236"/>
      </w:tblGrid>
      <w:tr w:rsidR="008E1A17" w:rsidRPr="00A2039D" w14:paraId="73AB2ED4" w14:textId="77777777" w:rsidTr="008E1A17">
        <w:trPr>
          <w:tblCellSpacing w:w="0" w:type="dxa"/>
        </w:trPr>
        <w:tc>
          <w:tcPr>
            <w:tcW w:w="0" w:type="auto"/>
            <w:hideMark/>
          </w:tcPr>
          <w:p w14:paraId="0F3E893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6D23060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salvestusseadmed, välja arvatud pumpjaama tootmismoodulid vastavalt artikli 6 lõikele 2.</w:t>
            </w:r>
          </w:p>
        </w:tc>
      </w:tr>
    </w:tbl>
    <w:p w14:paraId="093077A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w:t>
      </w:r>
    </w:p>
    <w:p w14:paraId="2369EB4D"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Kohaldamine olemasolevate tootmismoodulite suhtes</w:t>
      </w:r>
    </w:p>
    <w:p w14:paraId="3174A8F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Käesoleva määruse nõudeid ei kohaldata olemasolevate toomismoodulite suhtes,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DD460A9" w14:textId="77777777" w:rsidTr="008E1A17">
        <w:trPr>
          <w:tblCellSpacing w:w="0" w:type="dxa"/>
        </w:trPr>
        <w:tc>
          <w:tcPr>
            <w:tcW w:w="0" w:type="auto"/>
            <w:hideMark/>
          </w:tcPr>
          <w:p w14:paraId="6382C3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AA05DE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olemasolev C- või D-tüüpi tootmismoodul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0D14E4D9" w14:textId="77777777">
              <w:trPr>
                <w:tblCellSpacing w:w="0" w:type="dxa"/>
              </w:trPr>
              <w:tc>
                <w:tcPr>
                  <w:tcW w:w="0" w:type="auto"/>
                  <w:hideMark/>
                </w:tcPr>
                <w:p w14:paraId="653F73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E46CC3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kes kavatseb seadmeid ajakohastada või välja vahetada, nii et sellega muudetakse tootmismooduli tehnilisi näitajaid, peab sellistest kavadest ette teatama asjaomasele võrguettevõtjale;</w:t>
                  </w:r>
                </w:p>
              </w:tc>
            </w:tr>
          </w:tbl>
          <w:p w14:paraId="759C194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1F894419" w14:textId="77777777">
              <w:trPr>
                <w:tblCellSpacing w:w="0" w:type="dxa"/>
              </w:trPr>
              <w:tc>
                <w:tcPr>
                  <w:tcW w:w="0" w:type="auto"/>
                  <w:hideMark/>
                </w:tcPr>
                <w:p w14:paraId="00824E0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1F719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kui asjaomane võrguettevõtja leiab, et seadmete ajakohastamise või asendamise tõttu on vaja uut ühenduslepingut, teatab võrguettevõtja reguleerivale asutusele või vajaduse korral liikmesriigile ja</w:t>
                  </w:r>
                </w:p>
              </w:tc>
            </w:tr>
          </w:tbl>
          <w:p w14:paraId="7006246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324B368D" w14:textId="77777777">
              <w:trPr>
                <w:tblCellSpacing w:w="0" w:type="dxa"/>
              </w:trPr>
              <w:tc>
                <w:tcPr>
                  <w:tcW w:w="0" w:type="auto"/>
                  <w:hideMark/>
                </w:tcPr>
                <w:p w14:paraId="36B021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iii)</w:t>
                  </w:r>
                </w:p>
              </w:tc>
              <w:tc>
                <w:tcPr>
                  <w:tcW w:w="0" w:type="auto"/>
                  <w:hideMark/>
                </w:tcPr>
                <w:p w14:paraId="1DFA9C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reguleeriv asutus või, kui see on asjakohane, liikmesriik otsustab, kas olemasolevat ühenduslepingut tuleb muuta või on vaja uut ühenduslepingut ning milliseid käesoleva määruse nõudeid tuleb kohaldada, või</w:t>
                  </w:r>
                </w:p>
              </w:tc>
            </w:tr>
          </w:tbl>
          <w:p w14:paraId="0A788D6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78D037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19F8A36A" w14:textId="77777777" w:rsidTr="008E1A17">
        <w:trPr>
          <w:tblCellSpacing w:w="0" w:type="dxa"/>
        </w:trPr>
        <w:tc>
          <w:tcPr>
            <w:tcW w:w="0" w:type="auto"/>
            <w:hideMark/>
          </w:tcPr>
          <w:p w14:paraId="27CBD94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25B77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otsustab reguleeriv asutus või vajaduse korral liikmesriik, kas olemasoleva tootmismooduli suhtes tuleb kohaldada kõiki või teatavaid käesoleva määruse nõudeid vastavalt asjaomase põhivõrguettevõtja ettepanekule lõigete 3, 4 ja 5 kohaselt.</w:t>
            </w:r>
          </w:p>
        </w:tc>
      </w:tr>
    </w:tbl>
    <w:p w14:paraId="72A1E2B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Käesoleva määruse kohaldamisel loetakse tootmismoodul olemasolevaks tootmismooduliks, kui:</w:t>
      </w:r>
    </w:p>
    <w:tbl>
      <w:tblPr>
        <w:tblW w:w="5000" w:type="pct"/>
        <w:tblCellSpacing w:w="0" w:type="dxa"/>
        <w:tblCellMar>
          <w:left w:w="0" w:type="dxa"/>
          <w:right w:w="0" w:type="dxa"/>
        </w:tblCellMar>
        <w:tblLook w:val="04A0" w:firstRow="1" w:lastRow="0" w:firstColumn="1" w:lastColumn="0" w:noHBand="0" w:noVBand="1"/>
      </w:tblPr>
      <w:tblGrid>
        <w:gridCol w:w="254"/>
        <w:gridCol w:w="9196"/>
      </w:tblGrid>
      <w:tr w:rsidR="008E1A17" w:rsidRPr="00A2039D" w14:paraId="7BA1F752" w14:textId="77777777" w:rsidTr="008E1A17">
        <w:trPr>
          <w:tblCellSpacing w:w="0" w:type="dxa"/>
        </w:trPr>
        <w:tc>
          <w:tcPr>
            <w:tcW w:w="0" w:type="auto"/>
            <w:hideMark/>
          </w:tcPr>
          <w:p w14:paraId="47834BB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2FC7F0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käesoleva määruse jõustumise päeval on see juba ühendatud võrku või</w:t>
            </w:r>
          </w:p>
        </w:tc>
      </w:tr>
    </w:tbl>
    <w:p w14:paraId="0F9A057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F800FAA" w14:textId="77777777" w:rsidTr="008E1A17">
        <w:trPr>
          <w:tblCellSpacing w:w="0" w:type="dxa"/>
        </w:trPr>
        <w:tc>
          <w:tcPr>
            <w:tcW w:w="0" w:type="auto"/>
            <w:hideMark/>
          </w:tcPr>
          <w:p w14:paraId="22CF95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09D598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on sõlminud lõpliku ja siduva ostulepingu põhitootmisseadme ostuks mitte hiljem kui kaks aastat pärast käesoleva määruse jõustumist. Tootmisüksuse omanik peab teatama lepingu sõlmimisest asjaomasele võrguettevõtjale ja põhivõrguettevõtjale hiljemalt 30 kuud pärast käesoleva määruse jõustumist.</w:t>
            </w:r>
          </w:p>
        </w:tc>
      </w:tr>
    </w:tbl>
    <w:p w14:paraId="6EE5F07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Tootmisüksuse omanik esitab asjaomasele võrguettevõtjale ja asjaomasele põhivõrguettevõtjale teate, milles tuleb märkida vähemalt lepingu pealkiri, selle allkirjastamise kuupäev ja jõustumise kuupäev ning ehitatava, koostatava või ostetava põhitootmisseadme tehnilised näitajad.</w:t>
      </w:r>
    </w:p>
    <w:p w14:paraId="0647851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Liikmesriik võib sätestada, et teatavatel tingimustel võib reguleeriv asutus otsustada, kas tootmismoodulit tuleb käsitada olemasoleva või uue tootmismoodulina.</w:t>
      </w:r>
    </w:p>
    <w:p w14:paraId="00CA68B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Selleks, et võtta arvesse selliseid olulisi tegelike asjaolude muutusi nagu süsteemi nõuete areng, sealhulgas taastuvate energiaallikate ja arukate võrkude kasutusele võtmine, elektri </w:t>
      </w:r>
      <w:proofErr w:type="spellStart"/>
      <w:r w:rsidRPr="004D5219">
        <w:rPr>
          <w:rFonts w:ascii="inherit" w:eastAsia="Times New Roman" w:hAnsi="inherit" w:cs="Times New Roman"/>
          <w:color w:val="000000"/>
          <w:sz w:val="24"/>
          <w:szCs w:val="24"/>
          <w:lang w:val="et-EE" w:bidi="ar-SA"/>
        </w:rPr>
        <w:t>hajatootmine</w:t>
      </w:r>
      <w:proofErr w:type="spellEnd"/>
      <w:r w:rsidRPr="004D5219">
        <w:rPr>
          <w:rFonts w:ascii="inherit" w:eastAsia="Times New Roman" w:hAnsi="inherit" w:cs="Times New Roman"/>
          <w:color w:val="000000"/>
          <w:sz w:val="24"/>
          <w:szCs w:val="24"/>
          <w:lang w:val="et-EE" w:bidi="ar-SA"/>
        </w:rPr>
        <w:t xml:space="preserve"> ja tarbimiskaja, võib asjaomane põhivõrguettevõtja pärast avalikke konsultatsioone vastavalt artiklile 10 teha kas reguleerivale asutusele või, kui see on asjakohane, liikmesriigile ettepaneku laiendada käesoleva määruse kohaldamist olemasolevatele tootmismoodulitele.</w:t>
      </w:r>
    </w:p>
    <w:p w14:paraId="701F799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Sel eesmärgil tuleb teha artiklite 38 ja 39 kohane usaldusväärne ja läbipaistev arvutuslik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219"/>
        <w:gridCol w:w="9231"/>
      </w:tblGrid>
      <w:tr w:rsidR="008E1A17" w:rsidRPr="00A2039D" w14:paraId="26973CAB" w14:textId="77777777" w:rsidTr="008E1A17">
        <w:trPr>
          <w:tblCellSpacing w:w="0" w:type="dxa"/>
        </w:trPr>
        <w:tc>
          <w:tcPr>
            <w:tcW w:w="0" w:type="auto"/>
            <w:hideMark/>
          </w:tcPr>
          <w:p w14:paraId="0288522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2C54FE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olemasolevate tootmismoodulite käesolevale määrusele vastavusse viimise kulud;</w:t>
            </w:r>
          </w:p>
        </w:tc>
      </w:tr>
    </w:tbl>
    <w:p w14:paraId="12FF3E3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1DF8486" w14:textId="77777777" w:rsidTr="008E1A17">
        <w:trPr>
          <w:tblCellSpacing w:w="0" w:type="dxa"/>
        </w:trPr>
        <w:tc>
          <w:tcPr>
            <w:tcW w:w="0" w:type="auto"/>
            <w:hideMark/>
          </w:tcPr>
          <w:p w14:paraId="6503AD5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91E7E4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ühiskondlik-majanduslik kasu, mis saadakse käesolevas määruses sätestatud nõuete kohaldamisest, ning</w:t>
            </w:r>
          </w:p>
        </w:tc>
      </w:tr>
    </w:tbl>
    <w:p w14:paraId="76EBBF8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3"/>
        <w:gridCol w:w="9147"/>
      </w:tblGrid>
      <w:tr w:rsidR="008E1A17" w:rsidRPr="00A2039D" w14:paraId="609BB9CD" w14:textId="77777777" w:rsidTr="008E1A17">
        <w:trPr>
          <w:tblCellSpacing w:w="0" w:type="dxa"/>
        </w:trPr>
        <w:tc>
          <w:tcPr>
            <w:tcW w:w="0" w:type="auto"/>
            <w:hideMark/>
          </w:tcPr>
          <w:p w14:paraId="4D1F766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B0D84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võimalused saavutada nõutav tulemus muude meetmetega.</w:t>
            </w:r>
          </w:p>
        </w:tc>
      </w:tr>
    </w:tbl>
    <w:p w14:paraId="5133DB6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Enne lõikes 3 osutatud kvantitatiivse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78"/>
        <w:gridCol w:w="9072"/>
      </w:tblGrid>
      <w:tr w:rsidR="008E1A17" w:rsidRPr="004D5219" w14:paraId="5ABA9681" w14:textId="77777777" w:rsidTr="008E1A17">
        <w:trPr>
          <w:tblCellSpacing w:w="0" w:type="dxa"/>
        </w:trPr>
        <w:tc>
          <w:tcPr>
            <w:tcW w:w="0" w:type="auto"/>
            <w:hideMark/>
          </w:tcPr>
          <w:p w14:paraId="4D7477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808F56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tegema esialgse kvalitatiivse tasuvushinnangu;</w:t>
            </w:r>
          </w:p>
        </w:tc>
      </w:tr>
    </w:tbl>
    <w:p w14:paraId="432CADE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4"/>
        <w:gridCol w:w="9246"/>
      </w:tblGrid>
      <w:tr w:rsidR="008E1A17" w:rsidRPr="00A2039D" w14:paraId="0A1A3E5D" w14:textId="77777777" w:rsidTr="008E1A17">
        <w:trPr>
          <w:tblCellSpacing w:w="0" w:type="dxa"/>
        </w:trPr>
        <w:tc>
          <w:tcPr>
            <w:tcW w:w="0" w:type="auto"/>
            <w:hideMark/>
          </w:tcPr>
          <w:p w14:paraId="241844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21BA87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saama heakskiidu asjaomaselt reguleerivalt asutuselt või, kui see on asjakohane, liikmesriigilt.</w:t>
            </w:r>
          </w:p>
        </w:tc>
      </w:tr>
    </w:tbl>
    <w:p w14:paraId="2BD72F8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Asjakohane reguleeriv asutus või, kui see on asjakohane, liikmesriik peab tegema otsuse, kas laiendada käesoleva määruse kohaldamist olemasolevatele tootmismoodulitele, kuue kuu jooksul pärast aruande ja soovituse saamist asjaomaselt põhivõrguettevõtjalt vastavalt artikli 38 lõikele 4. Reguleeriva asutuse või, kui see on asjakohane, liikmesriigi otsus tuleb avaldada.</w:t>
      </w:r>
    </w:p>
    <w:p w14:paraId="7948362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Asjaomane põhivõrguettevõtja peab võtma arvesse tootmisüksuste omanike õiguspäraseid ootusi, kui ta hindab käesoleva määruse kohaldamist olemasolevate tootmismoodulite suhtes.</w:t>
      </w:r>
    </w:p>
    <w:p w14:paraId="6252284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Asjaomane põhivõrguettevõtja võib hinnata mõne või kõigi käesoleva määruse sätete kohaldamist olemasolevate tootmismoodulite suhtes iga kolme aasta järel kooskõlas käesoleva artikli lõigetes 3–5 sätestatud nõuete ja menetlusega.</w:t>
      </w:r>
    </w:p>
    <w:p w14:paraId="04E0B305"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w:t>
      </w:r>
    </w:p>
    <w:p w14:paraId="3B407E44"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Olulisuse määramine</w:t>
      </w:r>
    </w:p>
    <w:p w14:paraId="3438BA1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1.   Tootmismoodulid peavad vastama oma ühenduspunkti pinge ja maksimumvõimsuse nõuetele lõikes 2 sätestatud kategooriate kohaselt.</w:t>
      </w:r>
    </w:p>
    <w:p w14:paraId="7F46DCF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15"/>
        <w:gridCol w:w="9235"/>
      </w:tblGrid>
      <w:tr w:rsidR="008E1A17" w:rsidRPr="00A2039D" w14:paraId="3904FA5A" w14:textId="77777777" w:rsidTr="008E1A17">
        <w:trPr>
          <w:tblCellSpacing w:w="0" w:type="dxa"/>
        </w:trPr>
        <w:tc>
          <w:tcPr>
            <w:tcW w:w="0" w:type="auto"/>
            <w:hideMark/>
          </w:tcPr>
          <w:p w14:paraId="5C97D1C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758E9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 pinge alla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ja maksimumvõimsus vähemalt 0,8 kW (A-tüüp);</w:t>
            </w:r>
          </w:p>
        </w:tc>
      </w:tr>
    </w:tbl>
    <w:p w14:paraId="0F051BA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6972B66" w14:textId="77777777" w:rsidTr="008E1A17">
        <w:trPr>
          <w:tblCellSpacing w:w="0" w:type="dxa"/>
        </w:trPr>
        <w:tc>
          <w:tcPr>
            <w:tcW w:w="0" w:type="auto"/>
            <w:hideMark/>
          </w:tcPr>
          <w:p w14:paraId="520277A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3B660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 pinge alla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ja maksimumvõimsus vähemalt võrdne piirmääraga, mille esitab iga asjaomane põhivõrguettevõtja lõikes 3 sätestatud menetlusega (B-tüüp). Piirmäär ei tohi olla suurem B-tüüpi tootmismoodulite kohta esitatud väärtustest tabelis 1;</w:t>
            </w:r>
          </w:p>
        </w:tc>
      </w:tr>
    </w:tbl>
    <w:p w14:paraId="3068D21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3D698DE" w14:textId="77777777" w:rsidTr="008E1A17">
        <w:trPr>
          <w:tblCellSpacing w:w="0" w:type="dxa"/>
        </w:trPr>
        <w:tc>
          <w:tcPr>
            <w:tcW w:w="0" w:type="auto"/>
            <w:hideMark/>
          </w:tcPr>
          <w:p w14:paraId="405023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5D7F33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 pinge alla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ja maksimumvõimsus vähemalt võrdne piirmääraga, mille esitab iga asjaomane põhivõrguettevõtja lõike 3 kohaselt (C-tüüp). Piirmäär ei tohi olla suurem C-tüüpi tootmismoodulite kohta esitatud väärtustest tabelis 1, või</w:t>
            </w:r>
          </w:p>
        </w:tc>
      </w:tr>
    </w:tbl>
    <w:p w14:paraId="0AB3755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35322AEB" w14:textId="77777777" w:rsidTr="008E1A17">
        <w:trPr>
          <w:tblCellSpacing w:w="0" w:type="dxa"/>
        </w:trPr>
        <w:tc>
          <w:tcPr>
            <w:tcW w:w="0" w:type="auto"/>
            <w:hideMark/>
          </w:tcPr>
          <w:p w14:paraId="21AA15E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151608D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 pinge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või suurem (D-tüüp). Tootmismoodul on D-tüüpi ka siis, kui ühenduspunkti pinge on väiksem kui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ja maksimumvõimsus vähemalt võrdne piirmääraga, mis on kindlaks määratud vastavalt lõikele 3. Piirmäär ei tohi olla suurem D-tüüpi tootmismoodulite kohta esitatud väärtustest tabelis 1.</w:t>
            </w:r>
          </w:p>
          <w:p w14:paraId="095E117A"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1</w:t>
            </w:r>
          </w:p>
          <w:p w14:paraId="78D121F9"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65"/>
              <w:gridCol w:w="2589"/>
              <w:gridCol w:w="2590"/>
              <w:gridCol w:w="2590"/>
            </w:tblGrid>
            <w:tr w:rsidR="008E1A17" w:rsidRPr="00A2039D" w14:paraId="1E8F119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A11578E"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56588D12"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1E28C501"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1D1A8C8F"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Maksimumvõimsuse piirmäär, millest alates loetakse tootmismoodul kuuluvaks D-tüüpi</w:t>
                  </w:r>
                </w:p>
              </w:tc>
            </w:tr>
            <w:tr w:rsidR="008E1A17" w:rsidRPr="004D5219" w14:paraId="0E3A2D7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E29E947" w14:textId="77777777" w:rsidR="008E1A17" w:rsidRPr="004D5219" w:rsidRDefault="008E1A17"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08E73033" w14:textId="77777777" w:rsidR="008E1A17" w:rsidRPr="004D5219" w:rsidRDefault="008E1A17"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0,5 MW</w:t>
                  </w:r>
                </w:p>
              </w:tc>
              <w:tc>
                <w:tcPr>
                  <w:tcW w:w="0" w:type="auto"/>
                  <w:tcBorders>
                    <w:top w:val="single" w:sz="6" w:space="0" w:color="000000"/>
                    <w:left w:val="single" w:sz="6" w:space="0" w:color="000000"/>
                    <w:bottom w:val="single" w:sz="6" w:space="0" w:color="000000"/>
                    <w:right w:val="single" w:sz="6" w:space="0" w:color="000000"/>
                  </w:tcBorders>
                  <w:hideMark/>
                </w:tcPr>
                <w:p w14:paraId="2830BB1E" w14:textId="3FC6C0DA" w:rsidR="008E1A17" w:rsidRPr="004D5219" w:rsidRDefault="008E1A17"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5 MW</w:t>
                  </w:r>
                </w:p>
              </w:tc>
              <w:tc>
                <w:tcPr>
                  <w:tcW w:w="0" w:type="auto"/>
                  <w:tcBorders>
                    <w:top w:val="single" w:sz="6" w:space="0" w:color="000000"/>
                    <w:left w:val="single" w:sz="6" w:space="0" w:color="000000"/>
                    <w:bottom w:val="single" w:sz="6" w:space="0" w:color="000000"/>
                    <w:right w:val="single" w:sz="6" w:space="0" w:color="000000"/>
                  </w:tcBorders>
                  <w:hideMark/>
                </w:tcPr>
                <w:p w14:paraId="70873647" w14:textId="77777777" w:rsidR="008E1A17" w:rsidRPr="004D5219" w:rsidRDefault="008E1A17"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15 MW</w:t>
                  </w:r>
                </w:p>
              </w:tc>
            </w:tr>
          </w:tbl>
          <w:p w14:paraId="68EF08D1"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0A54FE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B-, C- ja D-kategooria tootmismoodulite maksimumvõimsuse piirmäärade ettepanekud peab kinnitama asjaomane reguleeriv asutus või liikmesriik, kui see on asjakohane. Asjaomane põhivõrguettevõtja peab ettepanekute koostamisel need kooskõlastama naaberpiirkondade põhivõrguettevõtjate ja jaotusvõrguettevõtjatega ning korraldama kooskõlas artikliga 10 avaliku arutelu. Uut ettepanekut piirmäära muutmiseks ei või asjaomane põhivõrguettevõtja teha varem kui kolm aastat pärast eelmist ettepanekut.</w:t>
      </w:r>
    </w:p>
    <w:p w14:paraId="40F795F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Tootmisüksuste omanikud peavad kõnealusele protsessile kaasa aitama ja esitama andmed, mida nõuab asjaomane põhivõrguettevõtja.</w:t>
      </w:r>
    </w:p>
    <w:p w14:paraId="75418D1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Kui piirmäära muutmise tõttu langeb tootmismoodul teise tüübi alla, tuleb kohaldada artikli 4 lõikes 3 sätestatud olemasolevaid tootmismooduleid käsitlevat menetlust, enne kui nõutakse kooskõla uuele tüübile vastavate nõuetega.</w:t>
      </w:r>
    </w:p>
    <w:p w14:paraId="6ECE42B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w:t>
      </w:r>
    </w:p>
    <w:p w14:paraId="79E2F38B"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Kohaldamine tootmismoodulite, pumpjaama tootmismoodulite, soojuse ja elektri koostootmisjaamade ning tööstusettevõtete suhtes</w:t>
      </w:r>
    </w:p>
    <w:p w14:paraId="12A6263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Avamere tootmismoodulid, mis on ühendsüsteemi ühendatud, peavad vastama maismaa tootmismoodulite nõuetele, kui asjaomane võrguettevõtja ei ole sel eesmärgil nõudeid muutnud, või kui energiapargimoodulid on ühendatud kõrgepingealalisvooluühenduse kaudu või sellise võrgu kaudu, mis ei ole sünkroonselt ühendatud peamise ühendsüsteemiga (näiteks </w:t>
      </w:r>
      <w:proofErr w:type="spellStart"/>
      <w:r w:rsidRPr="004D5219">
        <w:rPr>
          <w:rFonts w:ascii="inherit" w:eastAsia="Times New Roman" w:hAnsi="inherit" w:cs="Times New Roman"/>
          <w:color w:val="000000"/>
          <w:sz w:val="24"/>
          <w:szCs w:val="24"/>
          <w:lang w:val="et-EE" w:bidi="ar-SA"/>
        </w:rPr>
        <w:t>vastulülituses</w:t>
      </w:r>
      <w:proofErr w:type="spellEnd"/>
      <w:r w:rsidRPr="004D5219">
        <w:rPr>
          <w:rFonts w:ascii="inherit" w:eastAsia="Times New Roman" w:hAnsi="inherit" w:cs="Times New Roman"/>
          <w:color w:val="000000"/>
          <w:sz w:val="24"/>
          <w:szCs w:val="24"/>
          <w:lang w:val="et-EE" w:bidi="ar-SA"/>
        </w:rPr>
        <w:t xml:space="preserve"> muundurskeemi kaudu).</w:t>
      </w:r>
    </w:p>
    <w:p w14:paraId="0B13E1A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Pumpjaama tootmismoodulid peavad vastama asjaomastele nõuetele nii generaator- kui ka pumpamistalitluses. Pumpjaama tootmismoodulite tehniline lahendus ei tohi ajaliselt piirata tootmismooduli </w:t>
      </w:r>
      <w:proofErr w:type="spellStart"/>
      <w:r w:rsidRPr="004D5219">
        <w:rPr>
          <w:rFonts w:ascii="inherit" w:eastAsia="Times New Roman" w:hAnsi="inherit" w:cs="Times New Roman"/>
          <w:color w:val="000000"/>
          <w:sz w:val="24"/>
          <w:szCs w:val="24"/>
          <w:lang w:val="et-EE" w:bidi="ar-SA"/>
        </w:rPr>
        <w:t>sünkroonkompensaatortalitlust</w:t>
      </w:r>
      <w:proofErr w:type="spellEnd"/>
      <w:r w:rsidRPr="004D5219">
        <w:rPr>
          <w:rFonts w:ascii="inherit" w:eastAsia="Times New Roman" w:hAnsi="inherit" w:cs="Times New Roman"/>
          <w:color w:val="000000"/>
          <w:sz w:val="24"/>
          <w:szCs w:val="24"/>
          <w:lang w:val="et-EE" w:bidi="ar-SA"/>
        </w:rPr>
        <w:t>. Pumpjaama muudetava kiirusega tootmismoodulid peavad vastama sünkroonmoodulite suhtes kohaldatavatele nõuetele ja ka artikli 20 lõike 2 punkti b nõuetele, kui need on B-, C- või D-tüüpi.</w:t>
      </w:r>
    </w:p>
    <w:p w14:paraId="14C53BF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3.   Tööstusettevõtte võrkudesse paigaldatud tootmismoodulite puhul peab tootmisüksuse omanikul, tööstusettevõtte võrguettevõtjal ja asjaomasel võrguettevõtjal, kelle võrk on ühendatud tööstusettevõtte võrku, olema õigus leppida kokku, millistel tingimustel tohib asjaomase võrguettevõtja võrgust lahti ühendada tootmisprotsesside tagamisega seotud tootmismoodulid koos kriitiliste tarbijatega. Selle õiguse kasutamine tuleb kooskõlastada asjaomase põhivõrguettevõtjaga.</w:t>
      </w:r>
    </w:p>
    <w:p w14:paraId="6D9AE45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Kui riiklikus õigusraamistikus ei ole sätestatud teisiti, ei kohaldata käesoleva määruse konstantse väljundaktiivvõimsuse säilitamise või muutmise suutlikkust puudutavaid nõudeid, välja arvatud artikli 13 lõigetes 2 ja 4 sätestatud nõuded, tööstusettevõtte võrkudesse paigaldatud elektri ja soojuse koostootmisüksuste tootmismoodulite suhtes, kui on täidetud kõik järgmised tingimused: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44B8542" w14:textId="77777777" w:rsidTr="008E1A17">
        <w:trPr>
          <w:tblCellSpacing w:w="0" w:type="dxa"/>
        </w:trPr>
        <w:tc>
          <w:tcPr>
            <w:tcW w:w="0" w:type="auto"/>
            <w:hideMark/>
          </w:tcPr>
          <w:p w14:paraId="6A3808B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2B27B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selliste seadmete esmaülesanne on toota soojust asjaomase tööstusettevõtte tootmisprotsesside jaoks;</w:t>
            </w:r>
          </w:p>
        </w:tc>
      </w:tr>
    </w:tbl>
    <w:p w14:paraId="3044017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8B90605" w14:textId="77777777" w:rsidTr="008E1A17">
        <w:trPr>
          <w:tblCellSpacing w:w="0" w:type="dxa"/>
        </w:trPr>
        <w:tc>
          <w:tcPr>
            <w:tcW w:w="0" w:type="auto"/>
            <w:hideMark/>
          </w:tcPr>
          <w:p w14:paraId="3BF9A79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3A053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soojuse ja elektrienergia tootmine on omavahel lahutamatult seotud, st iga muudatus soojuse tootmises põhjustab vältimatult muudatuse aktiivvõimsuse tootmises ja vastupidi;</w:t>
            </w:r>
          </w:p>
        </w:tc>
      </w:tr>
    </w:tbl>
    <w:p w14:paraId="1D28ECF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DE066DD" w14:textId="77777777" w:rsidTr="008E1A17">
        <w:trPr>
          <w:tblCellSpacing w:w="0" w:type="dxa"/>
        </w:trPr>
        <w:tc>
          <w:tcPr>
            <w:tcW w:w="0" w:type="auto"/>
            <w:hideMark/>
          </w:tcPr>
          <w:p w14:paraId="4617C9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992555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tootmismoodulid on kas A-, B- või C-tüüpi või Põhjamaade sünkroonala korral D-tüüpi vastavalt artikli 5 lõike 2 punktidele a–c.</w:t>
            </w:r>
          </w:p>
        </w:tc>
      </w:tr>
    </w:tbl>
    <w:p w14:paraId="44D6DC9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Soojuse ja elektri koostootmisüksusi hinnatakse nende elektrilise maksimumvõimsuse järgi.</w:t>
      </w:r>
    </w:p>
    <w:p w14:paraId="01DA52F3"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7</w:t>
      </w:r>
    </w:p>
    <w:p w14:paraId="2FACD49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Regulatiivsed tahud</w:t>
      </w:r>
    </w:p>
    <w:p w14:paraId="1463C9E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Üldiselt kohaldatavad nõuded, mille peavad käesoleva määruse kohaselt kehtestama asjaomased võrguettevõtjad või põhivõrguettevõtjad, peab kinnitama liikmesriigi määratud asutus ja need tuleb avaldada. Määratud asutus on reguleeriv asutus, kui liikmesriik ei ole sätestanud teisiti</w:t>
      </w:r>
    </w:p>
    <w:p w14:paraId="5345336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Liikmesriigid võivad nõuda, et kohaspetsiifilised nõuded, mille peavad käesoleva määruse kohaselt kehtestama asjaomased võrguettevõtjad või põhivõrguettevõtjad, peavad saama määratud asutuse heakskiidu.</w:t>
      </w:r>
    </w:p>
    <w:p w14:paraId="20D1CEC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Käesoleva määruse kohaldamisel peavad liikmesriigid, reguleerivad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56"/>
        <w:gridCol w:w="9194"/>
      </w:tblGrid>
      <w:tr w:rsidR="008E1A17" w:rsidRPr="00A2039D" w14:paraId="616998D5" w14:textId="77777777" w:rsidTr="008E1A17">
        <w:trPr>
          <w:tblCellSpacing w:w="0" w:type="dxa"/>
        </w:trPr>
        <w:tc>
          <w:tcPr>
            <w:tcW w:w="0" w:type="auto"/>
            <w:hideMark/>
          </w:tcPr>
          <w:p w14:paraId="2BF5C8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F0F84E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kohaldama proportsionaalsuse ja mittediskrimineerimise põhimõtteid;</w:t>
            </w:r>
          </w:p>
        </w:tc>
      </w:tr>
    </w:tbl>
    <w:p w14:paraId="2B190F3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832"/>
        <w:gridCol w:w="8618"/>
      </w:tblGrid>
      <w:tr w:rsidR="008E1A17" w:rsidRPr="004D5219" w14:paraId="20311E6F" w14:textId="77777777" w:rsidTr="008E1A17">
        <w:trPr>
          <w:tblCellSpacing w:w="0" w:type="dxa"/>
        </w:trPr>
        <w:tc>
          <w:tcPr>
            <w:tcW w:w="0" w:type="auto"/>
            <w:hideMark/>
          </w:tcPr>
          <w:p w14:paraId="7B68FFF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630FB9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tagama läbipaistvuse;</w:t>
            </w:r>
          </w:p>
        </w:tc>
      </w:tr>
    </w:tbl>
    <w:p w14:paraId="176959D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2742FEB" w14:textId="77777777" w:rsidTr="008E1A17">
        <w:trPr>
          <w:tblCellSpacing w:w="0" w:type="dxa"/>
        </w:trPr>
        <w:tc>
          <w:tcPr>
            <w:tcW w:w="0" w:type="auto"/>
            <w:hideMark/>
          </w:tcPr>
          <w:p w14:paraId="3FA8A54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3D9B7F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kohaldama kõigi osaliste suhtes põhimõtet, et tuleb leida optimum suurima üldise tõhususe ja väikseimate kogukulude vahel;</w:t>
            </w:r>
          </w:p>
        </w:tc>
      </w:tr>
    </w:tbl>
    <w:p w14:paraId="0E5EF70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E14368A" w14:textId="77777777" w:rsidTr="008E1A17">
        <w:trPr>
          <w:tblCellSpacing w:w="0" w:type="dxa"/>
        </w:trPr>
        <w:tc>
          <w:tcPr>
            <w:tcW w:w="0" w:type="auto"/>
            <w:hideMark/>
          </w:tcPr>
          <w:p w14:paraId="6C37AB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2EB26D3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austama asjaomasele põhivõrguettevõtjale pandud vastutust, sealhulgas siseriiklike õigusaktidega pandud vastutust süsteemi talitluskindluse tagamise eest;</w:t>
            </w:r>
          </w:p>
        </w:tc>
      </w:tr>
    </w:tbl>
    <w:p w14:paraId="387D0D0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4402DF1" w14:textId="77777777" w:rsidTr="008E1A17">
        <w:trPr>
          <w:tblCellSpacing w:w="0" w:type="dxa"/>
        </w:trPr>
        <w:tc>
          <w:tcPr>
            <w:tcW w:w="0" w:type="auto"/>
            <w:hideMark/>
          </w:tcPr>
          <w:p w14:paraId="30695E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554F74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 pidama asjaomaste jaotusvõrguettevõtjatega ja võtma arvesse võimalikku mõju nende süsteemile;</w:t>
            </w:r>
          </w:p>
        </w:tc>
      </w:tr>
    </w:tbl>
    <w:p w14:paraId="0D2F581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21"/>
        <w:gridCol w:w="9229"/>
      </w:tblGrid>
      <w:tr w:rsidR="008E1A17" w:rsidRPr="00A2039D" w14:paraId="55083270" w14:textId="77777777" w:rsidTr="008E1A17">
        <w:trPr>
          <w:tblCellSpacing w:w="0" w:type="dxa"/>
        </w:trPr>
        <w:tc>
          <w:tcPr>
            <w:tcW w:w="0" w:type="auto"/>
            <w:hideMark/>
          </w:tcPr>
          <w:p w14:paraId="6C53F0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6B451A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võtma arvesse tunnustatud Euroopa standardeid ja tehnilisi kirjeldusi.</w:t>
            </w:r>
          </w:p>
        </w:tc>
      </w:tr>
    </w:tbl>
    <w:p w14:paraId="3683D36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Asjaomane võrguettevõtja või põhivõrguettevõtja peab esitama üldiselt kohaldatavate nõuete arvutamise või kehtestamise metoodika ettepaneku pädevale asutusele heakskiitmiseks kahe aasta jooksul pärast käesoleva määruse jõustumist.</w:t>
      </w:r>
    </w:p>
    <w:p w14:paraId="7A529CD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Kui käesolevas määruses on nõue, et asjaomane võrguettevõtja, asjaomane põhivõrguettevõtja, tootmisüksuse omanik ja/või jaotusvõrguettevõtja peavad saavutama kokkuleppe, peavad nad üritama kokku leppida kuue kuu jooksul pärast seda, kui üks osaline on teistele esimese ettepaneku esitanud. Kui selle aja jooksul ei ole kokkulepet saavutatud, võib iga osaline taotleda, et asjaomane reguleeriv asutus teeks otsuse kuue kuu jooksul.</w:t>
      </w:r>
    </w:p>
    <w:p w14:paraId="4E56DBC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Pädevad asutused peavad tegema otsused nõuete ja metoodika ettepanekute kohta kuue kuu jooksul vastavate ettepanekute saamisest.</w:t>
      </w:r>
    </w:p>
    <w:p w14:paraId="753B84F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7.   Kui asjaomane võrguettevõtja või põhivõrguettevõtja peab vajalikuks vastavalt lõigetele 1 ja 2 sätestatud ja heaks kiidetud nõuete ja meetodite muutmist, kohaldatakse muudatusettepaneku suhtes lõigete 3–8 nõudeid. Muudatusettepaneku teinud võrguettevõtjad ja põhivõrguettevõtjad peavad võtma arvesse tootmisüksuse omanike, seadmetootjate ja muude huvitatud isikute õigustatud ootusi, mis põhinevad esialgu määratletud või kokku lepitud nõuetel ja metoodikal.</w:t>
      </w:r>
    </w:p>
    <w:p w14:paraId="0768DFB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8.   Igal osalisel, kellel on asjaomase võrguettevõtja või põhivõrguettevõtja vastu kaebusi seoses käesolevast määrusest kõnealusele võrguettevõtjale või põhivõrguettevõtjale tulenevate kohustustega, on õigus esitada kaebus reguleerivale asutusele, kes tegutseb vaidlusi lahendava asutusena ja peab tegema otsuse kahe kuu jooksul kaebuse kättesaamisest. Seda tähtaega võib pikendada kahe kuu võrra, kui reguleeriv asutus nõuab täiendavat teavet. Pikendatud tähtaega võib kaebuse esitaja nõusolekul veelgi pikendada. Reguleeriva asutuse otsus on siduv, kui ja kuni see ei kaota kehtivust seoses edasikaebamisega.</w:t>
      </w:r>
    </w:p>
    <w:p w14:paraId="5D5BE74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9.   Kui käesoleva määruse kohased nõuded peab kehtestama asjaomane võrguettevõtja, kes ei ole põhivõrguettevõtja, võivad liikmesriigid sätestada, et asjaomased nõuded peab kehtestama põhivõrguettevõtja.</w:t>
      </w:r>
    </w:p>
    <w:p w14:paraId="29C40FD8"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8</w:t>
      </w:r>
    </w:p>
    <w:p w14:paraId="61A099C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Mitu põhivõrguettevõtjat</w:t>
      </w:r>
    </w:p>
    <w:p w14:paraId="693825A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Liikmesriigis, milles on rohkem kui üks põhivõrguettevõtja, kohaldatakse käesolevat määrust kõigi liikmesriigi põhivõrguettevõtjate suhtes.</w:t>
      </w:r>
    </w:p>
    <w:p w14:paraId="2A08967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Liikmesriik võib siseriikliku õigusega ette näha, et põhivõrguettevõtja ühe, mitme või kõigi käesoleva määruse järgsete kohustuste täitmise vastutus antakse üle ühele või mitmele põhivõrguettevõtjale.</w:t>
      </w:r>
    </w:p>
    <w:p w14:paraId="2681FCB3"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9</w:t>
      </w:r>
    </w:p>
    <w:p w14:paraId="63C816D9"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Kulude sissenõudmine</w:t>
      </w:r>
    </w:p>
    <w:p w14:paraId="0E21690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Kulusid, mida kannavad võrguettevõtjad võrgutariifide reguleerimise tõttu ja mis tulenevad käesolevas määruses sätestatud kohustustest, hindab asjaomane reguleeriv asutus. Kulud, kui need on hinnatud mõistlikuks, tõhusaks ja proportsionaalseks, tuleb katta võrgutariifidest või muu asjakohase mehhanismi kohaselt.</w:t>
      </w:r>
    </w:p>
    <w:p w14:paraId="32C74ED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Asjaomase reguleeriva asutuse nõudmisel peavad lõikes 1 osutatud võrguettevõtjad kolme kuu jooksul pärast nõude saamist esitama vajaliku teabe, et hõlbustada tekkinud kulude hindamist.</w:t>
      </w:r>
    </w:p>
    <w:p w14:paraId="23278BE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10</w:t>
      </w:r>
    </w:p>
    <w:p w14:paraId="3F2E1C6B"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Avalik arutelu</w:t>
      </w:r>
    </w:p>
    <w:p w14:paraId="6704FB0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Asjaomased võrguettevõtjad ja asjaomased põhivõrguettevõtjad peavad arutama huvitatud isikutega, sealhulgas iga liikmesriigi pädevate asutustega, ettepanekuid laiendada käesoleva määruse kohaldamist olemasolevatele tootmismoodulitele vastavalt artikli 4 lõikele 3, ettepanekuid piirmäärade kehtestamiseks vastavalt artikli 5 lõikele 3, aruande koostamiseks artikli 38 lõike 3 kohaselt ning tasuvusanalüüsi koostamiseks artikli 63 lõike 2 kohaselt. Arutelu peab kestma vähemalt ühe kuu.</w:t>
      </w:r>
    </w:p>
    <w:p w14:paraId="451E2FC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Asjaomased põhivõrguettevõtjad või asjaomased võrguettevõtjad peavad võtma nõuetekohaselt arvesse arutelude käigus avaldatud huvitatud isikute arvamusi enne piirmäärade, aruande ja tasuvusanalüüsi ettepaneku esitamist heakskiitmiseks reguleerivale asutusele või, kui see on asjakohane, liikmesriigile. Kõigil juhtudel peavad nad lisama selge põhjenduse, miks konsulteerimise käigus saadud seisukohad võetakse või miks neid ei võeta arvesse, ning need põhjendused tuleb avaldada kas enne ettepaneku avaldamist või sellega ühel ajal.</w:t>
      </w:r>
    </w:p>
    <w:p w14:paraId="0F751AE5" w14:textId="77777777" w:rsidR="00AF05C4" w:rsidRDefault="00AF05C4"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72133A02" w14:textId="77777777" w:rsidR="00AF05C4" w:rsidRDefault="00AF05C4"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321CAE87" w14:textId="1A9570C0"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11</w:t>
      </w:r>
    </w:p>
    <w:p w14:paraId="11604FD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Sidusrühmade kaasamine</w:t>
      </w:r>
    </w:p>
    <w:p w14:paraId="36E3493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Energeetikasektorit Reguleerivate Asutuste Koostööamet (koostööamet) peab korraldama huvitatud isikute kaasamist tootmisüksuste võrguühenduse tingimuste ja muude käesoleva määruse rakendamisega seotud küsimuste otsustamisse tihedas koostöös Euroopa elektri põhivõrguettevõtjate võrgustikuga. See hõlmab korrapäraseid kohtumisi huvitatud isikutega, et teha kindlaks probleemid eelkõige seoses tootmisüksuste võrguühenduse nõuetega ning pakkuda välja lahendusi.</w:t>
      </w:r>
    </w:p>
    <w:p w14:paraId="487D7F1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12</w:t>
      </w:r>
    </w:p>
    <w:p w14:paraId="1181EF6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Konfidentsiaalsuskohustused</w:t>
      </w:r>
    </w:p>
    <w:p w14:paraId="40C9E58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Käesoleva määruse kohaselt saadud, vahetatud või edastatud konfidentsiaalse teabe suhtes kohaldatakse lõigetes 2, 3 ja 4 sätestatud ametisaladuse hoidmise tingimusi.</w:t>
      </w:r>
    </w:p>
    <w:p w14:paraId="1C78800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Ametisaladuse hoidmise kohustust kohaldatakse kõikide käesoleva määruse kohaldamisalasse kuuluvate isikute, reguleerivate asutuste ja asutuste suhtes.</w:t>
      </w:r>
    </w:p>
    <w:p w14:paraId="55D5828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Lõikes 2 nimetatud isikutele, reguleerivatele asutustele või asutustele töökohustuste täitmisel teatavaks saanud konfidentsiaalset teavet ei tohi avaldada ühelegi teisele isikule ega asutusele; selle nõudega ei piirata siseriiklike õigusaktide, käesoleva määruse muude sätete ega ELi muude asjaomaste õigusaktide kohaldamist.</w:t>
      </w:r>
    </w:p>
    <w:p w14:paraId="7AFCA4D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Reguleerivad asutused ning asutused ja isikud, kes saavad käesoleva määruse täitmisega seoses konfidentsiaalset teavet, võivad seda kasutada ainult käesoleva määrusega sätestatud funktsioonide täitmiseks; selle nõudega ei piirata siseriiklike ja ELi õigusaktide kohaldamist.</w:t>
      </w:r>
    </w:p>
    <w:p w14:paraId="6E326512"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551893A2"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2049D408"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06BEE3AA"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3AE26EE8"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05492104"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2B4B9EAD"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6D589119"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587A25B6"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3054391F" w14:textId="77777777" w:rsidR="00AF05C4" w:rsidRDefault="00AF05C4"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494DCB37" w14:textId="759F7FC0"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II JAOTIS</w:t>
      </w:r>
    </w:p>
    <w:p w14:paraId="4879CC7B"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w:t>
      </w:r>
    </w:p>
    <w:p w14:paraId="03A659D0"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1. PEATÜKK</w:t>
      </w:r>
    </w:p>
    <w:p w14:paraId="1FD02CD9"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i/>
          <w:iCs/>
          <w:color w:val="000000"/>
          <w:sz w:val="24"/>
          <w:szCs w:val="24"/>
          <w:lang w:val="et-EE" w:bidi="ar-SA"/>
        </w:rPr>
        <w:t>Üldnõuded</w:t>
      </w:r>
      <w:proofErr w:type="spellEnd"/>
    </w:p>
    <w:p w14:paraId="105541B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13</w:t>
      </w:r>
    </w:p>
    <w:p w14:paraId="31C71539"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Üldnõuded</w:t>
      </w:r>
      <w:proofErr w:type="spellEnd"/>
      <w:r w:rsidRPr="004D5219">
        <w:rPr>
          <w:rFonts w:ascii="inherit" w:eastAsia="Times New Roman" w:hAnsi="inherit" w:cs="Times New Roman"/>
          <w:b/>
          <w:bCs/>
          <w:color w:val="000000"/>
          <w:sz w:val="24"/>
          <w:szCs w:val="24"/>
          <w:lang w:val="et-EE" w:bidi="ar-SA"/>
        </w:rPr>
        <w:t xml:space="preserve"> A-tüüpi tootmismoodulite kohta</w:t>
      </w:r>
    </w:p>
    <w:p w14:paraId="3D85FC5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A337E51" w14:textId="77777777" w:rsidTr="008E1A17">
        <w:trPr>
          <w:tblCellSpacing w:w="0" w:type="dxa"/>
        </w:trPr>
        <w:tc>
          <w:tcPr>
            <w:tcW w:w="0" w:type="auto"/>
            <w:hideMark/>
          </w:tcPr>
          <w:p w14:paraId="582E0D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9C663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sagedusvahemikega:</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468AA1FE" w14:textId="77777777">
              <w:trPr>
                <w:tblCellSpacing w:w="0" w:type="dxa"/>
              </w:trPr>
              <w:tc>
                <w:tcPr>
                  <w:tcW w:w="0" w:type="auto"/>
                  <w:hideMark/>
                </w:tcPr>
                <w:p w14:paraId="4ADA2E6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F32AFA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peab suutma jääda võrku ühendatuks ja talitlema sagedusvahemikes ja ajavahemikes, mis on esitatud tabelis 2;</w:t>
                  </w:r>
                </w:p>
              </w:tc>
            </w:tr>
          </w:tbl>
          <w:p w14:paraId="4F7569C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6BA92E77" w14:textId="77777777">
              <w:trPr>
                <w:tblCellSpacing w:w="0" w:type="dxa"/>
              </w:trPr>
              <w:tc>
                <w:tcPr>
                  <w:tcW w:w="0" w:type="auto"/>
                  <w:hideMark/>
                </w:tcPr>
                <w:p w14:paraId="666910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7ACCF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kooskõlastades asjaomase põhivõrguettevõtja ja tootmisüksuse omanikuga, võib määrata laiema sagedusvahemiku, pikema vähima talitlusaja või teatavad nõuded nii sageduse kui ka ühtlasi pinge kõrvalekallete kohta, et tagada tootmisüksuse tehniliste võimaluste parim kasutamine süsteemi talitluskindluse säilitamisel ja taastamisel;</w:t>
                  </w:r>
                </w:p>
              </w:tc>
            </w:tr>
          </w:tbl>
          <w:p w14:paraId="546871A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495E50E8" w14:textId="77777777">
              <w:trPr>
                <w:tblCellSpacing w:w="0" w:type="dxa"/>
              </w:trPr>
              <w:tc>
                <w:tcPr>
                  <w:tcW w:w="0" w:type="auto"/>
                  <w:hideMark/>
                </w:tcPr>
                <w:p w14:paraId="45DD1F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4F108F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ei tohi põhjendamatult keelduda lubamast kasutada laiemaid sagedusalasid ja pikemaid vähimaid talitlusaegu, võttes arvesse nende tehnilist teostatavust ja majanduslikku otstarbekust;</w:t>
                  </w:r>
                </w:p>
              </w:tc>
            </w:tr>
          </w:tbl>
          <w:p w14:paraId="4252B69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481E3D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4FA9B1CB" w14:textId="77777777" w:rsidTr="008E1A17">
        <w:trPr>
          <w:tblCellSpacing w:w="0" w:type="dxa"/>
        </w:trPr>
        <w:tc>
          <w:tcPr>
            <w:tcW w:w="0" w:type="auto"/>
            <w:hideMark/>
          </w:tcPr>
          <w:p w14:paraId="260F41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247BF72" w14:textId="6F5CB6AC"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muutumiskiiruse taluvuse osas peab tootmismoodul olema suuteline jääma võrku ühendatuks ja talitlema kuni sageduse muutumiskiiruse väärtuseni</w:t>
            </w:r>
            <w:r w:rsidR="0003277E" w:rsidRPr="004D5219">
              <w:rPr>
                <w:rFonts w:ascii="inherit" w:eastAsia="Times New Roman" w:hAnsi="inherit" w:cs="Times New Roman"/>
                <w:sz w:val="24"/>
                <w:szCs w:val="24"/>
                <w:lang w:val="et-EE" w:bidi="ar-SA"/>
              </w:rPr>
              <w:t xml:space="preserve"> </w:t>
            </w:r>
            <w:r w:rsidR="0003277E" w:rsidRPr="004D5219">
              <w:rPr>
                <w:rFonts w:ascii="inherit" w:eastAsia="Times New Roman" w:hAnsi="inherit" w:cs="Times New Roman"/>
                <w:sz w:val="24"/>
                <w:szCs w:val="24"/>
                <w:highlight w:val="cyan"/>
                <w:lang w:val="et-EE" w:bidi="ar-SA"/>
              </w:rPr>
              <w:t>2,5 Hz/s</w:t>
            </w:r>
            <w:r w:rsidRPr="004D5219">
              <w:rPr>
                <w:rFonts w:ascii="inherit" w:eastAsia="Times New Roman" w:hAnsi="inherit" w:cs="Times New Roman"/>
                <w:sz w:val="24"/>
                <w:szCs w:val="24"/>
                <w:lang w:val="et-EE" w:bidi="ar-SA"/>
              </w:rPr>
              <w:t xml:space="preserve">, välja arvatud juhul, kui ühenduse katkemise põhjustab </w:t>
            </w:r>
            <w:proofErr w:type="spellStart"/>
            <w:r w:rsidRPr="004D5219">
              <w:rPr>
                <w:rFonts w:ascii="inherit" w:eastAsia="Times New Roman" w:hAnsi="inherit" w:cs="Times New Roman"/>
                <w:sz w:val="24"/>
                <w:szCs w:val="24"/>
                <w:lang w:val="et-EE" w:bidi="ar-SA"/>
              </w:rPr>
              <w:t>sagedusmuutumiskiiruse</w:t>
            </w:r>
            <w:proofErr w:type="spellEnd"/>
            <w:r w:rsidRPr="004D5219">
              <w:rPr>
                <w:rFonts w:ascii="inherit" w:eastAsia="Times New Roman" w:hAnsi="inherit" w:cs="Times New Roman"/>
                <w:sz w:val="24"/>
                <w:szCs w:val="24"/>
                <w:lang w:val="et-EE" w:bidi="ar-SA"/>
              </w:rPr>
              <w:t xml:space="preserve"> tüüpi võrgukaotuskaitse. Asjaomane võrguettevõtja määrab koos asjaomase põhivõrguettevõtjaga kindlaks sellise </w:t>
            </w:r>
            <w:proofErr w:type="spellStart"/>
            <w:r w:rsidRPr="004D5219">
              <w:rPr>
                <w:rFonts w:ascii="inherit" w:eastAsia="Times New Roman" w:hAnsi="inherit" w:cs="Times New Roman"/>
                <w:sz w:val="24"/>
                <w:szCs w:val="24"/>
                <w:lang w:val="et-EE" w:bidi="ar-SA"/>
              </w:rPr>
              <w:t>sagedusmuutumiskiiruse</w:t>
            </w:r>
            <w:proofErr w:type="spellEnd"/>
            <w:r w:rsidRPr="004D5219">
              <w:rPr>
                <w:rFonts w:ascii="inherit" w:eastAsia="Times New Roman" w:hAnsi="inherit" w:cs="Times New Roman"/>
                <w:sz w:val="24"/>
                <w:szCs w:val="24"/>
                <w:lang w:val="et-EE" w:bidi="ar-SA"/>
              </w:rPr>
              <w:t xml:space="preserve"> tüüpi võrgukaotuskaitse tingimused.</w:t>
            </w:r>
          </w:p>
          <w:p w14:paraId="058847EB"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2</w:t>
            </w:r>
          </w:p>
          <w:p w14:paraId="583BAB22"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proofErr w:type="spellStart"/>
            <w:r w:rsidRPr="004D5219">
              <w:rPr>
                <w:rFonts w:ascii="inherit" w:eastAsia="Times New Roman" w:hAnsi="inherit" w:cs="Times New Roman"/>
                <w:b/>
                <w:bCs/>
                <w:sz w:val="24"/>
                <w:szCs w:val="24"/>
                <w:lang w:val="et-EE" w:bidi="ar-SA"/>
              </w:rPr>
              <w:t>Lühimad</w:t>
            </w:r>
            <w:proofErr w:type="spellEnd"/>
            <w:r w:rsidRPr="004D5219">
              <w:rPr>
                <w:rFonts w:ascii="inherit" w:eastAsia="Times New Roman" w:hAnsi="inherit" w:cs="Times New Roman"/>
                <w:b/>
                <w:bCs/>
                <w:sz w:val="24"/>
                <w:szCs w:val="24"/>
                <w:lang w:val="et-EE" w:bidi="ar-SA"/>
              </w:rPr>
              <w:t xml:space="preserve">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21"/>
              <w:gridCol w:w="3107"/>
              <w:gridCol w:w="2906"/>
            </w:tblGrid>
            <w:tr w:rsidR="008E1A17" w:rsidRPr="004D5219" w14:paraId="7B05C61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4210A00"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028962E4"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6BA383D7"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Talitluse kestus</w:t>
                  </w:r>
                </w:p>
              </w:tc>
            </w:tr>
            <w:tr w:rsidR="00292A5F" w:rsidRPr="004D5219" w14:paraId="58B57118"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A10FB62" w14:textId="77777777"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88899F1" w14:textId="77777777"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5B86AD5B" w14:textId="7AE277BA"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hAnsi="inherit"/>
                      <w:highlight w:val="cyan"/>
                      <w:lang w:val="et-EE"/>
                    </w:rPr>
                    <w:t>30 minutit</w:t>
                  </w:r>
                </w:p>
              </w:tc>
            </w:tr>
            <w:tr w:rsidR="00292A5F" w:rsidRPr="004D5219" w14:paraId="27C05C6B"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3C09B48" w14:textId="77777777" w:rsidR="00292A5F" w:rsidRPr="004D5219" w:rsidRDefault="00292A5F" w:rsidP="00292A5F">
                  <w:pPr>
                    <w:widowControl/>
                    <w:autoSpaceDE/>
                    <w:autoSpaceDN/>
                    <w:rPr>
                      <w:rFonts w:ascii="inherit" w:eastAsia="Times New Roman" w:hAnsi="inherit" w:cs="Times New Roman"/>
                      <w:highlight w:val="cy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4F11F2C5" w14:textId="77777777"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7E9B52B1" w14:textId="2DE79A06"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hAnsi="inherit"/>
                      <w:highlight w:val="cyan"/>
                      <w:lang w:val="et-EE"/>
                    </w:rPr>
                    <w:t>30 minutit</w:t>
                  </w:r>
                </w:p>
              </w:tc>
            </w:tr>
            <w:tr w:rsidR="00292A5F" w:rsidRPr="004D5219" w14:paraId="01D85318"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A64220" w14:textId="77777777" w:rsidR="00292A5F" w:rsidRPr="004D5219" w:rsidRDefault="00292A5F" w:rsidP="00292A5F">
                  <w:pPr>
                    <w:widowControl/>
                    <w:autoSpaceDE/>
                    <w:autoSpaceDN/>
                    <w:rPr>
                      <w:rFonts w:ascii="inherit" w:eastAsia="Times New Roman" w:hAnsi="inherit" w:cs="Times New Roman"/>
                      <w:highlight w:val="cy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1A438385" w14:textId="77777777"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2B193A24" w14:textId="64E5B4B4"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hAnsi="inherit"/>
                      <w:highlight w:val="cyan"/>
                      <w:lang w:val="et-EE"/>
                    </w:rPr>
                    <w:t>Piiramata</w:t>
                  </w:r>
                </w:p>
              </w:tc>
            </w:tr>
            <w:tr w:rsidR="00292A5F" w:rsidRPr="004D5219" w14:paraId="0907C98E" w14:textId="77777777" w:rsidTr="00292A5F">
              <w:trPr>
                <w:trHeight w:val="44"/>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F8754A" w14:textId="77777777" w:rsidR="00292A5F" w:rsidRPr="004D5219" w:rsidRDefault="00292A5F" w:rsidP="00292A5F">
                  <w:pPr>
                    <w:widowControl/>
                    <w:autoSpaceDE/>
                    <w:autoSpaceDN/>
                    <w:rPr>
                      <w:rFonts w:ascii="inherit" w:eastAsia="Times New Roman" w:hAnsi="inherit" w:cs="Times New Roman"/>
                      <w:highlight w:val="cy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70B89337" w14:textId="77777777"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73F49512" w14:textId="017E862A" w:rsidR="00292A5F" w:rsidRPr="004D5219" w:rsidRDefault="00292A5F" w:rsidP="00292A5F">
                  <w:pPr>
                    <w:widowControl/>
                    <w:autoSpaceDE/>
                    <w:autoSpaceDN/>
                    <w:spacing w:before="60" w:after="60"/>
                    <w:rPr>
                      <w:rFonts w:ascii="inherit" w:eastAsia="Times New Roman" w:hAnsi="inherit" w:cs="Times New Roman"/>
                      <w:highlight w:val="cyan"/>
                      <w:lang w:val="et-EE" w:bidi="ar-SA"/>
                    </w:rPr>
                  </w:pPr>
                  <w:r w:rsidRPr="004D5219">
                    <w:rPr>
                      <w:rFonts w:ascii="inherit" w:hAnsi="inherit"/>
                      <w:highlight w:val="cyan"/>
                      <w:lang w:val="et-EE"/>
                    </w:rPr>
                    <w:t>30 minutit</w:t>
                  </w:r>
                </w:p>
              </w:tc>
            </w:tr>
          </w:tbl>
          <w:p w14:paraId="0ACC035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C169CA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8B743B4" w14:textId="77777777" w:rsidTr="008E1A17">
        <w:trPr>
          <w:tblCellSpacing w:w="0" w:type="dxa"/>
        </w:trPr>
        <w:tc>
          <w:tcPr>
            <w:tcW w:w="0" w:type="auto"/>
            <w:hideMark/>
          </w:tcPr>
          <w:p w14:paraId="4A8384D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28BCFFF" w14:textId="7A9C33B7" w:rsidR="008E1A17" w:rsidRPr="004D5219" w:rsidRDefault="008E1A17" w:rsidP="00DC00A1">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käivitama aktiivvõimsuse sageduskaja (joonise 1 kohaselt) sageduse piirmäära </w:t>
            </w:r>
            <w:r w:rsidR="006C146A" w:rsidRPr="004D5219">
              <w:rPr>
                <w:rFonts w:ascii="inherit" w:eastAsia="Times New Roman" w:hAnsi="inherit" w:cs="Times New Roman"/>
                <w:sz w:val="24"/>
                <w:szCs w:val="24"/>
                <w:highlight w:val="cyan"/>
                <w:lang w:val="et-EE" w:bidi="ar-SA"/>
              </w:rPr>
              <w:t>50,2 Hz</w:t>
            </w:r>
            <w:r w:rsidR="006C146A" w:rsidRPr="004D5219">
              <w:rPr>
                <w:rFonts w:ascii="inherit" w:eastAsia="Times New Roman" w:hAnsi="inherit" w:cs="Times New Roman"/>
                <w:sz w:val="24"/>
                <w:szCs w:val="24"/>
                <w:lang w:val="et-EE" w:bidi="ar-SA"/>
              </w:rPr>
              <w:t xml:space="preserve"> </w:t>
            </w:r>
            <w:r w:rsidRPr="004D5219">
              <w:rPr>
                <w:rFonts w:ascii="inherit" w:eastAsia="Times New Roman" w:hAnsi="inherit" w:cs="Times New Roman"/>
                <w:sz w:val="24"/>
                <w:szCs w:val="24"/>
                <w:lang w:val="et-EE" w:bidi="ar-SA"/>
              </w:rPr>
              <w:t xml:space="preserve">ja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seadetega</w:t>
            </w:r>
            <w:r w:rsidR="006C146A" w:rsidRPr="004D5219">
              <w:rPr>
                <w:rFonts w:ascii="inherit" w:eastAsia="Times New Roman" w:hAnsi="inherit" w:cs="Times New Roman"/>
                <w:sz w:val="24"/>
                <w:szCs w:val="24"/>
                <w:lang w:val="et-EE" w:bidi="ar-SA"/>
              </w:rPr>
              <w:t xml:space="preserve"> </w:t>
            </w:r>
            <w:r w:rsidR="006C146A" w:rsidRPr="004D5219">
              <w:rPr>
                <w:rFonts w:ascii="inherit" w:eastAsia="Times New Roman" w:hAnsi="inherit" w:cs="Times New Roman"/>
                <w:sz w:val="24"/>
                <w:szCs w:val="24"/>
                <w:highlight w:val="cyan"/>
                <w:lang w:val="et-EE" w:bidi="ar-SA"/>
              </w:rPr>
              <w:t>5%</w:t>
            </w:r>
            <w:r w:rsidR="00DC00A1" w:rsidRPr="004D5219">
              <w:rPr>
                <w:rFonts w:ascii="inherit" w:eastAsia="Times New Roman" w:hAnsi="inherit" w:cs="Times New Roman"/>
                <w:sz w:val="24"/>
                <w:szCs w:val="24"/>
                <w:lang w:val="et-EE" w:bidi="ar-SA"/>
              </w:rPr>
              <w:t xml:space="preserve"> .</w:t>
            </w:r>
          </w:p>
        </w:tc>
      </w:tr>
    </w:tbl>
    <w:p w14:paraId="69AD109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A3B0168" w14:textId="77777777" w:rsidTr="008E1A17">
        <w:trPr>
          <w:tblCellSpacing w:w="0" w:type="dxa"/>
        </w:trPr>
        <w:tc>
          <w:tcPr>
            <w:tcW w:w="0" w:type="auto"/>
            <w:hideMark/>
          </w:tcPr>
          <w:p w14:paraId="2F62D7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DEBCD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punktis a osutatud suutlikkuse asemel võib asjaomane põhivõrguettevõtja lubada oma juhtimispiirkonnas A-tüüpi tootmismoodulite automaatset </w:t>
            </w:r>
            <w:proofErr w:type="spellStart"/>
            <w:r w:rsidRPr="004D5219">
              <w:rPr>
                <w:rFonts w:ascii="inherit" w:eastAsia="Times New Roman" w:hAnsi="inherit" w:cs="Times New Roman"/>
                <w:sz w:val="24"/>
                <w:szCs w:val="24"/>
                <w:lang w:val="et-EE" w:bidi="ar-SA"/>
              </w:rPr>
              <w:t>lahtiühendumist</w:t>
            </w:r>
            <w:proofErr w:type="spellEnd"/>
            <w:r w:rsidRPr="004D5219">
              <w:rPr>
                <w:rFonts w:ascii="inherit" w:eastAsia="Times New Roman" w:hAnsi="inherit" w:cs="Times New Roman"/>
                <w:sz w:val="24"/>
                <w:szCs w:val="24"/>
                <w:lang w:val="et-EE" w:bidi="ar-SA"/>
              </w:rPr>
              <w:t xml:space="preserve"> ja </w:t>
            </w:r>
            <w:proofErr w:type="spellStart"/>
            <w:r w:rsidRPr="004D5219">
              <w:rPr>
                <w:rFonts w:ascii="inherit" w:eastAsia="Times New Roman" w:hAnsi="inherit" w:cs="Times New Roman"/>
                <w:sz w:val="24"/>
                <w:szCs w:val="24"/>
                <w:lang w:val="et-EE" w:bidi="ar-SA"/>
              </w:rPr>
              <w:t>taasühendumist</w:t>
            </w:r>
            <w:proofErr w:type="spellEnd"/>
            <w:r w:rsidRPr="004D5219">
              <w:rPr>
                <w:rFonts w:ascii="inherit" w:eastAsia="Times New Roman" w:hAnsi="inherit" w:cs="Times New Roman"/>
                <w:sz w:val="24"/>
                <w:szCs w:val="24"/>
                <w:lang w:val="et-EE" w:bidi="ar-SA"/>
              </w:rPr>
              <w:t xml:space="preserve"> juhuslikel sagedustel, mis peaks olema ideaaljuhul ühtlase jaotusega sagedustel, mis on kõrgemal piirmäärast, mille on kindlaks määranud asjaomane põhivõrguettevõtja, kui ta suudab koostöös </w:t>
            </w:r>
            <w:r w:rsidRPr="004D5219">
              <w:rPr>
                <w:rFonts w:ascii="inherit" w:eastAsia="Times New Roman" w:hAnsi="inherit" w:cs="Times New Roman"/>
                <w:sz w:val="24"/>
                <w:szCs w:val="24"/>
                <w:lang w:val="et-EE" w:bidi="ar-SA"/>
              </w:rPr>
              <w:lastRenderedPageBreak/>
              <w:t>tootmisüksuse omanikega näidata asjaomasele reguleerivale asutusele, et see tekitab piiratud piiriülest mõju ja talitluskindlus jääb kõikides süsteemi talitlustes ühele ja samale tasemele;</w:t>
            </w:r>
          </w:p>
        </w:tc>
      </w:tr>
    </w:tbl>
    <w:p w14:paraId="24B1CDD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32"/>
        <w:gridCol w:w="9218"/>
      </w:tblGrid>
      <w:tr w:rsidR="008E1A17" w:rsidRPr="00A2039D" w14:paraId="455475F3" w14:textId="77777777" w:rsidTr="008E1A17">
        <w:trPr>
          <w:tblCellSpacing w:w="0" w:type="dxa"/>
        </w:trPr>
        <w:tc>
          <w:tcPr>
            <w:tcW w:w="0" w:type="auto"/>
            <w:hideMark/>
          </w:tcPr>
          <w:p w14:paraId="5431BF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38736F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piirmäär peab olema vahemikus 50,2 Hz – 50,5 Hz (kaasa arvatud);</w:t>
            </w:r>
          </w:p>
        </w:tc>
      </w:tr>
    </w:tbl>
    <w:p w14:paraId="543DCB6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40"/>
        <w:gridCol w:w="8910"/>
      </w:tblGrid>
      <w:tr w:rsidR="008E1A17" w:rsidRPr="004D5219" w14:paraId="3225D638" w14:textId="77777777" w:rsidTr="008E1A17">
        <w:trPr>
          <w:tblCellSpacing w:w="0" w:type="dxa"/>
        </w:trPr>
        <w:tc>
          <w:tcPr>
            <w:tcW w:w="0" w:type="auto"/>
            <w:hideMark/>
          </w:tcPr>
          <w:p w14:paraId="61B156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6B5836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peab olema 2–12 % piires;</w:t>
            </w:r>
          </w:p>
        </w:tc>
      </w:tr>
    </w:tbl>
    <w:p w14:paraId="7097F92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1001826" w14:textId="77777777" w:rsidTr="008E1A17">
        <w:trPr>
          <w:tblCellSpacing w:w="0" w:type="dxa"/>
        </w:trPr>
        <w:tc>
          <w:tcPr>
            <w:tcW w:w="0" w:type="auto"/>
            <w:hideMark/>
          </w:tcPr>
          <w:p w14:paraId="113F6DE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4968B54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peab suutma aktiveerida võimsuse sageduskaja võimalikult lühikese algviivitusega. Kui viivitus on pikem kui kaks sekundit, peab tootmisüksuse omanik esitama asjaomasele põhivõrguettevõtjale tehnilise põhjenduse;</w:t>
            </w:r>
          </w:p>
        </w:tc>
      </w:tr>
    </w:tbl>
    <w:p w14:paraId="0BAB471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4D5219" w14:paraId="012B02C7" w14:textId="77777777" w:rsidTr="008E1A17">
        <w:trPr>
          <w:tblCellSpacing w:w="0" w:type="dxa"/>
        </w:trPr>
        <w:tc>
          <w:tcPr>
            <w:tcW w:w="0" w:type="auto"/>
            <w:hideMark/>
          </w:tcPr>
          <w:p w14:paraId="44D31CAA" w14:textId="77777777"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f)</w:t>
            </w:r>
          </w:p>
        </w:tc>
        <w:tc>
          <w:tcPr>
            <w:tcW w:w="0" w:type="auto"/>
            <w:hideMark/>
          </w:tcPr>
          <w:p w14:paraId="71FF8164" w14:textId="6B544BD0"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minimaalse reguleerimistaseme saavutamisel peab tootmismoodul olema suuteline </w:t>
            </w:r>
            <w:r w:rsidR="00EB7388" w:rsidRPr="004D5219">
              <w:rPr>
                <w:rFonts w:ascii="inherit" w:eastAsia="Times New Roman" w:hAnsi="inherit" w:cs="Times New Roman"/>
                <w:sz w:val="24"/>
                <w:szCs w:val="24"/>
                <w:highlight w:val="cyan"/>
                <w:lang w:val="et-EE" w:bidi="ar-SA"/>
              </w:rPr>
              <w:t xml:space="preserve">jätkama tööd sellel tasemel. </w:t>
            </w:r>
            <w:r w:rsidR="00EB7388" w:rsidRPr="004D5219">
              <w:rPr>
                <w:color w:val="FF0000"/>
                <w:highlight w:val="cyan"/>
                <w:lang w:val="et-EE"/>
              </w:rPr>
              <w:t>(Minimaalse reguleerimistasemena on mõeldud püsivalt väljastatavat vähimat võimsust).</w:t>
            </w:r>
          </w:p>
          <w:tbl>
            <w:tblPr>
              <w:tblW w:w="5000" w:type="pct"/>
              <w:tblCellSpacing w:w="0" w:type="dxa"/>
              <w:tblCellMar>
                <w:left w:w="0" w:type="dxa"/>
                <w:right w:w="0" w:type="dxa"/>
              </w:tblCellMar>
              <w:tblLook w:val="04A0" w:firstRow="1" w:lastRow="0" w:firstColumn="1" w:lastColumn="0" w:noHBand="0" w:noVBand="1"/>
            </w:tblPr>
            <w:tblGrid>
              <w:gridCol w:w="4645"/>
              <w:gridCol w:w="4645"/>
            </w:tblGrid>
            <w:tr w:rsidR="008E1A17" w:rsidRPr="004D5219" w14:paraId="52228645" w14:textId="77777777">
              <w:trPr>
                <w:tblCellSpacing w:w="0" w:type="dxa"/>
              </w:trPr>
              <w:tc>
                <w:tcPr>
                  <w:tcW w:w="0" w:type="auto"/>
                  <w:hideMark/>
                </w:tcPr>
                <w:p w14:paraId="7213DF26" w14:textId="12A9DD4A"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p>
              </w:tc>
              <w:tc>
                <w:tcPr>
                  <w:tcW w:w="0" w:type="auto"/>
                  <w:hideMark/>
                </w:tcPr>
                <w:p w14:paraId="7F649E86" w14:textId="3B196647"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p>
              </w:tc>
            </w:tr>
          </w:tbl>
          <w:p w14:paraId="1185EE32" w14:textId="77777777" w:rsidR="008E1A17" w:rsidRPr="004D5219" w:rsidRDefault="008E1A17" w:rsidP="008E1A17">
            <w:pPr>
              <w:widowControl/>
              <w:autoSpaceDE/>
              <w:autoSpaceDN/>
              <w:rPr>
                <w:rFonts w:ascii="inherit" w:eastAsia="Times New Roman" w:hAnsi="inherit" w:cs="Times New Roman"/>
                <w:vanish/>
                <w:sz w:val="24"/>
                <w:szCs w:val="24"/>
                <w:highlight w:val="cyan"/>
                <w:lang w:val="et-EE" w:bidi="ar-SA"/>
              </w:rPr>
            </w:pPr>
          </w:p>
          <w:tbl>
            <w:tblPr>
              <w:tblW w:w="5000" w:type="pct"/>
              <w:tblCellSpacing w:w="0" w:type="dxa"/>
              <w:tblCellMar>
                <w:left w:w="0" w:type="dxa"/>
                <w:right w:w="0" w:type="dxa"/>
              </w:tblCellMar>
              <w:tblLook w:val="04A0" w:firstRow="1" w:lastRow="0" w:firstColumn="1" w:lastColumn="0" w:noHBand="0" w:noVBand="1"/>
            </w:tblPr>
            <w:tblGrid>
              <w:gridCol w:w="4645"/>
              <w:gridCol w:w="4645"/>
            </w:tblGrid>
            <w:tr w:rsidR="008E1A17" w:rsidRPr="004D5219" w14:paraId="7DF7BF7E" w14:textId="77777777">
              <w:trPr>
                <w:tblCellSpacing w:w="0" w:type="dxa"/>
              </w:trPr>
              <w:tc>
                <w:tcPr>
                  <w:tcW w:w="0" w:type="auto"/>
                  <w:hideMark/>
                </w:tcPr>
                <w:p w14:paraId="5A0FA192" w14:textId="778383A4"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p>
              </w:tc>
              <w:tc>
                <w:tcPr>
                  <w:tcW w:w="0" w:type="auto"/>
                  <w:hideMark/>
                </w:tcPr>
                <w:p w14:paraId="24B63ABA" w14:textId="0D6358B9" w:rsidR="008E1A17" w:rsidRPr="004D5219" w:rsidRDefault="008E1A17" w:rsidP="00E1048F">
                  <w:pPr>
                    <w:widowControl/>
                    <w:autoSpaceDE/>
                    <w:autoSpaceDN/>
                    <w:spacing w:before="120"/>
                    <w:jc w:val="both"/>
                    <w:rPr>
                      <w:rFonts w:ascii="inherit" w:eastAsia="Times New Roman" w:hAnsi="inherit" w:cs="Times New Roman"/>
                      <w:sz w:val="24"/>
                      <w:szCs w:val="24"/>
                      <w:highlight w:val="cyan"/>
                      <w:lang w:val="et-EE" w:bidi="ar-SA"/>
                    </w:rPr>
                  </w:pPr>
                </w:p>
              </w:tc>
            </w:tr>
          </w:tbl>
          <w:p w14:paraId="247A4162" w14:textId="77777777" w:rsidR="008E1A17" w:rsidRPr="004D5219" w:rsidRDefault="008E1A17" w:rsidP="008E1A17">
            <w:pPr>
              <w:widowControl/>
              <w:autoSpaceDE/>
              <w:autoSpaceDN/>
              <w:rPr>
                <w:rFonts w:ascii="inherit" w:eastAsia="Times New Roman" w:hAnsi="inherit" w:cs="Times New Roman"/>
                <w:sz w:val="24"/>
                <w:szCs w:val="24"/>
                <w:highlight w:val="cyan"/>
                <w:lang w:val="et-EE" w:bidi="ar-SA"/>
              </w:rPr>
            </w:pPr>
          </w:p>
        </w:tc>
      </w:tr>
    </w:tbl>
    <w:p w14:paraId="6A164C4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8"/>
        <w:gridCol w:w="9252"/>
      </w:tblGrid>
      <w:tr w:rsidR="008E1A17" w:rsidRPr="00A2039D" w14:paraId="213625FC" w14:textId="77777777" w:rsidTr="008E1A17">
        <w:trPr>
          <w:tblCellSpacing w:w="0" w:type="dxa"/>
        </w:trPr>
        <w:tc>
          <w:tcPr>
            <w:tcW w:w="0" w:type="auto"/>
            <w:hideMark/>
          </w:tcPr>
          <w:p w14:paraId="747944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w:t>
            </w:r>
          </w:p>
        </w:tc>
        <w:tc>
          <w:tcPr>
            <w:tcW w:w="0" w:type="auto"/>
            <w:hideMark/>
          </w:tcPr>
          <w:p w14:paraId="6B4B2EC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olema suuteline püsivalt talitlema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sagedustundlikus talitluses. Kui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 talitlus on aktiivne, on sellise talitluse seadeväärtus ülimuslik mis tahes muu aktiivvõimsuse seadeväärtuse suhtes.</w:t>
            </w:r>
          </w:p>
          <w:p w14:paraId="3E4D8099"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1</w:t>
            </w:r>
          </w:p>
          <w:p w14:paraId="3E4B495F"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 xml:space="preserve">Aktiivvõimsuskaja sageduse muutumisel tootmismoodulites </w:t>
            </w:r>
            <w:proofErr w:type="spellStart"/>
            <w:r w:rsidRPr="004D5219">
              <w:rPr>
                <w:rFonts w:ascii="inherit" w:eastAsia="Times New Roman" w:hAnsi="inherit" w:cs="Times New Roman"/>
                <w:b/>
                <w:bCs/>
                <w:sz w:val="24"/>
                <w:szCs w:val="24"/>
                <w:lang w:val="et-EE" w:bidi="ar-SA"/>
              </w:rPr>
              <w:t>ülesagedusega</w:t>
            </w:r>
            <w:proofErr w:type="spellEnd"/>
            <w:r w:rsidRPr="004D5219">
              <w:rPr>
                <w:rFonts w:ascii="inherit" w:eastAsia="Times New Roman" w:hAnsi="inherit" w:cs="Times New Roman"/>
                <w:b/>
                <w:bCs/>
                <w:sz w:val="24"/>
                <w:szCs w:val="24"/>
                <w:lang w:val="et-EE" w:bidi="ar-SA"/>
              </w:rPr>
              <w:t xml:space="preserve"> piiratud sagedustundlikus talitluses</w:t>
            </w:r>
          </w:p>
          <w:p w14:paraId="694A888B" w14:textId="311802DB" w:rsidR="008E1A17" w:rsidRPr="004D5219" w:rsidRDefault="008D709D" w:rsidP="008E1A17">
            <w:pPr>
              <w:widowControl/>
              <w:autoSpaceDE/>
              <w:autoSpaceDN/>
              <w:rPr>
                <w:rFonts w:ascii="inherit" w:eastAsia="Times New Roman" w:hAnsi="inherit" w:cs="Times New Roman"/>
                <w:sz w:val="24"/>
                <w:szCs w:val="24"/>
                <w:lang w:val="et-EE" w:bidi="ar-SA"/>
              </w:rPr>
            </w:pPr>
            <w:r w:rsidRPr="004D5219">
              <w:rPr>
                <w:noProof/>
                <w:lang w:val="et-EE"/>
              </w:rPr>
              <w:object w:dxaOrig="28556" w:dyaOrig="17838" w14:anchorId="3C8E1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66.8pt;height:234.3pt;mso-width-percent:0;mso-height-percent:0;mso-width-percent:0;mso-height-percent:0" o:ole="">
                  <v:imagedata r:id="rId13" o:title="" croptop="12930f"/>
                </v:shape>
                <o:OLEObject Type="Embed" ProgID="Visio.Drawing.15" ShapeID="_x0000_i1026" DrawAspect="Content" ObjectID="_1633352374" r:id="rId14"/>
              </w:object>
            </w:r>
          </w:p>
          <w:p w14:paraId="6B651DD3" w14:textId="1882957B"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ref</w:t>
            </w:r>
            <w:proofErr w:type="spellEnd"/>
            <w:r w:rsidRPr="004D5219">
              <w:rPr>
                <w:rFonts w:ascii="inherit" w:eastAsia="Times New Roman" w:hAnsi="inherit" w:cs="Times New Roman"/>
                <w:sz w:val="24"/>
                <w:szCs w:val="24"/>
                <w:lang w:val="et-EE" w:bidi="ar-SA"/>
              </w:rPr>
              <w:t xml:space="preserve"> on aktiivvõimsuse baasväärtus, mille suhtes leitakse võimsuse muut ΔΡ, ning selle võib erinevalt määratleda sünkroonmooduli ja energiapargimooduli korral. ΔΡ on tootmismooduli väljundaktiivvõimsuse muut. </w:t>
            </w:r>
            <w:proofErr w:type="spellStart"/>
            <w:r w:rsidRPr="004D5219">
              <w:rPr>
                <w:rFonts w:ascii="inherit" w:eastAsia="Times New Roman" w:hAnsi="inherit" w:cs="Times New Roman"/>
                <w:sz w:val="24"/>
                <w:szCs w:val="24"/>
                <w:lang w:val="et-EE" w:bidi="ar-SA"/>
              </w:rPr>
              <w:t>f</w:t>
            </w:r>
            <w:r w:rsidRPr="004D5219">
              <w:rPr>
                <w:rFonts w:ascii="inherit" w:eastAsia="Times New Roman" w:hAnsi="inherit" w:cs="Times New Roman"/>
                <w:sz w:val="17"/>
                <w:szCs w:val="17"/>
                <w:vertAlign w:val="subscript"/>
                <w:lang w:val="et-EE" w:bidi="ar-SA"/>
              </w:rPr>
              <w:t>n</w:t>
            </w:r>
            <w:proofErr w:type="spellEnd"/>
            <w:r w:rsidRPr="004D5219">
              <w:rPr>
                <w:rFonts w:ascii="inherit" w:eastAsia="Times New Roman" w:hAnsi="inherit" w:cs="Times New Roman"/>
                <w:sz w:val="24"/>
                <w:szCs w:val="24"/>
                <w:lang w:val="et-EE" w:bidi="ar-SA"/>
              </w:rPr>
              <w:t xml:space="preserve"> on võrgu nimisagedus (50 Hz) ja </w:t>
            </w:r>
            <w:proofErr w:type="spellStart"/>
            <w:r w:rsidRPr="004D5219">
              <w:rPr>
                <w:rFonts w:ascii="inherit" w:eastAsia="Times New Roman" w:hAnsi="inherit" w:cs="Times New Roman"/>
                <w:sz w:val="24"/>
                <w:szCs w:val="24"/>
                <w:lang w:val="et-EE" w:bidi="ar-SA"/>
              </w:rPr>
              <w:t>Δf</w:t>
            </w:r>
            <w:proofErr w:type="spellEnd"/>
            <w:r w:rsidRPr="004D5219">
              <w:rPr>
                <w:rFonts w:ascii="inherit" w:eastAsia="Times New Roman" w:hAnsi="inherit" w:cs="Times New Roman"/>
                <w:sz w:val="24"/>
                <w:szCs w:val="24"/>
                <w:lang w:val="et-EE" w:bidi="ar-SA"/>
              </w:rPr>
              <w:t xml:space="preserve"> on võrgusageduse kõrvalekalle. </w:t>
            </w:r>
            <w:proofErr w:type="spellStart"/>
            <w:r w:rsidRPr="004D5219">
              <w:rPr>
                <w:rFonts w:ascii="inherit" w:eastAsia="Times New Roman" w:hAnsi="inherit" w:cs="Times New Roman"/>
                <w:sz w:val="24"/>
                <w:szCs w:val="24"/>
                <w:lang w:val="et-EE" w:bidi="ar-SA"/>
              </w:rPr>
              <w:t>Ülesagedusel</w:t>
            </w:r>
            <w:proofErr w:type="spellEnd"/>
            <w:r w:rsidRPr="004D5219">
              <w:rPr>
                <w:rFonts w:ascii="inherit" w:eastAsia="Times New Roman" w:hAnsi="inherit" w:cs="Times New Roman"/>
                <w:sz w:val="24"/>
                <w:szCs w:val="24"/>
                <w:lang w:val="et-EE" w:bidi="ar-SA"/>
              </w:rPr>
              <w:t xml:space="preserve">, kui </w:t>
            </w:r>
            <w:proofErr w:type="spellStart"/>
            <w:r w:rsidRPr="004D5219">
              <w:rPr>
                <w:rFonts w:ascii="inherit" w:eastAsia="Times New Roman" w:hAnsi="inherit" w:cs="Times New Roman"/>
                <w:sz w:val="24"/>
                <w:szCs w:val="24"/>
                <w:lang w:val="et-EE" w:bidi="ar-SA"/>
              </w:rPr>
              <w:t>Δf</w:t>
            </w:r>
            <w:proofErr w:type="spellEnd"/>
            <w:r w:rsidRPr="004D5219">
              <w:rPr>
                <w:rFonts w:ascii="inherit" w:eastAsia="Times New Roman" w:hAnsi="inherit" w:cs="Times New Roman"/>
                <w:sz w:val="24"/>
                <w:szCs w:val="24"/>
                <w:lang w:val="et-EE" w:bidi="ar-SA"/>
              </w:rPr>
              <w:t xml:space="preserve"> on suurem kui </w:t>
            </w:r>
            <w:r w:rsidRPr="004D5219">
              <w:rPr>
                <w:rFonts w:ascii="inherit" w:eastAsia="Times New Roman" w:hAnsi="inherit" w:cs="Times New Roman"/>
                <w:sz w:val="24"/>
                <w:szCs w:val="24"/>
                <w:highlight w:val="cyan"/>
                <w:lang w:val="et-EE" w:bidi="ar-SA"/>
              </w:rPr>
              <w:t>Δf1</w:t>
            </w:r>
            <w:r w:rsidR="00DC00A1" w:rsidRPr="004D5219">
              <w:rPr>
                <w:rFonts w:ascii="inherit" w:eastAsia="Times New Roman" w:hAnsi="inherit" w:cs="Times New Roman"/>
                <w:sz w:val="24"/>
                <w:szCs w:val="24"/>
                <w:highlight w:val="cyan"/>
                <w:lang w:val="et-EE" w:bidi="ar-SA"/>
              </w:rPr>
              <w:t>=0,2 Hz</w:t>
            </w:r>
            <w:r w:rsidR="00DC00A1" w:rsidRPr="004D5219">
              <w:rPr>
                <w:rFonts w:ascii="inherit" w:eastAsia="Times New Roman" w:hAnsi="inherit" w:cs="Times New Roman"/>
                <w:sz w:val="17"/>
                <w:szCs w:val="17"/>
                <w:lang w:val="et-EE" w:bidi="ar-SA"/>
              </w:rPr>
              <w:t xml:space="preserve"> </w:t>
            </w:r>
            <w:r w:rsidRPr="004D5219">
              <w:rPr>
                <w:rFonts w:ascii="inherit" w:eastAsia="Times New Roman" w:hAnsi="inherit" w:cs="Times New Roman"/>
                <w:sz w:val="24"/>
                <w:szCs w:val="24"/>
                <w:lang w:val="et-EE" w:bidi="ar-SA"/>
              </w:rPr>
              <w:t xml:space="preserve">, peab tootmismoodul tagama negatiivse väljundaktiivvõimsuse muudu vastavalt </w:t>
            </w:r>
            <w:proofErr w:type="spellStart"/>
            <w:r w:rsidRPr="004D5219">
              <w:rPr>
                <w:rFonts w:ascii="inherit" w:eastAsia="Times New Roman" w:hAnsi="inherit" w:cs="Times New Roman"/>
                <w:sz w:val="24"/>
                <w:szCs w:val="24"/>
                <w:lang w:val="et-EE" w:bidi="ar-SA"/>
              </w:rPr>
              <w:t>statismile</w:t>
            </w:r>
            <w:proofErr w:type="spellEnd"/>
            <w:r w:rsidRPr="004D5219">
              <w:rPr>
                <w:rFonts w:ascii="inherit" w:eastAsia="Times New Roman" w:hAnsi="inherit" w:cs="Times New Roman"/>
                <w:sz w:val="24"/>
                <w:szCs w:val="24"/>
                <w:lang w:val="et-EE" w:bidi="ar-SA"/>
              </w:rPr>
              <w:t xml:space="preserve"> </w:t>
            </w:r>
            <w:r w:rsidRPr="004D5219">
              <w:rPr>
                <w:rFonts w:ascii="inherit" w:eastAsia="Times New Roman" w:hAnsi="inherit" w:cs="Times New Roman"/>
                <w:sz w:val="24"/>
                <w:szCs w:val="24"/>
                <w:highlight w:val="cyan"/>
                <w:lang w:val="et-EE" w:bidi="ar-SA"/>
              </w:rPr>
              <w:t>s2</w:t>
            </w:r>
            <w:r w:rsidR="00DC00A1" w:rsidRPr="004D5219">
              <w:rPr>
                <w:rFonts w:ascii="inherit" w:eastAsia="Times New Roman" w:hAnsi="inherit" w:cs="Times New Roman"/>
                <w:sz w:val="24"/>
                <w:szCs w:val="24"/>
                <w:highlight w:val="cyan"/>
                <w:lang w:val="et-EE" w:bidi="ar-SA"/>
              </w:rPr>
              <w:t>= 5%</w:t>
            </w:r>
            <w:r w:rsidRPr="004D5219">
              <w:rPr>
                <w:rFonts w:ascii="inherit" w:eastAsia="Times New Roman" w:hAnsi="inherit" w:cs="Times New Roman"/>
                <w:sz w:val="24"/>
                <w:szCs w:val="24"/>
                <w:highlight w:val="cyan"/>
                <w:lang w:val="et-EE" w:bidi="ar-SA"/>
              </w:rPr>
              <w:t>.</w:t>
            </w:r>
          </w:p>
        </w:tc>
      </w:tr>
    </w:tbl>
    <w:p w14:paraId="355BF19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Tootmismoodul peab sõltumata sageduse muutumisest suutma säilitada stabiilset sihtväljundvõimsust, välja arvatud juhul, kui väljundvõimsus järgib muutusi, mis on kindlaks määratud käesoleva artikli lõigetes 2 ja 4 või artikli 15 lõike 2 punktides c ja d, nagu see on asjakohane.</w:t>
      </w:r>
    </w:p>
    <w:p w14:paraId="2350EF4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Asjaomane põhivõrguettevõtja peab määrama oma juhtimispiirkonnas kindlaks sageduse vähenemisel lubatava aktiivvõimsuse vähenemise maksimumväljundvõimsusega võrreldes joonisel 2 pidevjoonega kujutatud piirides:</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EE2D4D5" w14:textId="77777777" w:rsidTr="008E1A17">
        <w:trPr>
          <w:tblCellSpacing w:w="0" w:type="dxa"/>
        </w:trPr>
        <w:tc>
          <w:tcPr>
            <w:tcW w:w="0" w:type="auto"/>
            <w:hideMark/>
          </w:tcPr>
          <w:p w14:paraId="72F91996" w14:textId="77777777"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a)</w:t>
            </w:r>
          </w:p>
        </w:tc>
        <w:tc>
          <w:tcPr>
            <w:tcW w:w="0" w:type="auto"/>
            <w:hideMark/>
          </w:tcPr>
          <w:p w14:paraId="59578DAC" w14:textId="6656A2AB" w:rsidR="008E1A17" w:rsidRPr="004D5219" w:rsidRDefault="008E1A17" w:rsidP="008E1A17">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sagedusel alla 49 Hz: ühehertsise sageduse languse kohta kahanemine 2 % maksimumvõimsusest sagedusel 50 Hz;</w:t>
            </w:r>
          </w:p>
        </w:tc>
      </w:tr>
    </w:tbl>
    <w:p w14:paraId="2F0B9E9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p w14:paraId="0E6A6C7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Maksimumväljundvõimsusega võrreldes lubatava aktiivvõimsuse langusega seoses tuleb:</w:t>
      </w:r>
    </w:p>
    <w:tbl>
      <w:tblPr>
        <w:tblW w:w="5000" w:type="pct"/>
        <w:tblCellSpacing w:w="0" w:type="dxa"/>
        <w:tblCellMar>
          <w:left w:w="0" w:type="dxa"/>
          <w:right w:w="0" w:type="dxa"/>
        </w:tblCellMar>
        <w:tblLook w:val="04A0" w:firstRow="1" w:lastRow="0" w:firstColumn="1" w:lastColumn="0" w:noHBand="0" w:noVBand="1"/>
      </w:tblPr>
      <w:tblGrid>
        <w:gridCol w:w="265"/>
        <w:gridCol w:w="9185"/>
      </w:tblGrid>
      <w:tr w:rsidR="008E1A17" w:rsidRPr="00A2039D" w14:paraId="17289DC2" w14:textId="77777777" w:rsidTr="008E1A17">
        <w:trPr>
          <w:tblCellSpacing w:w="0" w:type="dxa"/>
        </w:trPr>
        <w:tc>
          <w:tcPr>
            <w:tcW w:w="0" w:type="auto"/>
            <w:hideMark/>
          </w:tcPr>
          <w:p w14:paraId="23CFA81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a)</w:t>
            </w:r>
          </w:p>
        </w:tc>
        <w:tc>
          <w:tcPr>
            <w:tcW w:w="0" w:type="auto"/>
            <w:hideMark/>
          </w:tcPr>
          <w:p w14:paraId="707016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selgelt määratleda kohaldatavad ümbritseva keskkonna tingimused;</w:t>
            </w:r>
          </w:p>
        </w:tc>
      </w:tr>
    </w:tbl>
    <w:p w14:paraId="0C38CDC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61C7C2C" w14:textId="77777777" w:rsidTr="00F72920">
        <w:trPr>
          <w:tblCellSpacing w:w="0" w:type="dxa"/>
        </w:trPr>
        <w:tc>
          <w:tcPr>
            <w:tcW w:w="11" w:type="pct"/>
            <w:hideMark/>
          </w:tcPr>
          <w:p w14:paraId="7A3A3A6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4989" w:type="pct"/>
            <w:hideMark/>
          </w:tcPr>
          <w:p w14:paraId="26DE9034" w14:textId="7438450E"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võtta arvesse tootmismoodulite tehnilist suutlikkust.</w:t>
            </w:r>
          </w:p>
          <w:p w14:paraId="2DBE11CA" w14:textId="77777777" w:rsidR="00F72920" w:rsidRPr="004D5219" w:rsidRDefault="00F72920" w:rsidP="008E1A17">
            <w:pPr>
              <w:widowControl/>
              <w:autoSpaceDE/>
              <w:autoSpaceDN/>
              <w:spacing w:before="120"/>
              <w:jc w:val="both"/>
              <w:rPr>
                <w:rFonts w:ascii="inherit" w:eastAsia="Times New Roman" w:hAnsi="inherit" w:cs="Times New Roman"/>
                <w:sz w:val="24"/>
                <w:szCs w:val="24"/>
                <w:lang w:val="et-EE" w:bidi="ar-SA"/>
              </w:rPr>
            </w:pPr>
          </w:p>
          <w:p w14:paraId="449DC917" w14:textId="654A775E" w:rsidR="00F72920" w:rsidRPr="004D5219" w:rsidRDefault="00F72920" w:rsidP="00F72920">
            <w:pPr>
              <w:rPr>
                <w:lang w:val="et-EE"/>
              </w:rPr>
            </w:pPr>
            <w:r w:rsidRPr="004D5219">
              <w:rPr>
                <w:highlight w:val="cyan"/>
                <w:lang w:val="et-EE"/>
              </w:rPr>
              <w:t>Maksimumväljundvõimsusega võrreldes lubatava aktiivvõimsuse langusega seoses tuleb tootmismooduli omanikul tehnilise projekti mahus kirjeldada tootmismooduli tehnilist suutlikkust vastavalt keskkonnatingimustele.</w:t>
            </w:r>
          </w:p>
          <w:p w14:paraId="25D056C7" w14:textId="5F89B6A9" w:rsidR="00F72920" w:rsidRDefault="00F72920" w:rsidP="008E1A17">
            <w:pPr>
              <w:widowControl/>
              <w:autoSpaceDE/>
              <w:autoSpaceDN/>
              <w:spacing w:before="120"/>
              <w:jc w:val="both"/>
              <w:rPr>
                <w:rFonts w:ascii="inherit" w:eastAsia="Times New Roman" w:hAnsi="inherit" w:cs="Times New Roman"/>
                <w:sz w:val="24"/>
                <w:szCs w:val="24"/>
                <w:lang w:val="et-EE" w:bidi="ar-SA"/>
              </w:rPr>
            </w:pPr>
          </w:p>
          <w:p w14:paraId="434EE332"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2</w:t>
            </w:r>
          </w:p>
          <w:p w14:paraId="446ED9DE"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Maksimumvõimsuse vähenemine sageduse vähenemisel</w:t>
            </w:r>
          </w:p>
          <w:p w14:paraId="6BA8F848" w14:textId="48A32520" w:rsidR="008E1A17" w:rsidRPr="004D5219" w:rsidRDefault="008D709D" w:rsidP="00FD3413">
            <w:pPr>
              <w:widowControl/>
              <w:autoSpaceDE/>
              <w:autoSpaceDN/>
              <w:jc w:val="center"/>
              <w:rPr>
                <w:rFonts w:ascii="inherit" w:eastAsia="Times New Roman" w:hAnsi="inherit" w:cs="Times New Roman"/>
                <w:sz w:val="24"/>
                <w:szCs w:val="24"/>
                <w:lang w:val="et-EE" w:bidi="ar-SA"/>
              </w:rPr>
            </w:pPr>
            <w:r w:rsidRPr="004D5219">
              <w:rPr>
                <w:rFonts w:ascii="inherit" w:eastAsia="Times New Roman" w:hAnsi="inherit"/>
                <w:noProof/>
                <w:color w:val="000000"/>
                <w:lang w:val="et-EE"/>
              </w:rPr>
              <w:object w:dxaOrig="20532" w:dyaOrig="16637" w14:anchorId="31774BC9">
                <v:shape id="_x0000_i1027" type="#_x0000_t75" alt="" style="width:286.7pt;height:180pt;mso-width-percent:0;mso-height-percent:0;mso-width-percent:0;mso-height-percent:0" o:ole="">
                  <v:imagedata r:id="rId15" o:title="" croptop="12274f" cropbottom="3793f" cropleft="1750f"/>
                </v:shape>
                <o:OLEObject Type="Embed" ProgID="Visio.Drawing.11" ShapeID="_x0000_i1027" DrawAspect="Content" ObjectID="_1633352375" r:id="rId16"/>
              </w:object>
            </w:r>
            <w:r w:rsidR="008E1A17" w:rsidRPr="004D5219">
              <w:rPr>
                <w:rFonts w:ascii="inherit" w:eastAsia="Times New Roman" w:hAnsi="inherit" w:cs="Times New Roman"/>
                <w:sz w:val="24"/>
                <w:szCs w:val="24"/>
                <w:lang w:val="et-EE" w:bidi="ar-SA"/>
              </w:rPr>
              <w:fldChar w:fldCharType="begin"/>
            </w:r>
            <w:r w:rsidR="008E1A17" w:rsidRPr="004D5219">
              <w:rPr>
                <w:rFonts w:ascii="inherit" w:eastAsia="Times New Roman" w:hAnsi="inherit" w:cs="Times New Roman"/>
                <w:sz w:val="24"/>
                <w:szCs w:val="24"/>
                <w:lang w:val="et-EE" w:bidi="ar-SA"/>
              </w:rPr>
              <w:instrText xml:space="preserve"> INCLUDEPICTURE "https://eur-lex.europa.eu/resource.html?uri=uriserv:OJ.L_.2016.112.FULL.EST.xhtml.L_2016112ET.01001701.tif.jpg" \* MERGEFORMATINET </w:instrText>
            </w:r>
            <w:r w:rsidR="008E1A17" w:rsidRPr="004D5219">
              <w:rPr>
                <w:rFonts w:ascii="inherit" w:eastAsia="Times New Roman" w:hAnsi="inherit" w:cs="Times New Roman"/>
                <w:sz w:val="24"/>
                <w:szCs w:val="24"/>
                <w:lang w:val="et-EE" w:bidi="ar-SA"/>
              </w:rPr>
              <w:fldChar w:fldCharType="end"/>
            </w:r>
          </w:p>
          <w:p w14:paraId="0A41C7AE" w14:textId="77777777" w:rsidR="00F72920" w:rsidRPr="004D5219" w:rsidRDefault="00F72920" w:rsidP="00F72920">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highlight w:val="cyan"/>
                <w:lang w:val="et-EE" w:bidi="ar-SA"/>
              </w:rPr>
              <w:t>Joonisel 2 on näidatud tootmismooduli maksimumvõimsuse lubatud vähenemise määra sageduse alanedes.</w:t>
            </w:r>
          </w:p>
          <w:p w14:paraId="4C49CBCE" w14:textId="042E961F"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
        </w:tc>
      </w:tr>
    </w:tbl>
    <w:p w14:paraId="4DD471C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6.   Tootmismoodulil peab (sisendis) olema loogikaliides, et katkestada väljundaktiivvõimsuse tootmine viie sekundi jooksul pärast sisendisse jõudnud käsklust. Asjaomasel võrguettevõtjal peab olema õigus määrata kindlaks seadmete nõuded, et liides oleks </w:t>
      </w:r>
      <w:proofErr w:type="spellStart"/>
      <w:r w:rsidRPr="004D5219">
        <w:rPr>
          <w:rFonts w:ascii="inherit" w:eastAsia="Times New Roman" w:hAnsi="inherit" w:cs="Times New Roman"/>
          <w:color w:val="000000"/>
          <w:sz w:val="24"/>
          <w:szCs w:val="24"/>
          <w:lang w:val="et-EE" w:bidi="ar-SA"/>
        </w:rPr>
        <w:t>kaugjuhitav</w:t>
      </w:r>
      <w:proofErr w:type="spellEnd"/>
      <w:r w:rsidRPr="004D5219">
        <w:rPr>
          <w:rFonts w:ascii="inherit" w:eastAsia="Times New Roman" w:hAnsi="inherit" w:cs="Times New Roman"/>
          <w:color w:val="000000"/>
          <w:sz w:val="24"/>
          <w:szCs w:val="24"/>
          <w:lang w:val="et-EE" w:bidi="ar-SA"/>
        </w:rPr>
        <w:t>.</w:t>
      </w:r>
    </w:p>
    <w:p w14:paraId="6A1D0E2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Asjaomane põhivõrguettevõtja peab kindlaks määrama tingimused, mille puhul tootmismoodul peab olema võimeline automaatselt võrku ühenduma. Sellised tingimused sisaldavad järgmist:</w:t>
      </w:r>
    </w:p>
    <w:tbl>
      <w:tblPr>
        <w:tblW w:w="5000" w:type="pct"/>
        <w:tblCellSpacing w:w="0" w:type="dxa"/>
        <w:tblCellMar>
          <w:left w:w="0" w:type="dxa"/>
          <w:right w:w="0" w:type="dxa"/>
        </w:tblCellMar>
        <w:tblLook w:val="04A0" w:firstRow="1" w:lastRow="0" w:firstColumn="1" w:lastColumn="0" w:noHBand="0" w:noVBand="1"/>
      </w:tblPr>
      <w:tblGrid>
        <w:gridCol w:w="216"/>
        <w:gridCol w:w="9234"/>
      </w:tblGrid>
      <w:tr w:rsidR="008E1A17" w:rsidRPr="00A2039D" w14:paraId="6A277AA0" w14:textId="77777777" w:rsidTr="008E1A17">
        <w:trPr>
          <w:tblCellSpacing w:w="0" w:type="dxa"/>
        </w:trPr>
        <w:tc>
          <w:tcPr>
            <w:tcW w:w="0" w:type="auto"/>
            <w:hideMark/>
          </w:tcPr>
          <w:p w14:paraId="77B4862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38B18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sagedusvahemik, milles automaatne ühendumine on lubatav, ja vastav viivitus ning</w:t>
            </w:r>
          </w:p>
        </w:tc>
      </w:tr>
    </w:tbl>
    <w:p w14:paraId="0798314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28"/>
        <w:gridCol w:w="9122"/>
      </w:tblGrid>
      <w:tr w:rsidR="008E1A17" w:rsidRPr="00A2039D" w14:paraId="2A67400B" w14:textId="77777777" w:rsidTr="008E1A17">
        <w:trPr>
          <w:tblCellSpacing w:w="0" w:type="dxa"/>
        </w:trPr>
        <w:tc>
          <w:tcPr>
            <w:tcW w:w="0" w:type="auto"/>
            <w:hideMark/>
          </w:tcPr>
          <w:p w14:paraId="74A752D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2232C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maksimaalne lubatud väljundaktiivvõimsuse kasvu kiirus.</w:t>
            </w:r>
          </w:p>
        </w:tc>
      </w:tr>
    </w:tbl>
    <w:p w14:paraId="5610B71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Automaatne ühendumine on võimalik ainult juhul, kui asjaomane võrguettevõtja koostöös asjaomase põhivõrguettevõtjaga ei ole otsustanud teisiti.</w:t>
      </w:r>
    </w:p>
    <w:p w14:paraId="5A4BF58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14</w:t>
      </w:r>
    </w:p>
    <w:p w14:paraId="2F17C4B1"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Üldnõuded</w:t>
      </w:r>
      <w:proofErr w:type="spellEnd"/>
      <w:r w:rsidRPr="004D5219">
        <w:rPr>
          <w:rFonts w:ascii="inherit" w:eastAsia="Times New Roman" w:hAnsi="inherit" w:cs="Times New Roman"/>
          <w:b/>
          <w:bCs/>
          <w:color w:val="000000"/>
          <w:sz w:val="24"/>
          <w:szCs w:val="24"/>
          <w:lang w:val="et-EE" w:bidi="ar-SA"/>
        </w:rPr>
        <w:t xml:space="preserve"> B-tüüpi tootmismoodulite kohta</w:t>
      </w:r>
    </w:p>
    <w:p w14:paraId="3DE1830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B-tüüpi tootmismoodulid peavad vastama artiklis 13 sätestatud nõuetele, välja arvatud artikli 13 lõike 2 punkti b nõuded.</w:t>
      </w:r>
    </w:p>
    <w:p w14:paraId="0F6D983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B-tüüpi tootmismoodulid peavad sageduse stabiilsuse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758EBF4" w14:textId="77777777" w:rsidTr="008E1A17">
        <w:trPr>
          <w:tblCellSpacing w:w="0" w:type="dxa"/>
        </w:trPr>
        <w:tc>
          <w:tcPr>
            <w:tcW w:w="0" w:type="auto"/>
            <w:hideMark/>
          </w:tcPr>
          <w:p w14:paraId="7A7622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105D2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väljundaktiivvõimsuse juhtimiseks peab tootmismoodulil olema liides (sisendis), et vähendada väljundaktiivvõimsust sisendisse saabunud käskluse kohaselt, ning</w:t>
            </w:r>
          </w:p>
        </w:tc>
      </w:tr>
    </w:tbl>
    <w:p w14:paraId="2960F3A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43B78F1" w14:textId="77777777" w:rsidTr="008E1A17">
        <w:trPr>
          <w:tblCellSpacing w:w="0" w:type="dxa"/>
        </w:trPr>
        <w:tc>
          <w:tcPr>
            <w:tcW w:w="0" w:type="auto"/>
            <w:hideMark/>
          </w:tcPr>
          <w:p w14:paraId="07709CB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6382D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asjaomasel võrguettevõtjal peab olema õigus kindlaks määrata teiste seadmete nõuded, et väljundaktiivvõimsust saaks </w:t>
            </w:r>
            <w:proofErr w:type="spellStart"/>
            <w:r w:rsidRPr="004D5219">
              <w:rPr>
                <w:rFonts w:ascii="inherit" w:eastAsia="Times New Roman" w:hAnsi="inherit" w:cs="Times New Roman"/>
                <w:sz w:val="24"/>
                <w:szCs w:val="24"/>
                <w:lang w:val="et-EE" w:bidi="ar-SA"/>
              </w:rPr>
              <w:t>kaugjuhtimise</w:t>
            </w:r>
            <w:proofErr w:type="spellEnd"/>
            <w:r w:rsidRPr="004D5219">
              <w:rPr>
                <w:rFonts w:ascii="inherit" w:eastAsia="Times New Roman" w:hAnsi="inherit" w:cs="Times New Roman"/>
                <w:sz w:val="24"/>
                <w:szCs w:val="24"/>
                <w:lang w:val="et-EE" w:bidi="ar-SA"/>
              </w:rPr>
              <w:t xml:space="preserve"> teel muuta.</w:t>
            </w:r>
          </w:p>
        </w:tc>
      </w:tr>
    </w:tbl>
    <w:p w14:paraId="689B8E4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B-tüüpi tootmismoodulid peavad talitluskindluse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8DAFBDA" w14:textId="77777777" w:rsidTr="008E1A17">
        <w:trPr>
          <w:tblCellSpacing w:w="0" w:type="dxa"/>
        </w:trPr>
        <w:tc>
          <w:tcPr>
            <w:tcW w:w="0" w:type="auto"/>
            <w:hideMark/>
          </w:tcPr>
          <w:p w14:paraId="32ADA2F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a)</w:t>
            </w:r>
          </w:p>
        </w:tc>
        <w:tc>
          <w:tcPr>
            <w:tcW w:w="0" w:type="auto"/>
            <w:hideMark/>
          </w:tcPr>
          <w:p w14:paraId="4A50C20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tootmismoodulite </w:t>
            </w:r>
            <w:proofErr w:type="spellStart"/>
            <w:r w:rsidRPr="004D5219">
              <w:rPr>
                <w:rFonts w:ascii="inherit" w:eastAsia="Times New Roman" w:hAnsi="inherit" w:cs="Times New Roman"/>
                <w:sz w:val="24"/>
                <w:szCs w:val="24"/>
                <w:lang w:val="et-EE" w:bidi="ar-SA"/>
              </w:rPr>
              <w:t>rikkeläbimisvõimega</w:t>
            </w:r>
            <w:proofErr w:type="spellEnd"/>
            <w:r w:rsidRPr="004D5219">
              <w:rPr>
                <w:rFonts w:ascii="inherit" w:eastAsia="Times New Roman" w:hAnsi="inherit" w:cs="Times New Roman"/>
                <w:sz w:val="24"/>
                <w:szCs w:val="24"/>
                <w:lang w:val="et-EE" w:bidi="ar-SA"/>
              </w:rPr>
              <w:t>:</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0EA738FD" w14:textId="77777777">
              <w:trPr>
                <w:tblCellSpacing w:w="0" w:type="dxa"/>
              </w:trPr>
              <w:tc>
                <w:tcPr>
                  <w:tcW w:w="0" w:type="auto"/>
                  <w:hideMark/>
                </w:tcPr>
                <w:p w14:paraId="173075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3918FCC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iga põhivõrguettevõtja peab koostama pinge-aja graafiku (pingelohu läbimise kõvera) rikke olukorras ühenduspunktis joonise 3 kohaselt; pinge-aja graafik kirjeldab tingimusi, mille puhul tootmismoodul suudab võrku ühendatuks ja stabiilselt talitlema jääda pärast seda, kui elektrivõrgus on ülekandesüsteemis toimunud turvatud rike;</w:t>
                  </w:r>
                </w:p>
              </w:tc>
            </w:tr>
          </w:tbl>
          <w:p w14:paraId="404206B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7DA1BD5F" w14:textId="77777777">
              <w:trPr>
                <w:tblCellSpacing w:w="0" w:type="dxa"/>
              </w:trPr>
              <w:tc>
                <w:tcPr>
                  <w:tcW w:w="0" w:type="auto"/>
                  <w:hideMark/>
                </w:tcPr>
                <w:p w14:paraId="4007AA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012EDB5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pingelohu läbimise kõveral peab olema esitatud aja funktsioonina </w:t>
                  </w:r>
                  <w:proofErr w:type="spellStart"/>
                  <w:r w:rsidRPr="004D5219">
                    <w:rPr>
                      <w:rFonts w:ascii="inherit" w:eastAsia="Times New Roman" w:hAnsi="inherit" w:cs="Times New Roman"/>
                      <w:sz w:val="24"/>
                      <w:szCs w:val="24"/>
                      <w:lang w:val="et-EE" w:bidi="ar-SA"/>
                    </w:rPr>
                    <w:t>faasidevaheliste</w:t>
                  </w:r>
                  <w:proofErr w:type="spellEnd"/>
                  <w:r w:rsidRPr="004D5219">
                    <w:rPr>
                      <w:rFonts w:ascii="inherit" w:eastAsia="Times New Roman" w:hAnsi="inherit" w:cs="Times New Roman"/>
                      <w:sz w:val="24"/>
                      <w:szCs w:val="24"/>
                      <w:lang w:val="et-EE" w:bidi="ar-SA"/>
                    </w:rPr>
                    <w:t xml:space="preserve"> pingete tegeliku muutumise alampiir võrgupinge suhtes ühenduspunktis sümmeetrilise rikke korral enne riket, rikke ajal ja pärast riket;</w:t>
                  </w:r>
                </w:p>
              </w:tc>
            </w:tr>
          </w:tbl>
          <w:p w14:paraId="40EACFC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181397EE" w14:textId="77777777">
              <w:trPr>
                <w:tblCellSpacing w:w="0" w:type="dxa"/>
              </w:trPr>
              <w:tc>
                <w:tcPr>
                  <w:tcW w:w="0" w:type="auto"/>
                  <w:hideMark/>
                </w:tcPr>
                <w:p w14:paraId="0B3140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7B877EA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punktis ii osutatud alampiiri peab kindlaks määrama asjaomane põhivõrguettevõtja, kasutades näitajaid joonisel 3; alampiir peab olema tabelites 3.1 ja 3.2 näidatud piirides;</w:t>
                  </w:r>
                </w:p>
              </w:tc>
            </w:tr>
          </w:tbl>
          <w:p w14:paraId="42B83A4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3BC55ACE" w14:textId="77777777">
              <w:trPr>
                <w:tblCellSpacing w:w="0" w:type="dxa"/>
              </w:trPr>
              <w:tc>
                <w:tcPr>
                  <w:tcW w:w="0" w:type="auto"/>
                  <w:hideMark/>
                </w:tcPr>
                <w:p w14:paraId="30A0DE8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2685E3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iga põhivõrguettevõtja peab kindlaks määrama ja tegema avalikkusele kättesaadavaks rikke-eelsed ja -järgsed tingimused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kohta järgmiselt:</w:t>
                  </w:r>
                </w:p>
                <w:tbl>
                  <w:tblPr>
                    <w:tblW w:w="5000" w:type="pct"/>
                    <w:tblCellSpacing w:w="0" w:type="dxa"/>
                    <w:tblCellMar>
                      <w:left w:w="0" w:type="dxa"/>
                      <w:right w:w="0" w:type="dxa"/>
                    </w:tblCellMar>
                    <w:tblLook w:val="04A0" w:firstRow="1" w:lastRow="0" w:firstColumn="1" w:lastColumn="0" w:noHBand="0" w:noVBand="1"/>
                  </w:tblPr>
                  <w:tblGrid>
                    <w:gridCol w:w="366"/>
                    <w:gridCol w:w="8630"/>
                  </w:tblGrid>
                  <w:tr w:rsidR="008E1A17" w:rsidRPr="00A2039D" w14:paraId="26099F96" w14:textId="77777777">
                    <w:trPr>
                      <w:tblCellSpacing w:w="0" w:type="dxa"/>
                    </w:trPr>
                    <w:tc>
                      <w:tcPr>
                        <w:tcW w:w="0" w:type="auto"/>
                        <w:hideMark/>
                      </w:tcPr>
                      <w:p w14:paraId="796F7BE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4F27F4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rikke-eelse vähima lühisvõimsuse arvutus ühenduspunktis;</w:t>
                        </w:r>
                      </w:p>
                    </w:tc>
                  </w:tr>
                </w:tbl>
                <w:p w14:paraId="5A3BFA5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56"/>
                  </w:tblGrid>
                  <w:tr w:rsidR="008E1A17" w:rsidRPr="00A2039D" w14:paraId="4645D9CA" w14:textId="77777777">
                    <w:trPr>
                      <w:tblCellSpacing w:w="0" w:type="dxa"/>
                    </w:trPr>
                    <w:tc>
                      <w:tcPr>
                        <w:tcW w:w="0" w:type="auto"/>
                        <w:hideMark/>
                      </w:tcPr>
                      <w:p w14:paraId="49FF7B9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9358BE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rikke-eelse aktiivvõimsuse ja reaktiivvõimsuse talitluspunkt ning pinge ühenduspunktis ning</w:t>
                        </w:r>
                      </w:p>
                    </w:tc>
                  </w:tr>
                </w:tbl>
                <w:p w14:paraId="00C0FA4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66"/>
                    <w:gridCol w:w="8630"/>
                  </w:tblGrid>
                  <w:tr w:rsidR="008E1A17" w:rsidRPr="00A2039D" w14:paraId="1ADEF4A3" w14:textId="77777777">
                    <w:trPr>
                      <w:tblCellSpacing w:w="0" w:type="dxa"/>
                    </w:trPr>
                    <w:tc>
                      <w:tcPr>
                        <w:tcW w:w="0" w:type="auto"/>
                        <w:hideMark/>
                      </w:tcPr>
                      <w:p w14:paraId="064ED5E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970E3C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rikkejärgse vähima lühisvõimsuse arvutus ühenduspunktis;</w:t>
                        </w:r>
                      </w:p>
                    </w:tc>
                  </w:tr>
                </w:tbl>
                <w:p w14:paraId="765BD348"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D396F2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3"/>
            </w:tblGrid>
            <w:tr w:rsidR="008E1A17" w:rsidRPr="004D5219" w14:paraId="4C39EBE5" w14:textId="77777777">
              <w:trPr>
                <w:tblCellSpacing w:w="0" w:type="dxa"/>
              </w:trPr>
              <w:tc>
                <w:tcPr>
                  <w:tcW w:w="0" w:type="auto"/>
                  <w:hideMark/>
                </w:tcPr>
                <w:p w14:paraId="3F6AB8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7C3ED92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tootmisüksuse omaniku taotlusel peab asjaomane võrguettevõtja esitama rikke-eelsed ja -järgsed tingimused, mida tuleb arvesse võtta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puhul ja mis on saadud punktis iv osutatud arvutustega ühenduspunktis, järgmiselt:</w:t>
                  </w:r>
                </w:p>
                <w:tbl>
                  <w:tblPr>
                    <w:tblW w:w="5000" w:type="pct"/>
                    <w:tblCellSpacing w:w="0" w:type="dxa"/>
                    <w:tblCellMar>
                      <w:left w:w="0" w:type="dxa"/>
                      <w:right w:w="0" w:type="dxa"/>
                    </w:tblCellMar>
                    <w:tblLook w:val="04A0" w:firstRow="1" w:lastRow="0" w:firstColumn="1" w:lastColumn="0" w:noHBand="0" w:noVBand="1"/>
                  </w:tblPr>
                  <w:tblGrid>
                    <w:gridCol w:w="353"/>
                    <w:gridCol w:w="8710"/>
                  </w:tblGrid>
                  <w:tr w:rsidR="008E1A17" w:rsidRPr="00A2039D" w14:paraId="7C68718C" w14:textId="77777777">
                    <w:trPr>
                      <w:tblCellSpacing w:w="0" w:type="dxa"/>
                    </w:trPr>
                    <w:tc>
                      <w:tcPr>
                        <w:tcW w:w="0" w:type="auto"/>
                        <w:hideMark/>
                      </w:tcPr>
                      <w:p w14:paraId="121D452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7F27B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rikke-eelne vähim lühisvõimsus igas ühenduspunktis [MVA];</w:t>
                        </w:r>
                      </w:p>
                    </w:tc>
                  </w:tr>
                </w:tbl>
                <w:p w14:paraId="4DD90C6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23"/>
                  </w:tblGrid>
                  <w:tr w:rsidR="008E1A17" w:rsidRPr="00A2039D" w14:paraId="7C77798F" w14:textId="77777777">
                    <w:trPr>
                      <w:tblCellSpacing w:w="0" w:type="dxa"/>
                    </w:trPr>
                    <w:tc>
                      <w:tcPr>
                        <w:tcW w:w="0" w:type="auto"/>
                        <w:hideMark/>
                      </w:tcPr>
                      <w:p w14:paraId="1ABDD8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0168EF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rikke-eelne talitluspunkt, mis on väljendatud ühenduspunkti väljundaktiiv- ja reaktiivvõimsuse ning pinge kaudu, ning</w:t>
                        </w:r>
                      </w:p>
                    </w:tc>
                  </w:tr>
                </w:tbl>
                <w:p w14:paraId="0E7F6F5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52"/>
                    <w:gridCol w:w="8711"/>
                  </w:tblGrid>
                  <w:tr w:rsidR="008E1A17" w:rsidRPr="00A2039D" w14:paraId="0D78D04C" w14:textId="77777777">
                    <w:trPr>
                      <w:tblCellSpacing w:w="0" w:type="dxa"/>
                    </w:trPr>
                    <w:tc>
                      <w:tcPr>
                        <w:tcW w:w="0" w:type="auto"/>
                        <w:hideMark/>
                      </w:tcPr>
                      <w:p w14:paraId="49E0398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A0C85E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rikkejärgne vähim lühisvõimsus igas ühenduspunktis [MVA].</w:t>
                        </w:r>
                      </w:p>
                    </w:tc>
                  </w:tr>
                </w:tbl>
                <w:p w14:paraId="6EDBB8FE" w14:textId="037FF460" w:rsidR="008E1A17"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Teise võimalusena võib asjaomane võrguettevõtja esitada tüüpiliste juhtude põhjal leitud üldised väärtused.</w:t>
                  </w:r>
                </w:p>
                <w:p w14:paraId="5ECEA7D8" w14:textId="3909E050"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4AEF248B" w14:textId="5359CD46"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3724DC09" w14:textId="1C1A0470"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2D28F4E3" w14:textId="174764C9"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28F22EF7" w14:textId="6E007931"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2336473C" w14:textId="74579B24"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5FE7A5D1" w14:textId="54D138F0"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79822C3F" w14:textId="11E85DA8"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1A5DB7BF" w14:textId="185ED954"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09C4352C" w14:textId="4738A1AA"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629ED7F0" w14:textId="02CF0296"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5AA2D349" w14:textId="33908A77"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4B1CB3C6" w14:textId="272983C7"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7EB142C1" w14:textId="715AE1AB"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46904B31" w14:textId="28A16A33"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5373E05F" w14:textId="1F737F0B"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2CDD9D5E" w14:textId="4CEAE6DB"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6AA732E0" w14:textId="2B57BAFB"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5FACEF78" w14:textId="086BC8F5" w:rsidR="00C21680" w:rsidRDefault="00C21680" w:rsidP="008E1A17">
                  <w:pPr>
                    <w:widowControl/>
                    <w:autoSpaceDE/>
                    <w:autoSpaceDN/>
                    <w:spacing w:before="120"/>
                    <w:jc w:val="both"/>
                    <w:rPr>
                      <w:rFonts w:ascii="inherit" w:eastAsia="Times New Roman" w:hAnsi="inherit" w:cs="Times New Roman"/>
                      <w:sz w:val="24"/>
                      <w:szCs w:val="24"/>
                      <w:lang w:val="et-EE" w:bidi="ar-SA"/>
                    </w:rPr>
                  </w:pPr>
                </w:p>
                <w:p w14:paraId="2A0903DF" w14:textId="77777777" w:rsidR="00C21680" w:rsidRPr="004D5219" w:rsidRDefault="00C21680" w:rsidP="008E1A17">
                  <w:pPr>
                    <w:widowControl/>
                    <w:autoSpaceDE/>
                    <w:autoSpaceDN/>
                    <w:spacing w:before="120"/>
                    <w:jc w:val="both"/>
                    <w:rPr>
                      <w:rFonts w:ascii="inherit" w:eastAsia="Times New Roman" w:hAnsi="inherit" w:cs="Times New Roman"/>
                      <w:sz w:val="24"/>
                      <w:szCs w:val="24"/>
                      <w:lang w:val="et-EE" w:bidi="ar-SA"/>
                    </w:rPr>
                  </w:pPr>
                </w:p>
                <w:p w14:paraId="3ABB35C5" w14:textId="63363C02" w:rsidR="00C21680" w:rsidRPr="004D5219" w:rsidRDefault="008E1A17" w:rsidP="009B6E1D">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3</w:t>
                  </w:r>
                </w:p>
                <w:p w14:paraId="15CCD718" w14:textId="77777777" w:rsidR="008E1A17" w:rsidRPr="004D5219" w:rsidRDefault="008E1A17" w:rsidP="009B6E1D">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Pingelohu läbimise kõver.</w:t>
                  </w:r>
                </w:p>
                <w:p w14:paraId="6E646F6F" w14:textId="5CF1EE7D" w:rsidR="008E1A17" w:rsidRPr="004D5219" w:rsidRDefault="00C21680" w:rsidP="008E1A17">
                  <w:pPr>
                    <w:widowControl/>
                    <w:autoSpaceDE/>
                    <w:autoSpaceDN/>
                    <w:rPr>
                      <w:rFonts w:ascii="inherit" w:eastAsia="Times New Roman" w:hAnsi="inherit" w:cs="Times New Roman"/>
                      <w:sz w:val="24"/>
                      <w:szCs w:val="24"/>
                      <w:lang w:val="et-EE" w:bidi="ar-SA"/>
                    </w:rPr>
                  </w:pPr>
                  <w:r w:rsidRPr="004D5219">
                    <w:rPr>
                      <w:rFonts w:ascii="inherit" w:eastAsia="Times New Roman" w:hAnsi="inherit"/>
                      <w:noProof/>
                      <w:lang w:val="et-EE"/>
                    </w:rPr>
                    <w:object w:dxaOrig="10066" w:dyaOrig="11221" w14:anchorId="64014E5F">
                      <v:shape id="_x0000_i1028" type="#_x0000_t75" alt="" style="width:413.7pt;height:461.9pt;mso-width-percent:0;mso-height-percent:0;mso-width-percent:0;mso-height-percent:0" o:ole="">
                        <v:imagedata r:id="rId17" o:title=""/>
                      </v:shape>
                      <o:OLEObject Type="Embed" ProgID="Visio.Drawing.15" ShapeID="_x0000_i1028" DrawAspect="Content" ObjectID="_1633352376" r:id="rId18"/>
                    </w:object>
                  </w:r>
                  <w:r w:rsidR="008E1A17" w:rsidRPr="004D5219">
                    <w:rPr>
                      <w:rFonts w:ascii="inherit" w:eastAsia="Times New Roman" w:hAnsi="inherit" w:cs="Times New Roman"/>
                      <w:sz w:val="24"/>
                      <w:szCs w:val="24"/>
                      <w:lang w:val="et-EE" w:bidi="ar-SA"/>
                    </w:rPr>
                    <w:fldChar w:fldCharType="begin"/>
                  </w:r>
                  <w:r w:rsidR="008E1A17" w:rsidRPr="004D5219">
                    <w:rPr>
                      <w:rFonts w:ascii="inherit" w:eastAsia="Times New Roman" w:hAnsi="inherit" w:cs="Times New Roman"/>
                      <w:sz w:val="24"/>
                      <w:szCs w:val="24"/>
                      <w:lang w:val="et-EE" w:bidi="ar-SA"/>
                    </w:rPr>
                    <w:instrText xml:space="preserve"> INCLUDEPICTURE "https://eur-lex.europa.eu/resource.html?uri=uriserv:OJ.L_.2016.112.FULL.EST.xhtml.L_2016112ET.01001901.tif.jpg" \* MERGEFORMATINET </w:instrText>
                  </w:r>
                  <w:r w:rsidR="008E1A17" w:rsidRPr="004D5219">
                    <w:rPr>
                      <w:rFonts w:ascii="inherit" w:eastAsia="Times New Roman" w:hAnsi="inherit" w:cs="Times New Roman"/>
                      <w:sz w:val="24"/>
                      <w:szCs w:val="24"/>
                      <w:lang w:val="et-EE" w:bidi="ar-SA"/>
                    </w:rPr>
                    <w:fldChar w:fldCharType="end"/>
                  </w:r>
                </w:p>
                <w:p w14:paraId="1E13EC9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Joonisel on näidatud pinge-aja kõveral pinge alumine piir ühenduspunktis; tegelik pinge on näidatud suhtena võrdlusväärtuse 1 (suhtelistes ühikutes) suhtes enne riket, rikke ajal ja pärast riket. </w:t>
                  </w:r>
                  <w:proofErr w:type="spellStart"/>
                  <w:r w:rsidRPr="004D5219">
                    <w:rPr>
                      <w:rFonts w:ascii="inherit" w:eastAsia="Times New Roman" w:hAnsi="inherit" w:cs="Times New Roman"/>
                      <w:sz w:val="24"/>
                      <w:szCs w:val="24"/>
                      <w:lang w:val="et-EE" w:bidi="ar-SA"/>
                    </w:rPr>
                    <w:t>U</w:t>
                  </w:r>
                  <w:r w:rsidRPr="004D5219">
                    <w:rPr>
                      <w:rFonts w:ascii="inherit" w:eastAsia="Times New Roman" w:hAnsi="inherit" w:cs="Times New Roman"/>
                      <w:sz w:val="17"/>
                      <w:szCs w:val="17"/>
                      <w:vertAlign w:val="subscript"/>
                      <w:lang w:val="et-EE" w:bidi="ar-SA"/>
                    </w:rPr>
                    <w:t>ret</w:t>
                  </w:r>
                  <w:proofErr w:type="spellEnd"/>
                  <w:r w:rsidRPr="004D5219">
                    <w:rPr>
                      <w:rFonts w:ascii="inherit" w:eastAsia="Times New Roman" w:hAnsi="inherit" w:cs="Times New Roman"/>
                      <w:sz w:val="24"/>
                      <w:szCs w:val="24"/>
                      <w:lang w:val="et-EE" w:bidi="ar-SA"/>
                    </w:rPr>
                    <w:t xml:space="preserve"> on jääkpinge rikke ajal ühenduspunktis, </w:t>
                  </w:r>
                  <w:proofErr w:type="spellStart"/>
                  <w:r w:rsidRPr="004D5219">
                    <w:rPr>
                      <w:rFonts w:ascii="inherit" w:eastAsia="Times New Roman" w:hAnsi="inherit" w:cs="Times New Roman"/>
                      <w:sz w:val="24"/>
                      <w:szCs w:val="24"/>
                      <w:lang w:val="et-EE" w:bidi="ar-SA"/>
                    </w:rPr>
                    <w:t>t</w:t>
                  </w:r>
                  <w:r w:rsidRPr="004D5219">
                    <w:rPr>
                      <w:rFonts w:ascii="inherit" w:eastAsia="Times New Roman" w:hAnsi="inherit" w:cs="Times New Roman"/>
                      <w:sz w:val="17"/>
                      <w:szCs w:val="17"/>
                      <w:vertAlign w:val="subscript"/>
                      <w:lang w:val="et-EE" w:bidi="ar-SA"/>
                    </w:rPr>
                    <w:t>clear</w:t>
                  </w:r>
                  <w:proofErr w:type="spellEnd"/>
                  <w:r w:rsidRPr="004D5219">
                    <w:rPr>
                      <w:rFonts w:ascii="inherit" w:eastAsia="Times New Roman" w:hAnsi="inherit" w:cs="Times New Roman"/>
                      <w:sz w:val="24"/>
                      <w:szCs w:val="24"/>
                      <w:lang w:val="et-EE" w:bidi="ar-SA"/>
                    </w:rPr>
                    <w:t> on rikke eraldamise hetk. U</w:t>
                  </w:r>
                  <w:r w:rsidRPr="004D5219">
                    <w:rPr>
                      <w:rFonts w:ascii="inherit" w:eastAsia="Times New Roman" w:hAnsi="inherit" w:cs="Times New Roman"/>
                      <w:sz w:val="17"/>
                      <w:szCs w:val="17"/>
                      <w:vertAlign w:val="subscript"/>
                      <w:lang w:val="et-EE" w:bidi="ar-SA"/>
                    </w:rPr>
                    <w:t>rec1</w:t>
                  </w:r>
                  <w:r w:rsidRPr="004D5219">
                    <w:rPr>
                      <w:rFonts w:ascii="inherit" w:eastAsia="Times New Roman" w:hAnsi="inherit" w:cs="Times New Roman"/>
                      <w:sz w:val="24"/>
                      <w:szCs w:val="24"/>
                      <w:lang w:val="et-EE" w:bidi="ar-SA"/>
                    </w:rPr>
                    <w:t>, U</w:t>
                  </w:r>
                  <w:r w:rsidRPr="004D5219">
                    <w:rPr>
                      <w:rFonts w:ascii="inherit" w:eastAsia="Times New Roman" w:hAnsi="inherit" w:cs="Times New Roman"/>
                      <w:sz w:val="17"/>
                      <w:szCs w:val="17"/>
                      <w:vertAlign w:val="subscript"/>
                      <w:lang w:val="et-EE" w:bidi="ar-SA"/>
                    </w:rPr>
                    <w:t>rec2</w:t>
                  </w:r>
                  <w:r w:rsidRPr="004D5219">
                    <w:rPr>
                      <w:rFonts w:ascii="inherit" w:eastAsia="Times New Roman" w:hAnsi="inherit" w:cs="Times New Roman"/>
                      <w:sz w:val="24"/>
                      <w:szCs w:val="24"/>
                      <w:lang w:val="et-EE" w:bidi="ar-SA"/>
                    </w:rPr>
                    <w:t>, t</w:t>
                  </w:r>
                  <w:r w:rsidRPr="004D5219">
                    <w:rPr>
                      <w:rFonts w:ascii="inherit" w:eastAsia="Times New Roman" w:hAnsi="inherit" w:cs="Times New Roman"/>
                      <w:sz w:val="17"/>
                      <w:szCs w:val="17"/>
                      <w:vertAlign w:val="subscript"/>
                      <w:lang w:val="et-EE" w:bidi="ar-SA"/>
                    </w:rPr>
                    <w:t>rec1</w:t>
                  </w:r>
                  <w:r w:rsidRPr="004D5219">
                    <w:rPr>
                      <w:rFonts w:ascii="inherit" w:eastAsia="Times New Roman" w:hAnsi="inherit" w:cs="Times New Roman"/>
                      <w:sz w:val="24"/>
                      <w:szCs w:val="24"/>
                      <w:lang w:val="et-EE" w:bidi="ar-SA"/>
                    </w:rPr>
                    <w:t>, t</w:t>
                  </w:r>
                  <w:r w:rsidRPr="004D5219">
                    <w:rPr>
                      <w:rFonts w:ascii="inherit" w:eastAsia="Times New Roman" w:hAnsi="inherit" w:cs="Times New Roman"/>
                      <w:sz w:val="17"/>
                      <w:szCs w:val="17"/>
                      <w:vertAlign w:val="subscript"/>
                      <w:lang w:val="et-EE" w:bidi="ar-SA"/>
                    </w:rPr>
                    <w:t>rec2</w:t>
                  </w:r>
                  <w:r w:rsidRPr="004D5219">
                    <w:rPr>
                      <w:rFonts w:ascii="inherit" w:eastAsia="Times New Roman" w:hAnsi="inherit" w:cs="Times New Roman"/>
                      <w:sz w:val="24"/>
                      <w:szCs w:val="24"/>
                      <w:lang w:val="et-EE" w:bidi="ar-SA"/>
                    </w:rPr>
                    <w:t> ja t</w:t>
                  </w:r>
                  <w:r w:rsidRPr="004D5219">
                    <w:rPr>
                      <w:rFonts w:ascii="inherit" w:eastAsia="Times New Roman" w:hAnsi="inherit" w:cs="Times New Roman"/>
                      <w:sz w:val="17"/>
                      <w:szCs w:val="17"/>
                      <w:vertAlign w:val="subscript"/>
                      <w:lang w:val="et-EE" w:bidi="ar-SA"/>
                    </w:rPr>
                    <w:t>rec3</w:t>
                  </w:r>
                  <w:r w:rsidRPr="004D5219">
                    <w:rPr>
                      <w:rFonts w:ascii="inherit" w:eastAsia="Times New Roman" w:hAnsi="inherit" w:cs="Times New Roman"/>
                      <w:sz w:val="24"/>
                      <w:szCs w:val="24"/>
                      <w:lang w:val="et-EE" w:bidi="ar-SA"/>
                    </w:rPr>
                    <w:t> tähistavad teatavaid punkte, kus pinge taastamise alampiir muutub pärast rikke eraldamist.</w:t>
                  </w:r>
                </w:p>
                <w:p w14:paraId="7D68FD1A"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3.1</w:t>
                  </w:r>
                </w:p>
                <w:p w14:paraId="3FC2C5E2" w14:textId="3954E78E"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 xml:space="preserve">Suuruste väärtused </w:t>
                  </w:r>
                  <w:r w:rsidRPr="004D5219">
                    <w:rPr>
                      <w:rFonts w:ascii="inherit" w:eastAsia="Times New Roman" w:hAnsi="inherit" w:cs="Times New Roman"/>
                      <w:b/>
                      <w:bCs/>
                      <w:sz w:val="24"/>
                      <w:szCs w:val="24"/>
                      <w:highlight w:val="cyan"/>
                      <w:lang w:val="et-EE" w:bidi="ar-SA"/>
                    </w:rPr>
                    <w:t xml:space="preserve">joonisel 3 </w:t>
                  </w:r>
                  <w:r w:rsidR="004169C8" w:rsidRPr="004D5219">
                    <w:rPr>
                      <w:rFonts w:ascii="inherit" w:eastAsia="Times New Roman" w:hAnsi="inherit" w:cs="Times New Roman"/>
                      <w:b/>
                      <w:bCs/>
                      <w:sz w:val="24"/>
                      <w:szCs w:val="24"/>
                      <w:highlight w:val="cyan"/>
                      <w:lang w:val="et-EE" w:bidi="ar-SA"/>
                    </w:rPr>
                    <w:t>a</w:t>
                  </w:r>
                  <w:r w:rsidR="004169C8" w:rsidRPr="004D5219">
                    <w:rPr>
                      <w:rFonts w:ascii="inherit" w:eastAsia="Times New Roman" w:hAnsi="inherit" w:cs="Times New Roman"/>
                      <w:b/>
                      <w:bCs/>
                      <w:sz w:val="24"/>
                      <w:szCs w:val="24"/>
                      <w:lang w:val="et-EE" w:bidi="ar-SA"/>
                    </w:rPr>
                    <w:t xml:space="preserve"> </w:t>
                  </w:r>
                  <w:r w:rsidRPr="004D5219">
                    <w:rPr>
                      <w:rFonts w:ascii="inherit" w:eastAsia="Times New Roman" w:hAnsi="inherit" w:cs="Times New Roman"/>
                      <w:b/>
                      <w:bCs/>
                      <w:sz w:val="24"/>
                      <w:szCs w:val="24"/>
                      <w:lang w:val="et-EE" w:bidi="ar-SA"/>
                    </w:rPr>
                    <w:t xml:space="preserve">sünkroonmoodulite </w:t>
                  </w:r>
                  <w:proofErr w:type="spellStart"/>
                  <w:r w:rsidRPr="004D5219">
                    <w:rPr>
                      <w:rFonts w:ascii="inherit" w:eastAsia="Times New Roman" w:hAnsi="inherit" w:cs="Times New Roman"/>
                      <w:b/>
                      <w:bCs/>
                      <w:sz w:val="24"/>
                      <w:szCs w:val="24"/>
                      <w:lang w:val="et-EE" w:bidi="ar-SA"/>
                    </w:rPr>
                    <w:t>rikkeläbimisvõime</w:t>
                  </w:r>
                  <w:proofErr w:type="spellEnd"/>
                  <w:r w:rsidRPr="004D5219">
                    <w:rPr>
                      <w:rFonts w:ascii="inherit" w:eastAsia="Times New Roman" w:hAnsi="inherit" w:cs="Times New Roman"/>
                      <w:b/>
                      <w:bCs/>
                      <w:sz w:val="24"/>
                      <w:szCs w:val="24"/>
                      <w:lang w:val="et-EE" w:bidi="ar-SA"/>
                    </w:rPr>
                    <w:t xml:space="preserve">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7"/>
                    <w:gridCol w:w="2629"/>
                    <w:gridCol w:w="1641"/>
                    <w:gridCol w:w="1960"/>
                  </w:tblGrid>
                  <w:tr w:rsidR="008E1A17" w:rsidRPr="004D5219" w14:paraId="3BEB20E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E2E3742"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väärtused [</w:t>
                        </w:r>
                        <w:proofErr w:type="spellStart"/>
                        <w:r w:rsidRPr="004D5219">
                          <w:rPr>
                            <w:rFonts w:ascii="inherit" w:eastAsia="Times New Roman" w:hAnsi="inherit" w:cs="Times New Roman"/>
                            <w:b/>
                            <w:bCs/>
                            <w:lang w:val="et-EE" w:bidi="ar-SA"/>
                          </w:rPr>
                          <w:t>s.ü</w:t>
                        </w:r>
                        <w:proofErr w:type="spellEnd"/>
                        <w:r w:rsidRPr="004D5219">
                          <w:rPr>
                            <w:rFonts w:ascii="inherit" w:eastAsia="Times New Roman" w:hAnsi="inherit" w:cs="Times New Roman"/>
                            <w:b/>
                            <w:bCs/>
                            <w:lang w:val="et-EE" w:bidi="ar-SA"/>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E0AB5BE"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Ajahetked [s]</w:t>
                        </w:r>
                      </w:p>
                    </w:tc>
                  </w:tr>
                  <w:tr w:rsidR="008E1A17" w:rsidRPr="004D5219" w14:paraId="4B4B1E5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5A0074"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lastRenderedPageBreak/>
                          <w:t>U</w:t>
                        </w:r>
                        <w:r w:rsidRPr="004D5219">
                          <w:rPr>
                            <w:rFonts w:ascii="inherit" w:eastAsia="Times New Roman" w:hAnsi="inherit" w:cs="Times New Roman"/>
                            <w:sz w:val="15"/>
                            <w:szCs w:val="15"/>
                            <w:vertAlign w:val="subscript"/>
                            <w:lang w:val="et-EE" w:bidi="ar-SA"/>
                          </w:rPr>
                          <w:t>ret</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05D0475F" w14:textId="42858FB1" w:rsidR="008E1A17" w:rsidRPr="004D5219" w:rsidRDefault="008E1A17" w:rsidP="00330085">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w:t>
                        </w:r>
                        <w:r w:rsidR="00330085" w:rsidRPr="004D5219">
                          <w:rPr>
                            <w:rFonts w:ascii="inherit" w:eastAsia="Times New Roman" w:hAnsi="inherit" w:cs="Times New Roman"/>
                            <w:highlight w:val="cyan"/>
                            <w:lang w:val="et-EE" w:bidi="ar-SA"/>
                          </w:rPr>
                          <w:t>25</w:t>
                        </w:r>
                      </w:p>
                    </w:tc>
                    <w:tc>
                      <w:tcPr>
                        <w:tcW w:w="0" w:type="auto"/>
                        <w:tcBorders>
                          <w:top w:val="single" w:sz="6" w:space="0" w:color="000000"/>
                          <w:left w:val="single" w:sz="6" w:space="0" w:color="000000"/>
                          <w:bottom w:val="single" w:sz="6" w:space="0" w:color="000000"/>
                          <w:right w:val="single" w:sz="6" w:space="0" w:color="000000"/>
                        </w:tcBorders>
                        <w:hideMark/>
                      </w:tcPr>
                      <w:p w14:paraId="224ECA3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43AFD354" w14:textId="5A8A8EEA" w:rsidR="008E1A17" w:rsidRPr="004D5219" w:rsidRDefault="00330085"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0,25</w:t>
                        </w:r>
                        <w:r w:rsidRPr="004D5219">
                          <w:rPr>
                            <w:rFonts w:ascii="inherit" w:eastAsia="Times New Roman" w:hAnsi="inherit" w:cs="Times New Roman"/>
                            <w:lang w:val="et-EE" w:bidi="ar-SA"/>
                          </w:rPr>
                          <w:t xml:space="preserve"> </w:t>
                        </w:r>
                      </w:p>
                    </w:tc>
                  </w:tr>
                  <w:tr w:rsidR="008E1A17" w:rsidRPr="004D5219" w14:paraId="7F07B68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BD723B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27818A28" w14:textId="1EAA8C66" w:rsidR="008E1A17" w:rsidRPr="004D5219" w:rsidRDefault="0099707C"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0,7</w:t>
                        </w:r>
                      </w:p>
                    </w:tc>
                    <w:tc>
                      <w:tcPr>
                        <w:tcW w:w="0" w:type="auto"/>
                        <w:tcBorders>
                          <w:top w:val="single" w:sz="6" w:space="0" w:color="000000"/>
                          <w:left w:val="single" w:sz="6" w:space="0" w:color="000000"/>
                          <w:bottom w:val="single" w:sz="6" w:space="0" w:color="000000"/>
                          <w:right w:val="single" w:sz="6" w:space="0" w:color="000000"/>
                        </w:tcBorders>
                        <w:hideMark/>
                      </w:tcPr>
                      <w:p w14:paraId="2F9DEB3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8563A4E"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p>
                    </w:tc>
                  </w:tr>
                  <w:tr w:rsidR="008E1A17" w:rsidRPr="004D5219" w14:paraId="34E3362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F30E7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87FFED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161779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335E01B" w14:textId="380A5DD2" w:rsidR="008E1A17" w:rsidRPr="004D5219" w:rsidRDefault="0099707C"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0,6</w:t>
                        </w:r>
                      </w:p>
                    </w:tc>
                  </w:tr>
                  <w:tr w:rsidR="008E1A17" w:rsidRPr="004D5219" w14:paraId="2D0D3E0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BA0BDC0"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09C2AD8" w14:textId="5BF22190" w:rsidR="008E1A17" w:rsidRPr="004D5219" w:rsidRDefault="0099707C" w:rsidP="0099707C">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0,9</w:t>
                        </w:r>
                      </w:p>
                    </w:tc>
                    <w:tc>
                      <w:tcPr>
                        <w:tcW w:w="0" w:type="auto"/>
                        <w:tcBorders>
                          <w:top w:val="single" w:sz="6" w:space="0" w:color="000000"/>
                          <w:left w:val="single" w:sz="6" w:space="0" w:color="000000"/>
                          <w:bottom w:val="single" w:sz="6" w:space="0" w:color="000000"/>
                          <w:right w:val="single" w:sz="6" w:space="0" w:color="000000"/>
                        </w:tcBorders>
                        <w:hideMark/>
                      </w:tcPr>
                      <w:p w14:paraId="72246DDE"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rec3</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7A97CFD6" w14:textId="7898CCC9" w:rsidR="008E1A17" w:rsidRPr="004D5219" w:rsidRDefault="0099707C"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0,75</w:t>
                        </w:r>
                      </w:p>
                    </w:tc>
                  </w:tr>
                </w:tbl>
                <w:p w14:paraId="0A692AD1"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3.2</w:t>
                  </w:r>
                </w:p>
                <w:p w14:paraId="7F9C3BB6" w14:textId="0F7007DF"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 xml:space="preserve">Suuruste väärtused energiapargimoodulite </w:t>
                  </w:r>
                  <w:proofErr w:type="spellStart"/>
                  <w:r w:rsidRPr="004D5219">
                    <w:rPr>
                      <w:rFonts w:ascii="inherit" w:eastAsia="Times New Roman" w:hAnsi="inherit" w:cs="Times New Roman"/>
                      <w:b/>
                      <w:bCs/>
                      <w:sz w:val="24"/>
                      <w:szCs w:val="24"/>
                      <w:lang w:val="et-EE" w:bidi="ar-SA"/>
                    </w:rPr>
                    <w:t>rikkeläbimisvõime</w:t>
                  </w:r>
                  <w:proofErr w:type="spellEnd"/>
                  <w:r w:rsidRPr="004D5219">
                    <w:rPr>
                      <w:rFonts w:ascii="inherit" w:eastAsia="Times New Roman" w:hAnsi="inherit" w:cs="Times New Roman"/>
                      <w:b/>
                      <w:bCs/>
                      <w:sz w:val="24"/>
                      <w:szCs w:val="24"/>
                      <w:lang w:val="et-EE" w:bidi="ar-SA"/>
                    </w:rPr>
                    <w:t xml:space="preserve"> kohta (</w:t>
                  </w:r>
                  <w:r w:rsidRPr="004D5219">
                    <w:rPr>
                      <w:rFonts w:ascii="inherit" w:eastAsia="Times New Roman" w:hAnsi="inherit" w:cs="Times New Roman"/>
                      <w:b/>
                      <w:bCs/>
                      <w:sz w:val="24"/>
                      <w:szCs w:val="24"/>
                      <w:highlight w:val="cyan"/>
                      <w:lang w:val="et-EE" w:bidi="ar-SA"/>
                    </w:rPr>
                    <w:t>joonis 3</w:t>
                  </w:r>
                  <w:r w:rsidR="004169C8" w:rsidRPr="004D5219">
                    <w:rPr>
                      <w:rFonts w:ascii="inherit" w:eastAsia="Times New Roman" w:hAnsi="inherit" w:cs="Times New Roman"/>
                      <w:b/>
                      <w:bCs/>
                      <w:sz w:val="24"/>
                      <w:szCs w:val="24"/>
                      <w:highlight w:val="cyan"/>
                      <w:lang w:val="et-EE" w:bidi="ar-SA"/>
                    </w:rPr>
                    <w:t xml:space="preserve"> b</w:t>
                  </w:r>
                  <w:r w:rsidRPr="004D5219">
                    <w:rPr>
                      <w:rFonts w:ascii="inherit" w:eastAsia="Times New Roman" w:hAnsi="inherit" w:cs="Times New Roman"/>
                      <w:b/>
                      <w:bCs/>
                      <w:sz w:val="24"/>
                      <w:szCs w:val="24"/>
                      <w:lang w:val="et-EE" w:bidi="ar-SA"/>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7"/>
                    <w:gridCol w:w="2629"/>
                    <w:gridCol w:w="1641"/>
                    <w:gridCol w:w="1960"/>
                  </w:tblGrid>
                  <w:tr w:rsidR="008E1A17" w:rsidRPr="004D5219" w14:paraId="176CF8B9"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7ABA044"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väärtused [</w:t>
                        </w:r>
                        <w:proofErr w:type="spellStart"/>
                        <w:r w:rsidRPr="004D5219">
                          <w:rPr>
                            <w:rFonts w:ascii="inherit" w:eastAsia="Times New Roman" w:hAnsi="inherit" w:cs="Times New Roman"/>
                            <w:b/>
                            <w:bCs/>
                            <w:lang w:val="et-EE" w:bidi="ar-SA"/>
                          </w:rPr>
                          <w:t>s.ü</w:t>
                        </w:r>
                        <w:proofErr w:type="spellEnd"/>
                        <w:r w:rsidRPr="004D5219">
                          <w:rPr>
                            <w:rFonts w:ascii="inherit" w:eastAsia="Times New Roman" w:hAnsi="inherit" w:cs="Times New Roman"/>
                            <w:b/>
                            <w:bCs/>
                            <w:lang w:val="et-EE" w:bidi="ar-SA"/>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E3020F3"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Ajahetked [s]</w:t>
                        </w:r>
                      </w:p>
                    </w:tc>
                  </w:tr>
                  <w:tr w:rsidR="008E1A17" w:rsidRPr="004D5219" w14:paraId="0230BAC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A8EA128"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ret</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CC94E1A" w14:textId="78946586"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0,15</w:t>
                        </w:r>
                      </w:p>
                    </w:tc>
                    <w:tc>
                      <w:tcPr>
                        <w:tcW w:w="0" w:type="auto"/>
                        <w:tcBorders>
                          <w:top w:val="single" w:sz="6" w:space="0" w:color="000000"/>
                          <w:left w:val="single" w:sz="6" w:space="0" w:color="000000"/>
                          <w:bottom w:val="single" w:sz="6" w:space="0" w:color="000000"/>
                          <w:right w:val="single" w:sz="6" w:space="0" w:color="000000"/>
                        </w:tcBorders>
                        <w:hideMark/>
                      </w:tcPr>
                      <w:p w14:paraId="31C61BB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8229812" w14:textId="2452FE4D" w:rsidR="008E1A17" w:rsidRPr="004D5219" w:rsidRDefault="008A4F02"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0,25</w:t>
                        </w:r>
                      </w:p>
                    </w:tc>
                  </w:tr>
                  <w:tr w:rsidR="008E1A17" w:rsidRPr="004D5219" w14:paraId="5AF6873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7A9F7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5446808" w14:textId="691329C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0,15</w:t>
                        </w:r>
                      </w:p>
                    </w:tc>
                    <w:tc>
                      <w:tcPr>
                        <w:tcW w:w="0" w:type="auto"/>
                        <w:tcBorders>
                          <w:top w:val="single" w:sz="6" w:space="0" w:color="000000"/>
                          <w:left w:val="single" w:sz="6" w:space="0" w:color="000000"/>
                          <w:bottom w:val="single" w:sz="6" w:space="0" w:color="000000"/>
                          <w:right w:val="single" w:sz="6" w:space="0" w:color="000000"/>
                        </w:tcBorders>
                        <w:hideMark/>
                      </w:tcPr>
                      <w:p w14:paraId="3C57D68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0CE71F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p>
                    </w:tc>
                  </w:tr>
                  <w:tr w:rsidR="008E1A17" w:rsidRPr="004D5219" w14:paraId="67C3C83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EAE203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916087D"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D507396"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26F029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p>
                    </w:tc>
                  </w:tr>
                  <w:tr w:rsidR="008E1A17" w:rsidRPr="004D5219" w14:paraId="254B1094"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CE543B1"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262C958"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0,85</w:t>
                        </w:r>
                      </w:p>
                    </w:tc>
                    <w:tc>
                      <w:tcPr>
                        <w:tcW w:w="0" w:type="auto"/>
                        <w:tcBorders>
                          <w:top w:val="single" w:sz="6" w:space="0" w:color="000000"/>
                          <w:left w:val="single" w:sz="6" w:space="0" w:color="000000"/>
                          <w:bottom w:val="single" w:sz="6" w:space="0" w:color="000000"/>
                          <w:right w:val="single" w:sz="6" w:space="0" w:color="000000"/>
                        </w:tcBorders>
                        <w:hideMark/>
                      </w:tcPr>
                      <w:p w14:paraId="02D33254"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rec3</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7B3E6F91" w14:textId="1F369A33" w:rsidR="008E1A17" w:rsidRPr="004D5219" w:rsidRDefault="008E1A17" w:rsidP="008A4F02">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1,5</w:t>
                        </w:r>
                      </w:p>
                    </w:tc>
                  </w:tr>
                </w:tbl>
                <w:p w14:paraId="4BC7D4C2"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51B8CB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4D5219" w14:paraId="6EE07521" w14:textId="77777777">
              <w:trPr>
                <w:tblCellSpacing w:w="0" w:type="dxa"/>
              </w:trPr>
              <w:tc>
                <w:tcPr>
                  <w:tcW w:w="0" w:type="auto"/>
                  <w:hideMark/>
                </w:tcPr>
                <w:p w14:paraId="6CF2A1E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w:t>
                  </w:r>
                </w:p>
              </w:tc>
              <w:tc>
                <w:tcPr>
                  <w:tcW w:w="0" w:type="auto"/>
                  <w:hideMark/>
                </w:tcPr>
                <w:p w14:paraId="333AB93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suutma jääda võrku ühendatuks ja jätkata stabiilset talitlust, kui ühenduspunkti </w:t>
                  </w:r>
                  <w:proofErr w:type="spellStart"/>
                  <w:r w:rsidRPr="004D5219">
                    <w:rPr>
                      <w:rFonts w:ascii="inherit" w:eastAsia="Times New Roman" w:hAnsi="inherit" w:cs="Times New Roman"/>
                      <w:sz w:val="24"/>
                      <w:szCs w:val="24"/>
                      <w:lang w:val="et-EE" w:bidi="ar-SA"/>
                    </w:rPr>
                    <w:t>faasidevahelise</w:t>
                  </w:r>
                  <w:proofErr w:type="spellEnd"/>
                  <w:r w:rsidRPr="004D5219">
                    <w:rPr>
                      <w:rFonts w:ascii="inherit" w:eastAsia="Times New Roman" w:hAnsi="inherit" w:cs="Times New Roman"/>
                      <w:sz w:val="24"/>
                      <w:szCs w:val="24"/>
                      <w:lang w:val="et-EE" w:bidi="ar-SA"/>
                    </w:rPr>
                    <w:t xml:space="preserve"> pinge tegelik muutus võrgupingel sümmeetrilise rikke korral, eeldusel et lõike 3 punkti a alapunktides iv ja v esitatud rikke-eelsed ja rikkejärgsed nõuded on täidetud, jääb suuremaks alumisest piirist, mis on määratletud lõike 3 punkti a alapunktis ii, välja arvatud juhul, kui kaitse sisemiste elektririkete eest nõuab tootmismooduli võrgust lahti ühendamist. Sisemiste rikete kaitseskeemid ja seadistused ei tohi kahjustada </w:t>
                  </w:r>
                  <w:proofErr w:type="spellStart"/>
                  <w:r w:rsidRPr="004D5219">
                    <w:rPr>
                      <w:rFonts w:ascii="inherit" w:eastAsia="Times New Roman" w:hAnsi="inherit" w:cs="Times New Roman"/>
                      <w:sz w:val="24"/>
                      <w:szCs w:val="24"/>
                      <w:lang w:val="et-EE" w:bidi="ar-SA"/>
                    </w:rPr>
                    <w:t>rikkeläbimisvõimet</w:t>
                  </w:r>
                  <w:proofErr w:type="spellEnd"/>
                  <w:r w:rsidRPr="004D5219">
                    <w:rPr>
                      <w:rFonts w:ascii="inherit" w:eastAsia="Times New Roman" w:hAnsi="inherit" w:cs="Times New Roman"/>
                      <w:sz w:val="24"/>
                      <w:szCs w:val="24"/>
                      <w:lang w:val="et-EE" w:bidi="ar-SA"/>
                    </w:rPr>
                    <w:t>;</w:t>
                  </w:r>
                </w:p>
              </w:tc>
            </w:tr>
          </w:tbl>
          <w:p w14:paraId="33FA606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34"/>
              <w:gridCol w:w="8929"/>
            </w:tblGrid>
            <w:tr w:rsidR="008E1A17" w:rsidRPr="00A2039D" w14:paraId="05A020AB" w14:textId="77777777">
              <w:trPr>
                <w:tblCellSpacing w:w="0" w:type="dxa"/>
              </w:trPr>
              <w:tc>
                <w:tcPr>
                  <w:tcW w:w="0" w:type="auto"/>
                  <w:hideMark/>
                </w:tcPr>
                <w:p w14:paraId="275070E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vii)</w:t>
                  </w:r>
                </w:p>
              </w:tc>
              <w:tc>
                <w:tcPr>
                  <w:tcW w:w="0" w:type="auto"/>
                  <w:hideMark/>
                </w:tcPr>
                <w:p w14:paraId="540958C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ilma et sellega piirataks lõike 3 punkti a alapunktis vi sätestatut, tuleb tootmisüksuse omanikul seadistada alapingekaitse (kas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või miinimumpinge, mis on kindlaks määratud ühenduspunkti pinge korral) vastavalt tootmismooduli maksimaalsele võimalikule tehnilisele suutlikkusele, välja arvatud juhul, kui asjaomane võrguettevõtja nõuab rangemat seadistust vastavalt lõike 5 punktile b. Tootmisüksuse omanik peab vastavalt sellele põhimõttele põhjendama seadistusi;</w:t>
                  </w:r>
                </w:p>
              </w:tc>
            </w:tr>
          </w:tbl>
          <w:p w14:paraId="6B11E71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3FCB15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236"/>
      </w:tblGrid>
      <w:tr w:rsidR="008E1A17" w:rsidRPr="00A2039D" w14:paraId="5F794037" w14:textId="77777777" w:rsidTr="008E1A17">
        <w:trPr>
          <w:tblCellSpacing w:w="0" w:type="dxa"/>
        </w:trPr>
        <w:tc>
          <w:tcPr>
            <w:tcW w:w="0" w:type="auto"/>
            <w:hideMark/>
          </w:tcPr>
          <w:p w14:paraId="402C139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CC907C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iga põhivõrguettevõtja peab määrama kindlaks asümmeetrilise rikke läbimise suutlikkuse.</w:t>
            </w:r>
          </w:p>
          <w:p w14:paraId="75F8A906" w14:textId="2DED22A0" w:rsidR="00B7178B" w:rsidRPr="004D5219" w:rsidRDefault="00B7178B"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Asümmeetriliste lühiste korral kehtivad samad väärtused, mis sümmeetriliste puhul.</w:t>
            </w:r>
          </w:p>
        </w:tc>
      </w:tr>
    </w:tbl>
    <w:p w14:paraId="49A173B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Süsteemi taastamise suhtes kehtib B-tüüpi tootmismoodulite puhul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57EA8E21" w14:textId="77777777" w:rsidTr="008E1A17">
        <w:trPr>
          <w:tblCellSpacing w:w="0" w:type="dxa"/>
        </w:trPr>
        <w:tc>
          <w:tcPr>
            <w:tcW w:w="0" w:type="auto"/>
            <w:hideMark/>
          </w:tcPr>
          <w:p w14:paraId="51E034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F1F3A6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põhivõrguettevõtja peab määrama kindlaks tingimused, mille korral saab tootmismoodulit võrku </w:t>
            </w:r>
            <w:proofErr w:type="spellStart"/>
            <w:r w:rsidRPr="004D5219">
              <w:rPr>
                <w:rFonts w:ascii="inherit" w:eastAsia="Times New Roman" w:hAnsi="inherit" w:cs="Times New Roman"/>
                <w:sz w:val="24"/>
                <w:szCs w:val="24"/>
                <w:lang w:val="et-EE" w:bidi="ar-SA"/>
              </w:rPr>
              <w:t>taasühendada</w:t>
            </w:r>
            <w:proofErr w:type="spellEnd"/>
            <w:r w:rsidRPr="004D5219">
              <w:rPr>
                <w:rFonts w:ascii="inherit" w:eastAsia="Times New Roman" w:hAnsi="inherit" w:cs="Times New Roman"/>
                <w:sz w:val="24"/>
                <w:szCs w:val="24"/>
                <w:lang w:val="et-EE" w:bidi="ar-SA"/>
              </w:rPr>
              <w:t xml:space="preserve"> pärast võrgu häiringust tingitud </w:t>
            </w:r>
            <w:r w:rsidR="000A5691" w:rsidRPr="004D5219">
              <w:rPr>
                <w:rFonts w:ascii="inherit" w:eastAsia="Times New Roman" w:hAnsi="inherit" w:cs="Times New Roman"/>
                <w:sz w:val="24"/>
                <w:szCs w:val="24"/>
                <w:lang w:val="et-EE" w:bidi="ar-SA"/>
              </w:rPr>
              <w:t xml:space="preserve">juhuslikku </w:t>
            </w:r>
            <w:proofErr w:type="spellStart"/>
            <w:r w:rsidR="000A5691" w:rsidRPr="004D5219">
              <w:rPr>
                <w:rFonts w:ascii="inherit" w:eastAsia="Times New Roman" w:hAnsi="inherit" w:cs="Times New Roman"/>
                <w:sz w:val="24"/>
                <w:szCs w:val="24"/>
                <w:lang w:val="et-EE" w:bidi="ar-SA"/>
              </w:rPr>
              <w:t>lahtiühendumist</w:t>
            </w:r>
            <w:proofErr w:type="spellEnd"/>
            <w:r w:rsidR="000A5691" w:rsidRPr="004D5219">
              <w:rPr>
                <w:rFonts w:ascii="inherit" w:eastAsia="Times New Roman" w:hAnsi="inherit" w:cs="Times New Roman"/>
                <w:sz w:val="24"/>
                <w:szCs w:val="24"/>
                <w:lang w:val="et-EE" w:bidi="ar-SA"/>
              </w:rPr>
              <w:t xml:space="preserve">, </w:t>
            </w:r>
          </w:p>
          <w:p w14:paraId="725839AC" w14:textId="77777777" w:rsidR="000A5691" w:rsidRPr="004D5219" w:rsidRDefault="000A5691" w:rsidP="000A5691">
            <w:pPr>
              <w:rPr>
                <w:rFonts w:ascii="inherit" w:eastAsia="Times New Roman" w:hAnsi="inherit" w:cs="Times New Roman"/>
                <w:sz w:val="24"/>
                <w:szCs w:val="24"/>
                <w:lang w:val="et-EE" w:bidi="ar-SA"/>
              </w:rPr>
            </w:pPr>
          </w:p>
          <w:p w14:paraId="5541D43F" w14:textId="356A5D23" w:rsidR="000A5691" w:rsidRPr="004D5219" w:rsidRDefault="000A5691" w:rsidP="000A5691">
            <w:pPr>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Automaatse </w:t>
            </w:r>
            <w:proofErr w:type="spellStart"/>
            <w:r w:rsidRPr="004D5219">
              <w:rPr>
                <w:rFonts w:ascii="inherit" w:eastAsia="Times New Roman" w:hAnsi="inherit" w:cs="Times New Roman"/>
                <w:sz w:val="24"/>
                <w:szCs w:val="24"/>
                <w:highlight w:val="cyan"/>
                <w:lang w:val="et-EE" w:bidi="ar-SA"/>
              </w:rPr>
              <w:t>taasühendamise</w:t>
            </w:r>
            <w:proofErr w:type="spellEnd"/>
            <w:r w:rsidRPr="004D5219">
              <w:rPr>
                <w:rFonts w:ascii="inherit" w:eastAsia="Times New Roman" w:hAnsi="inherit" w:cs="Times New Roman"/>
                <w:sz w:val="24"/>
                <w:szCs w:val="24"/>
                <w:highlight w:val="cyan"/>
                <w:lang w:val="et-EE" w:bidi="ar-SA"/>
              </w:rPr>
              <w:t xml:space="preserve"> sagedusvahemik : 49,0 – 50,1 Hz</w:t>
            </w:r>
          </w:p>
          <w:p w14:paraId="35AC7582" w14:textId="77777777" w:rsidR="000A5691" w:rsidRPr="004D5219" w:rsidRDefault="000A5691" w:rsidP="000A5691">
            <w:pPr>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Jälgimisaeg : 60 s</w:t>
            </w:r>
          </w:p>
          <w:p w14:paraId="72CA5FB9" w14:textId="77777777" w:rsidR="000A5691" w:rsidRPr="004D5219" w:rsidRDefault="000A5691" w:rsidP="000A5691">
            <w:pPr>
              <w:rPr>
                <w:rFonts w:ascii="inherit" w:eastAsia="Times New Roman" w:hAnsi="inherit" w:cs="Times New Roman"/>
                <w:sz w:val="24"/>
                <w:szCs w:val="24"/>
                <w:lang w:val="et-EE" w:bidi="ar-SA"/>
              </w:rPr>
            </w:pPr>
            <w:r w:rsidRPr="004D5219">
              <w:rPr>
                <w:rFonts w:ascii="inherit" w:eastAsia="Times New Roman" w:hAnsi="inherit" w:cs="Times New Roman"/>
                <w:sz w:val="24"/>
                <w:szCs w:val="24"/>
                <w:highlight w:val="cyan"/>
                <w:lang w:val="et-EE" w:bidi="ar-SA"/>
              </w:rPr>
              <w:t xml:space="preserve">Aktiivvõimsuse maksimaalne tõusukiirus : 10% </w:t>
            </w:r>
            <w:proofErr w:type="spellStart"/>
            <w:r w:rsidRPr="004D5219">
              <w:rPr>
                <w:rFonts w:ascii="inherit" w:eastAsia="Times New Roman" w:hAnsi="inherit" w:cs="Times New Roman"/>
                <w:sz w:val="24"/>
                <w:szCs w:val="24"/>
                <w:highlight w:val="cyan"/>
                <w:lang w:val="et-EE" w:bidi="ar-SA"/>
              </w:rPr>
              <w:t>Pmax</w:t>
            </w:r>
            <w:proofErr w:type="spellEnd"/>
            <w:r w:rsidRPr="004D5219">
              <w:rPr>
                <w:rFonts w:ascii="inherit" w:eastAsia="Times New Roman" w:hAnsi="inherit" w:cs="Times New Roman"/>
                <w:sz w:val="24"/>
                <w:szCs w:val="24"/>
                <w:highlight w:val="cyan"/>
                <w:lang w:val="et-EE" w:bidi="ar-SA"/>
              </w:rPr>
              <w:t>/min</w:t>
            </w:r>
          </w:p>
          <w:p w14:paraId="21586A16" w14:textId="62B271F3" w:rsidR="000A5691" w:rsidRPr="004D5219" w:rsidRDefault="000A5691" w:rsidP="000A5691">
            <w:pPr>
              <w:rPr>
                <w:rFonts w:ascii="inherit" w:eastAsia="Times New Roman" w:hAnsi="inherit" w:cs="Times New Roman"/>
                <w:sz w:val="24"/>
                <w:szCs w:val="24"/>
                <w:lang w:val="et-EE" w:bidi="ar-SA"/>
              </w:rPr>
            </w:pPr>
          </w:p>
        </w:tc>
      </w:tr>
    </w:tbl>
    <w:p w14:paraId="5C5B746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C0D7707" w14:textId="77777777" w:rsidTr="008E1A17">
        <w:trPr>
          <w:tblCellSpacing w:w="0" w:type="dxa"/>
        </w:trPr>
        <w:tc>
          <w:tcPr>
            <w:tcW w:w="0" w:type="auto"/>
            <w:hideMark/>
          </w:tcPr>
          <w:p w14:paraId="3B8DB39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630753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taasühendamisautomaatika</w:t>
            </w:r>
            <w:proofErr w:type="spellEnd"/>
            <w:r w:rsidRPr="004D5219">
              <w:rPr>
                <w:rFonts w:ascii="inherit" w:eastAsia="Times New Roman" w:hAnsi="inherit" w:cs="Times New Roman"/>
                <w:sz w:val="24"/>
                <w:szCs w:val="24"/>
                <w:lang w:val="et-EE" w:bidi="ar-SA"/>
              </w:rPr>
              <w:t xml:space="preserve"> paigaldamiseks on vaja enne saada asjaomaselt võrguettevõtjalt luba ning asjaomaselt põhivõrguettevõtjalt </w:t>
            </w:r>
            <w:proofErr w:type="spellStart"/>
            <w:r w:rsidRPr="004D5219">
              <w:rPr>
                <w:rFonts w:ascii="inherit" w:eastAsia="Times New Roman" w:hAnsi="inherit" w:cs="Times New Roman"/>
                <w:sz w:val="24"/>
                <w:szCs w:val="24"/>
                <w:lang w:val="et-EE" w:bidi="ar-SA"/>
              </w:rPr>
              <w:t>taasühendamise</w:t>
            </w:r>
            <w:proofErr w:type="spellEnd"/>
            <w:r w:rsidRPr="004D5219">
              <w:rPr>
                <w:rFonts w:ascii="inherit" w:eastAsia="Times New Roman" w:hAnsi="inherit" w:cs="Times New Roman"/>
                <w:sz w:val="24"/>
                <w:szCs w:val="24"/>
                <w:lang w:val="et-EE" w:bidi="ar-SA"/>
              </w:rPr>
              <w:t xml:space="preserve"> tingimused.</w:t>
            </w:r>
          </w:p>
        </w:tc>
      </w:tr>
    </w:tbl>
    <w:p w14:paraId="3B9C1C4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B-tüüpi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2C97CF9" w14:textId="77777777" w:rsidTr="008E1A17">
        <w:trPr>
          <w:tblCellSpacing w:w="0" w:type="dxa"/>
        </w:trPr>
        <w:tc>
          <w:tcPr>
            <w:tcW w:w="0" w:type="auto"/>
            <w:hideMark/>
          </w:tcPr>
          <w:p w14:paraId="6EF607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F79FC4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juhtimisskeemide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7B2658DA" w14:textId="77777777">
              <w:trPr>
                <w:tblCellSpacing w:w="0" w:type="dxa"/>
              </w:trPr>
              <w:tc>
                <w:tcPr>
                  <w:tcW w:w="0" w:type="auto"/>
                  <w:hideMark/>
                </w:tcPr>
                <w:p w14:paraId="35CF24C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6C3A8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asjaomane võrguettevõtja ja tootmisüksuse omanik peavad kooskõlastama ja kokku leppima, milliseid tootmismooduli juhtimisseadmete skeeme ja seadistusi on vaja ülekandesüsteemi stabiilsuse tagamiseks ja hädaolukorras talitlemiseks;</w:t>
                  </w:r>
                </w:p>
              </w:tc>
            </w:tr>
          </w:tbl>
          <w:p w14:paraId="092B9A6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7341EE26" w14:textId="77777777">
              <w:trPr>
                <w:tblCellSpacing w:w="0" w:type="dxa"/>
              </w:trPr>
              <w:tc>
                <w:tcPr>
                  <w:tcW w:w="0" w:type="auto"/>
                  <w:hideMark/>
                </w:tcPr>
                <w:p w14:paraId="68CF615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76D562F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põhivõrguettevõtja, asjaomane võrguettevõtja ja tootmisüksuse omanik peavad kooskõlastama ja kokku leppima igasugused punktis i nimetatud tootmismooduli </w:t>
                  </w:r>
                  <w:r w:rsidRPr="004D5219">
                    <w:rPr>
                      <w:rFonts w:ascii="inherit" w:eastAsia="Times New Roman" w:hAnsi="inherit" w:cs="Times New Roman"/>
                      <w:sz w:val="24"/>
                      <w:szCs w:val="24"/>
                      <w:lang w:val="et-EE" w:bidi="ar-SA"/>
                    </w:rPr>
                    <w:lastRenderedPageBreak/>
                    <w:t>juhtimisseadmete skeemide ja seadistuste muudatused, eriti siis, kui neid kohaldatakse olukordades, millele on osutatud lõike 5 punkti a alapunktis i;</w:t>
                  </w:r>
                </w:p>
              </w:tc>
            </w:tr>
          </w:tbl>
          <w:p w14:paraId="435A1AF8"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6CC575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2E49441" w14:textId="77777777" w:rsidTr="008E1A17">
        <w:trPr>
          <w:tblCellSpacing w:w="0" w:type="dxa"/>
        </w:trPr>
        <w:tc>
          <w:tcPr>
            <w:tcW w:w="0" w:type="auto"/>
            <w:hideMark/>
          </w:tcPr>
          <w:p w14:paraId="583F7A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641B45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kaitseskeemide ja seadistustega:</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7C1B4B1A" w14:textId="77777777">
              <w:trPr>
                <w:tblCellSpacing w:w="0" w:type="dxa"/>
              </w:trPr>
              <w:tc>
                <w:tcPr>
                  <w:tcW w:w="0" w:type="auto"/>
                  <w:hideMark/>
                </w:tcPr>
                <w:p w14:paraId="71AFD48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178387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peab määrama kindlaks võrgu kaitse põhimõtted ja seadistused, võttes arvesse tootmismooduli iseloomulikke näitajaid. Tootmismoodulile ja võrgule vajalikud kaitseskeemid ning tootmismooduli asjakohased seadistused tuleb kooskõlastada asjaomase võrguettevõtja ja tootmisüksuse omanikuga. Sisemiste elektririkete kaitsepõhimõtted ja seadistused ei tohi segada tootmismooduli talitlemist käesolevas määruses sätestatud nõuete kohaselt;</w:t>
                  </w:r>
                </w:p>
              </w:tc>
            </w:tr>
          </w:tbl>
          <w:p w14:paraId="3E1D19C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4654E8C1" w14:textId="77777777">
              <w:trPr>
                <w:tblCellSpacing w:w="0" w:type="dxa"/>
              </w:trPr>
              <w:tc>
                <w:tcPr>
                  <w:tcW w:w="0" w:type="auto"/>
                  <w:hideMark/>
                </w:tcPr>
                <w:p w14:paraId="7D7304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4077932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elektriline kaitse peab olema ülimuslik talitluse juhtimise suhtes, võttes arvesse süsteemi talitluskindlust ning töötajate ja üldsuse tervist ja ohutust ning tootmismooduli võimalike kahjustuste vähendamist;</w:t>
                  </w:r>
                </w:p>
              </w:tc>
            </w:tr>
          </w:tbl>
          <w:p w14:paraId="427206A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73"/>
              <w:gridCol w:w="8877"/>
            </w:tblGrid>
            <w:tr w:rsidR="008E1A17" w:rsidRPr="004D5219" w14:paraId="61FE3163" w14:textId="77777777">
              <w:trPr>
                <w:tblCellSpacing w:w="0" w:type="dxa"/>
              </w:trPr>
              <w:tc>
                <w:tcPr>
                  <w:tcW w:w="0" w:type="auto"/>
                  <w:hideMark/>
                </w:tcPr>
                <w:p w14:paraId="2B7747D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A0C860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kaitseskeemid võivad hõlmata järgmist:</w:t>
                  </w:r>
                </w:p>
                <w:tbl>
                  <w:tblPr>
                    <w:tblW w:w="5000" w:type="pct"/>
                    <w:tblCellSpacing w:w="0" w:type="dxa"/>
                    <w:tblCellMar>
                      <w:left w:w="0" w:type="dxa"/>
                      <w:right w:w="0" w:type="dxa"/>
                    </w:tblCellMar>
                    <w:tblLook w:val="04A0" w:firstRow="1" w:lastRow="0" w:firstColumn="1" w:lastColumn="0" w:noHBand="0" w:noVBand="1"/>
                  </w:tblPr>
                  <w:tblGrid>
                    <w:gridCol w:w="835"/>
                    <w:gridCol w:w="8042"/>
                  </w:tblGrid>
                  <w:tr w:rsidR="008E1A17" w:rsidRPr="004D5219" w14:paraId="244AB61F" w14:textId="77777777">
                    <w:trPr>
                      <w:tblCellSpacing w:w="0" w:type="dxa"/>
                    </w:trPr>
                    <w:tc>
                      <w:tcPr>
                        <w:tcW w:w="0" w:type="auto"/>
                        <w:hideMark/>
                      </w:tcPr>
                      <w:p w14:paraId="6D7FBDB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89D44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väline ja sisemine lühis;</w:t>
                        </w:r>
                      </w:p>
                    </w:tc>
                  </w:tr>
                </w:tbl>
                <w:p w14:paraId="613995D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0"/>
                    <w:gridCol w:w="8477"/>
                  </w:tblGrid>
                  <w:tr w:rsidR="008E1A17" w:rsidRPr="004D5219" w14:paraId="338D3971" w14:textId="77777777">
                    <w:trPr>
                      <w:tblCellSpacing w:w="0" w:type="dxa"/>
                    </w:trPr>
                    <w:tc>
                      <w:tcPr>
                        <w:tcW w:w="0" w:type="auto"/>
                        <w:hideMark/>
                      </w:tcPr>
                      <w:p w14:paraId="7935ECA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4C4F8E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asümmeetriline koormus (vastupidine faasijärjestus);</w:t>
                        </w:r>
                      </w:p>
                    </w:tc>
                  </w:tr>
                </w:tbl>
                <w:p w14:paraId="4BE16C2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76"/>
                    <w:gridCol w:w="8201"/>
                  </w:tblGrid>
                  <w:tr w:rsidR="008E1A17" w:rsidRPr="004D5219" w14:paraId="613490FF" w14:textId="77777777">
                    <w:trPr>
                      <w:tblCellSpacing w:w="0" w:type="dxa"/>
                    </w:trPr>
                    <w:tc>
                      <w:tcPr>
                        <w:tcW w:w="0" w:type="auto"/>
                        <w:hideMark/>
                      </w:tcPr>
                      <w:p w14:paraId="21FE242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DBDB0C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staatori ja rootori ülekoormus;</w:t>
                        </w:r>
                      </w:p>
                    </w:tc>
                  </w:tr>
                </w:tbl>
                <w:p w14:paraId="38AB6F6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087"/>
                    <w:gridCol w:w="7790"/>
                  </w:tblGrid>
                  <w:tr w:rsidR="008E1A17" w:rsidRPr="004D5219" w14:paraId="21C5C656" w14:textId="77777777">
                    <w:trPr>
                      <w:tblCellSpacing w:w="0" w:type="dxa"/>
                    </w:trPr>
                    <w:tc>
                      <w:tcPr>
                        <w:tcW w:w="0" w:type="auto"/>
                        <w:hideMark/>
                      </w:tcPr>
                      <w:p w14:paraId="23DD00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05FAE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üle- ja alaergutus;</w:t>
                        </w:r>
                      </w:p>
                    </w:tc>
                  </w:tr>
                </w:tbl>
                <w:p w14:paraId="3B5692CE"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35"/>
                    <w:gridCol w:w="8242"/>
                  </w:tblGrid>
                  <w:tr w:rsidR="008E1A17" w:rsidRPr="004D5219" w14:paraId="06407952" w14:textId="77777777">
                    <w:trPr>
                      <w:tblCellSpacing w:w="0" w:type="dxa"/>
                    </w:trPr>
                    <w:tc>
                      <w:tcPr>
                        <w:tcW w:w="0" w:type="auto"/>
                        <w:hideMark/>
                      </w:tcPr>
                      <w:p w14:paraId="034AC03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5BC5C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üle- ja alapinge ühenduspunktis;</w:t>
                        </w:r>
                      </w:p>
                    </w:tc>
                  </w:tr>
                </w:tbl>
                <w:p w14:paraId="727AF14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31"/>
                    <w:gridCol w:w="8346"/>
                  </w:tblGrid>
                  <w:tr w:rsidR="008E1A17" w:rsidRPr="00A2039D" w14:paraId="5307E43D" w14:textId="77777777">
                    <w:trPr>
                      <w:tblCellSpacing w:w="0" w:type="dxa"/>
                    </w:trPr>
                    <w:tc>
                      <w:tcPr>
                        <w:tcW w:w="0" w:type="auto"/>
                        <w:hideMark/>
                      </w:tcPr>
                      <w:p w14:paraId="71878E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86197C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üle- ja alapinge generaatori klemmidel;</w:t>
                        </w:r>
                      </w:p>
                    </w:tc>
                  </w:tr>
                </w:tbl>
                <w:p w14:paraId="70CBCE4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93"/>
                    <w:gridCol w:w="8284"/>
                  </w:tblGrid>
                  <w:tr w:rsidR="008E1A17" w:rsidRPr="004D5219" w14:paraId="3750AB76" w14:textId="77777777">
                    <w:trPr>
                      <w:tblCellSpacing w:w="0" w:type="dxa"/>
                    </w:trPr>
                    <w:tc>
                      <w:tcPr>
                        <w:tcW w:w="0" w:type="auto"/>
                        <w:hideMark/>
                      </w:tcPr>
                      <w:p w14:paraId="55B4622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425C0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piirkondadevahelised</w:t>
                        </w:r>
                        <w:proofErr w:type="spellEnd"/>
                        <w:r w:rsidRPr="004D5219">
                          <w:rPr>
                            <w:rFonts w:ascii="inherit" w:eastAsia="Times New Roman" w:hAnsi="inherit" w:cs="Times New Roman"/>
                            <w:sz w:val="24"/>
                            <w:szCs w:val="24"/>
                            <w:lang w:val="et-EE" w:bidi="ar-SA"/>
                          </w:rPr>
                          <w:t xml:space="preserve"> võnkumised;</w:t>
                        </w:r>
                      </w:p>
                    </w:tc>
                  </w:tr>
                </w:tbl>
                <w:p w14:paraId="2CCEB04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536"/>
                    <w:gridCol w:w="7341"/>
                  </w:tblGrid>
                  <w:tr w:rsidR="008E1A17" w:rsidRPr="004D5219" w14:paraId="5766A140" w14:textId="77777777">
                    <w:trPr>
                      <w:tblCellSpacing w:w="0" w:type="dxa"/>
                    </w:trPr>
                    <w:tc>
                      <w:tcPr>
                        <w:tcW w:w="0" w:type="auto"/>
                        <w:hideMark/>
                      </w:tcPr>
                      <w:p w14:paraId="104C4D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A4D028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voolutõuge;</w:t>
                        </w:r>
                      </w:p>
                    </w:tc>
                  </w:tr>
                </w:tbl>
                <w:p w14:paraId="1744F48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06"/>
                    <w:gridCol w:w="8271"/>
                  </w:tblGrid>
                  <w:tr w:rsidR="008E1A17" w:rsidRPr="004D5219" w14:paraId="111FCB7E" w14:textId="77777777">
                    <w:trPr>
                      <w:tblCellSpacing w:w="0" w:type="dxa"/>
                    </w:trPr>
                    <w:tc>
                      <w:tcPr>
                        <w:tcW w:w="0" w:type="auto"/>
                        <w:hideMark/>
                      </w:tcPr>
                      <w:p w14:paraId="4B65EEE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08B0A8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asünkroontalitlus (pooluslibistus);</w:t>
                        </w:r>
                      </w:p>
                    </w:tc>
                  </w:tr>
                </w:tbl>
                <w:p w14:paraId="0BCE4A3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20"/>
                    <w:gridCol w:w="8557"/>
                  </w:tblGrid>
                  <w:tr w:rsidR="008E1A17" w:rsidRPr="00A2039D" w14:paraId="79D4E5AD" w14:textId="77777777">
                    <w:trPr>
                      <w:tblCellSpacing w:w="0" w:type="dxa"/>
                    </w:trPr>
                    <w:tc>
                      <w:tcPr>
                        <w:tcW w:w="0" w:type="auto"/>
                        <w:hideMark/>
                      </w:tcPr>
                      <w:p w14:paraId="0401BE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1EC85C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kaitse võlli lubamatu väände vastu (näiteks </w:t>
                        </w:r>
                        <w:proofErr w:type="spellStart"/>
                        <w:r w:rsidRPr="004D5219">
                          <w:rPr>
                            <w:rFonts w:ascii="inherit" w:eastAsia="Times New Roman" w:hAnsi="inherit" w:cs="Times New Roman"/>
                            <w:sz w:val="24"/>
                            <w:szCs w:val="24"/>
                            <w:lang w:val="et-EE" w:bidi="ar-SA"/>
                          </w:rPr>
                          <w:t>alasünkroonresonants</w:t>
                        </w:r>
                        <w:proofErr w:type="spellEnd"/>
                        <w:r w:rsidRPr="004D5219">
                          <w:rPr>
                            <w:rFonts w:ascii="inherit" w:eastAsia="Times New Roman" w:hAnsi="inherit" w:cs="Times New Roman"/>
                            <w:sz w:val="24"/>
                            <w:szCs w:val="24"/>
                            <w:lang w:val="et-EE" w:bidi="ar-SA"/>
                          </w:rPr>
                          <w:t>);</w:t>
                        </w:r>
                      </w:p>
                    </w:tc>
                  </w:tr>
                </w:tbl>
                <w:p w14:paraId="777C1B8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52"/>
                    <w:gridCol w:w="8125"/>
                  </w:tblGrid>
                  <w:tr w:rsidR="008E1A17" w:rsidRPr="004D5219" w14:paraId="01F19CCD" w14:textId="77777777">
                    <w:trPr>
                      <w:tblCellSpacing w:w="0" w:type="dxa"/>
                    </w:trPr>
                    <w:tc>
                      <w:tcPr>
                        <w:tcW w:w="0" w:type="auto"/>
                        <w:hideMark/>
                      </w:tcPr>
                      <w:p w14:paraId="6F37EED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FD38DB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liinikaitse;</w:t>
                        </w:r>
                      </w:p>
                    </w:tc>
                  </w:tr>
                </w:tbl>
                <w:p w14:paraId="2D1911B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018"/>
                    <w:gridCol w:w="7859"/>
                  </w:tblGrid>
                  <w:tr w:rsidR="008E1A17" w:rsidRPr="004D5219" w14:paraId="655E02D0" w14:textId="77777777">
                    <w:trPr>
                      <w:tblCellSpacing w:w="0" w:type="dxa"/>
                    </w:trPr>
                    <w:tc>
                      <w:tcPr>
                        <w:tcW w:w="0" w:type="auto"/>
                        <w:hideMark/>
                      </w:tcPr>
                      <w:p w14:paraId="35CA01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1AF83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üksuse trafo kaitse;</w:t>
                        </w:r>
                      </w:p>
                    </w:tc>
                  </w:tr>
                </w:tbl>
                <w:p w14:paraId="629EC9E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57"/>
                    <w:gridCol w:w="8420"/>
                  </w:tblGrid>
                  <w:tr w:rsidR="008E1A17" w:rsidRPr="00A2039D" w14:paraId="2C704D00" w14:textId="77777777">
                    <w:trPr>
                      <w:tblCellSpacing w:w="0" w:type="dxa"/>
                    </w:trPr>
                    <w:tc>
                      <w:tcPr>
                        <w:tcW w:w="0" w:type="auto"/>
                        <w:hideMark/>
                      </w:tcPr>
                      <w:p w14:paraId="00B411F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722C87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reservkaitse põhikaitse ja jaotla tõrgete puhul;</w:t>
                        </w:r>
                      </w:p>
                    </w:tc>
                  </w:tr>
                </w:tbl>
                <w:p w14:paraId="6B46D5F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153"/>
                    <w:gridCol w:w="7724"/>
                  </w:tblGrid>
                  <w:tr w:rsidR="008E1A17" w:rsidRPr="004D5219" w14:paraId="675CC226" w14:textId="77777777">
                    <w:trPr>
                      <w:tblCellSpacing w:w="0" w:type="dxa"/>
                    </w:trPr>
                    <w:tc>
                      <w:tcPr>
                        <w:tcW w:w="0" w:type="auto"/>
                        <w:hideMark/>
                      </w:tcPr>
                      <w:p w14:paraId="178A9E6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BEBFD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üleergutus</w:t>
                        </w:r>
                        <w:proofErr w:type="spellEnd"/>
                        <w:r w:rsidRPr="004D5219">
                          <w:rPr>
                            <w:rFonts w:ascii="inherit" w:eastAsia="Times New Roman" w:hAnsi="inherit" w:cs="Times New Roman"/>
                            <w:sz w:val="24"/>
                            <w:szCs w:val="24"/>
                            <w:lang w:val="et-EE" w:bidi="ar-SA"/>
                          </w:rPr>
                          <w:t xml:space="preserve"> (U/f);</w:t>
                        </w:r>
                      </w:p>
                    </w:tc>
                  </w:tr>
                </w:tbl>
                <w:p w14:paraId="6C910FF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320"/>
                    <w:gridCol w:w="7557"/>
                  </w:tblGrid>
                  <w:tr w:rsidR="008E1A17" w:rsidRPr="004D5219" w14:paraId="6B8D7BCD" w14:textId="77777777">
                    <w:trPr>
                      <w:tblCellSpacing w:w="0" w:type="dxa"/>
                    </w:trPr>
                    <w:tc>
                      <w:tcPr>
                        <w:tcW w:w="0" w:type="auto"/>
                        <w:hideMark/>
                      </w:tcPr>
                      <w:p w14:paraId="141F0AC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5ECE1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vastuvõimsus</w:t>
                        </w:r>
                        <w:proofErr w:type="spellEnd"/>
                        <w:r w:rsidRPr="004D5219">
                          <w:rPr>
                            <w:rFonts w:ascii="inherit" w:eastAsia="Times New Roman" w:hAnsi="inherit" w:cs="Times New Roman"/>
                            <w:sz w:val="24"/>
                            <w:szCs w:val="24"/>
                            <w:lang w:val="et-EE" w:bidi="ar-SA"/>
                          </w:rPr>
                          <w:t>;</w:t>
                        </w:r>
                      </w:p>
                    </w:tc>
                  </w:tr>
                </w:tbl>
                <w:p w14:paraId="2DD3665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74"/>
                    <w:gridCol w:w="8203"/>
                  </w:tblGrid>
                  <w:tr w:rsidR="008E1A17" w:rsidRPr="004D5219" w14:paraId="26CD3039" w14:textId="77777777">
                    <w:trPr>
                      <w:tblCellSpacing w:w="0" w:type="dxa"/>
                    </w:trPr>
                    <w:tc>
                      <w:tcPr>
                        <w:tcW w:w="0" w:type="auto"/>
                        <w:hideMark/>
                      </w:tcPr>
                      <w:p w14:paraId="22096BE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E7E1A8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muutumiskiirus ning</w:t>
                        </w:r>
                      </w:p>
                    </w:tc>
                  </w:tr>
                </w:tbl>
                <w:p w14:paraId="28BFB98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990"/>
                    <w:gridCol w:w="7887"/>
                  </w:tblGrid>
                  <w:tr w:rsidR="008E1A17" w:rsidRPr="004D5219" w14:paraId="18C0A923" w14:textId="77777777">
                    <w:trPr>
                      <w:tblCellSpacing w:w="0" w:type="dxa"/>
                    </w:trPr>
                    <w:tc>
                      <w:tcPr>
                        <w:tcW w:w="0" w:type="auto"/>
                        <w:hideMark/>
                      </w:tcPr>
                      <w:p w14:paraId="5E3C1F3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38678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 </w:t>
                        </w:r>
                        <w:proofErr w:type="spellStart"/>
                        <w:r w:rsidRPr="004D5219">
                          <w:rPr>
                            <w:rFonts w:ascii="inherit" w:eastAsia="Times New Roman" w:hAnsi="inherit" w:cs="Times New Roman"/>
                            <w:sz w:val="24"/>
                            <w:szCs w:val="24"/>
                            <w:lang w:val="et-EE" w:bidi="ar-SA"/>
                          </w:rPr>
                          <w:t>neutraalinihe</w:t>
                        </w:r>
                        <w:proofErr w:type="spellEnd"/>
                        <w:r w:rsidRPr="004D5219">
                          <w:rPr>
                            <w:rFonts w:ascii="inherit" w:eastAsia="Times New Roman" w:hAnsi="inherit" w:cs="Times New Roman"/>
                            <w:sz w:val="24"/>
                            <w:szCs w:val="24"/>
                            <w:lang w:val="et-EE" w:bidi="ar-SA"/>
                          </w:rPr>
                          <w:t>;</w:t>
                        </w:r>
                      </w:p>
                    </w:tc>
                  </w:tr>
                </w:tbl>
                <w:p w14:paraId="322574C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FB9922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3"/>
            </w:tblGrid>
            <w:tr w:rsidR="008E1A17" w:rsidRPr="00A2039D" w14:paraId="200FC549" w14:textId="77777777">
              <w:trPr>
                <w:tblCellSpacing w:w="0" w:type="dxa"/>
              </w:trPr>
              <w:tc>
                <w:tcPr>
                  <w:tcW w:w="0" w:type="auto"/>
                  <w:hideMark/>
                </w:tcPr>
                <w:p w14:paraId="3D28F7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67B1838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ja võrgu kaitseskeemide ning tootmismooduli asjakohaste seadistuste muudatused tuleb kooskõlastada võrguettevõtja ja tootmismooduli omanikuga ning enne muudatuste tegemist tuleb saavutada kokkulepe;</w:t>
                  </w:r>
                </w:p>
              </w:tc>
            </w:tr>
          </w:tbl>
          <w:p w14:paraId="181042EF"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6185BC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58C54A07" w14:textId="77777777" w:rsidTr="008E1A17">
        <w:trPr>
          <w:tblCellSpacing w:w="0" w:type="dxa"/>
        </w:trPr>
        <w:tc>
          <w:tcPr>
            <w:tcW w:w="0" w:type="auto"/>
            <w:hideMark/>
          </w:tcPr>
          <w:p w14:paraId="7F84C2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31EA6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peab tagama tootmisüksuse kaitse ja juhtimisseadmete olemasolu nende tähtsuse järjekorras (tähtsaimast alustades):</w:t>
            </w:r>
          </w:p>
          <w:tbl>
            <w:tblPr>
              <w:tblW w:w="5000" w:type="pct"/>
              <w:tblCellSpacing w:w="0" w:type="dxa"/>
              <w:tblCellMar>
                <w:left w:w="0" w:type="dxa"/>
                <w:right w:w="0" w:type="dxa"/>
              </w:tblCellMar>
              <w:tblLook w:val="04A0" w:firstRow="1" w:lastRow="0" w:firstColumn="1" w:lastColumn="0" w:noHBand="0" w:noVBand="1"/>
            </w:tblPr>
            <w:tblGrid>
              <w:gridCol w:w="425"/>
              <w:gridCol w:w="8838"/>
            </w:tblGrid>
            <w:tr w:rsidR="008E1A17" w:rsidRPr="004D5219" w14:paraId="21C944EA" w14:textId="77777777">
              <w:trPr>
                <w:tblCellSpacing w:w="0" w:type="dxa"/>
              </w:trPr>
              <w:tc>
                <w:tcPr>
                  <w:tcW w:w="0" w:type="auto"/>
                  <w:hideMark/>
                </w:tcPr>
                <w:p w14:paraId="69E6E5C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5A08E1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võrgu ja tootmismooduli kaitse;</w:t>
                  </w:r>
                </w:p>
              </w:tc>
            </w:tr>
          </w:tbl>
          <w:p w14:paraId="4165876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68"/>
              <w:gridCol w:w="8695"/>
            </w:tblGrid>
            <w:tr w:rsidR="008E1A17" w:rsidRPr="00A2039D" w14:paraId="11CFCE60" w14:textId="77777777">
              <w:trPr>
                <w:tblCellSpacing w:w="0" w:type="dxa"/>
              </w:trPr>
              <w:tc>
                <w:tcPr>
                  <w:tcW w:w="0" w:type="auto"/>
                  <w:hideMark/>
                </w:tcPr>
                <w:p w14:paraId="6F0804F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1B4027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tehisinerts, kui see on asjakohane;</w:t>
                  </w:r>
                </w:p>
              </w:tc>
            </w:tr>
          </w:tbl>
          <w:p w14:paraId="6C2CFA5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02"/>
              <w:gridCol w:w="8761"/>
            </w:tblGrid>
            <w:tr w:rsidR="008E1A17" w:rsidRPr="004D5219" w14:paraId="7AA39F25" w14:textId="77777777">
              <w:trPr>
                <w:tblCellSpacing w:w="0" w:type="dxa"/>
              </w:trPr>
              <w:tc>
                <w:tcPr>
                  <w:tcW w:w="0" w:type="auto"/>
                  <w:hideMark/>
                </w:tcPr>
                <w:p w14:paraId="148D923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62DEB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juhtimine (aktiivvõimsuse seadistamine);</w:t>
                  </w:r>
                </w:p>
              </w:tc>
            </w:tr>
          </w:tbl>
          <w:p w14:paraId="721D361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152"/>
              <w:gridCol w:w="8111"/>
            </w:tblGrid>
            <w:tr w:rsidR="008E1A17" w:rsidRPr="004D5219" w14:paraId="38B23414" w14:textId="77777777">
              <w:trPr>
                <w:tblCellSpacing w:w="0" w:type="dxa"/>
              </w:trPr>
              <w:tc>
                <w:tcPr>
                  <w:tcW w:w="0" w:type="auto"/>
                  <w:hideMark/>
                </w:tcPr>
                <w:p w14:paraId="65B00C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2DCD513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võimsuse piirang ja</w:t>
                  </w:r>
                </w:p>
              </w:tc>
            </w:tr>
          </w:tbl>
          <w:p w14:paraId="2784AF7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16"/>
              <w:gridCol w:w="8747"/>
            </w:tblGrid>
            <w:tr w:rsidR="008E1A17" w:rsidRPr="004D5219" w14:paraId="1882003A" w14:textId="77777777">
              <w:trPr>
                <w:tblCellSpacing w:w="0" w:type="dxa"/>
              </w:trPr>
              <w:tc>
                <w:tcPr>
                  <w:tcW w:w="0" w:type="auto"/>
                  <w:hideMark/>
                </w:tcPr>
                <w:p w14:paraId="284C5E0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14BFAD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võimsuse muutumiskiiruse piirang;</w:t>
                  </w:r>
                </w:p>
              </w:tc>
            </w:tr>
          </w:tbl>
          <w:p w14:paraId="4E4F719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3B5D3C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46D0F42" w14:textId="77777777" w:rsidTr="008E1A17">
        <w:trPr>
          <w:tblCellSpacing w:w="0" w:type="dxa"/>
        </w:trPr>
        <w:tc>
          <w:tcPr>
            <w:tcW w:w="0" w:type="auto"/>
            <w:hideMark/>
          </w:tcPr>
          <w:p w14:paraId="118A159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796C1B32" w14:textId="147C33B3"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teabevahetusega:</w:t>
            </w:r>
          </w:p>
          <w:p w14:paraId="2D81BD65" w14:textId="36EE68F1" w:rsidR="00143DF9" w:rsidRPr="004D5219" w:rsidRDefault="00143DF9" w:rsidP="00143DF9">
            <w:pPr>
              <w:widowControl/>
              <w:autoSpaceDE/>
              <w:autoSpaceDN/>
              <w:spacing w:before="120"/>
              <w:jc w:val="both"/>
              <w:rPr>
                <w:rFonts w:asciiTheme="minorHAnsi" w:hAnsiTheme="minorHAnsi"/>
                <w:b/>
                <w:color w:val="FF0000"/>
                <w:lang w:val="et-EE"/>
              </w:rPr>
            </w:pPr>
          </w:p>
          <w:p w14:paraId="7BD82148" w14:textId="77777777" w:rsidR="00143DF9" w:rsidRPr="004D5219" w:rsidRDefault="00143DF9" w:rsidP="008E1A17">
            <w:pPr>
              <w:widowControl/>
              <w:autoSpaceDE/>
              <w:autoSpaceDN/>
              <w:spacing w:before="120"/>
              <w:jc w:val="both"/>
              <w:rPr>
                <w:rFonts w:ascii="inherit" w:eastAsia="Times New Roman" w:hAnsi="inherit" w:cs="Times New Roman"/>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7D222982" w14:textId="77777777">
              <w:trPr>
                <w:tblCellSpacing w:w="0" w:type="dxa"/>
              </w:trPr>
              <w:tc>
                <w:tcPr>
                  <w:tcW w:w="0" w:type="auto"/>
                  <w:hideMark/>
                </w:tcPr>
                <w:p w14:paraId="435C54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81C34CB" w14:textId="538170D9" w:rsidR="00143DF9"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tootmismoodulid peavad suutma vahetada teavet asjaomase võrguettevõtjaga või asjaomase põhivõrguettevõtjaga reaalajas või perioodiliselt koos ajatempliga, nagu on kindlaks määranud asjaomane võrguettevõtja või asjaomane põhivõrguettevõtja;</w:t>
                  </w:r>
                </w:p>
              </w:tc>
            </w:tr>
          </w:tbl>
          <w:p w14:paraId="229F514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7D592EAD" w14:textId="77777777">
              <w:trPr>
                <w:tblCellSpacing w:w="0" w:type="dxa"/>
              </w:trPr>
              <w:tc>
                <w:tcPr>
                  <w:tcW w:w="0" w:type="auto"/>
                  <w:hideMark/>
                </w:tcPr>
                <w:p w14:paraId="54FE87D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9F76AD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kooskõlas asjaomase põhivõrguettevõtjaga peab määrama kindlaks tootmisüksuse edastatava teabe sisu ja täpse andmete loetelu.</w:t>
                  </w:r>
                </w:p>
                <w:p w14:paraId="2CE86C51" w14:textId="77777777" w:rsidR="00143DF9" w:rsidRPr="004D5219" w:rsidRDefault="00143DF9" w:rsidP="008E1A17">
                  <w:pPr>
                    <w:widowControl/>
                    <w:autoSpaceDE/>
                    <w:autoSpaceDN/>
                    <w:spacing w:before="120"/>
                    <w:jc w:val="both"/>
                    <w:rPr>
                      <w:rFonts w:ascii="inherit" w:eastAsia="Times New Roman" w:hAnsi="inherit" w:cs="Times New Roman"/>
                      <w:sz w:val="24"/>
                      <w:szCs w:val="24"/>
                      <w:lang w:val="et-EE" w:bidi="ar-SA"/>
                    </w:rPr>
                  </w:pPr>
                </w:p>
                <w:p w14:paraId="43ADCB33" w14:textId="733CC0BC" w:rsidR="00143DF9" w:rsidRPr="004D5219" w:rsidRDefault="00143DF9"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highlight w:val="cyan"/>
                      <w:lang w:val="et-EE" w:bidi="ar-SA"/>
                    </w:rPr>
                    <w:t>Seoses teabevahetusega peavad tootmismoodulid suutma vahetada teavet asjaomase võrguettevõtjaga või asjaomase põhivõrguettevõtjaga reaalajas või perioodiliselt koos ajatempliga, nagu on kindlaks määranud asjaomane võrguettevõtja või asjaomane põhivõrguettevõtja vastavates Liitumistingimustes.</w:t>
                  </w:r>
                </w:p>
              </w:tc>
            </w:tr>
          </w:tbl>
          <w:p w14:paraId="6160AA2B"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6EF366F"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lastRenderedPageBreak/>
        <w:t>Artikkel 15</w:t>
      </w:r>
    </w:p>
    <w:p w14:paraId="520829E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Üldnõuded</w:t>
      </w:r>
      <w:proofErr w:type="spellEnd"/>
      <w:r w:rsidRPr="004D5219">
        <w:rPr>
          <w:rFonts w:ascii="inherit" w:eastAsia="Times New Roman" w:hAnsi="inherit" w:cs="Times New Roman"/>
          <w:b/>
          <w:bCs/>
          <w:color w:val="000000"/>
          <w:sz w:val="24"/>
          <w:szCs w:val="24"/>
          <w:lang w:val="et-EE" w:bidi="ar-SA"/>
        </w:rPr>
        <w:t xml:space="preserve"> C-tüüpi tootmismoodulite kohta</w:t>
      </w:r>
    </w:p>
    <w:p w14:paraId="1E3C33D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C-tüüpi tootmismoodulid peavad vastama artiklites 13 ja 14 sätestatud nõuetele, välja arvatud artikli 13 lõike 2 punkti b ja artikli 13 lõike 6 ning artikli 14 lõike 2 nõuded.</w:t>
      </w:r>
    </w:p>
    <w:p w14:paraId="069DD6C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C-tüüpi tootmismoodulid peavad vastama järgmistele sageduse stabiilsusega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323596F" w14:textId="77777777" w:rsidTr="008E1A17">
        <w:trPr>
          <w:tblCellSpacing w:w="0" w:type="dxa"/>
        </w:trPr>
        <w:tc>
          <w:tcPr>
            <w:tcW w:w="0" w:type="auto"/>
            <w:hideMark/>
          </w:tcPr>
          <w:p w14:paraId="7044C2E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8F58CA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juhitavuse ja juhtimispiirkonnaga seoses peab tootmismooduli juhtimissüsteem olema suuteline seadistama aktiivvõimsuse seadeväärtust vastavalt juhistele, mida tootmisüksuse omanik saab asjaomaselt võrguettevõtjalt või asjaomaselt põhivõrguettevõtjalt.</w:t>
            </w:r>
          </w:p>
          <w:p w14:paraId="11542DEB" w14:textId="180A972A"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võrguettevõtja või asjaomane põhivõrguettevõtja peab määrama kindlaks ajavahemiku, mille jooksul tuleb saavutada aktiivvõimsuse seadeväärtus. Asjaomane põhivõrguettevõtja peab kindlaks määrama lubatud hälbe (vastavalt jõumasina ressursi </w:t>
            </w:r>
            <w:proofErr w:type="spellStart"/>
            <w:r w:rsidRPr="004D5219">
              <w:rPr>
                <w:rFonts w:ascii="inherit" w:eastAsia="Times New Roman" w:hAnsi="inherit" w:cs="Times New Roman"/>
                <w:sz w:val="24"/>
                <w:szCs w:val="24"/>
                <w:lang w:val="et-EE" w:bidi="ar-SA"/>
              </w:rPr>
              <w:t>kasutatavusele</w:t>
            </w:r>
            <w:proofErr w:type="spellEnd"/>
            <w:r w:rsidRPr="004D5219">
              <w:rPr>
                <w:rFonts w:ascii="inherit" w:eastAsia="Times New Roman" w:hAnsi="inherit" w:cs="Times New Roman"/>
                <w:sz w:val="24"/>
                <w:szCs w:val="24"/>
                <w:lang w:val="et-EE" w:bidi="ar-SA"/>
              </w:rPr>
              <w:t>), mida kohaldatakse uue seadeväärtuse ja selle saavutamise aja suhtes;</w:t>
            </w:r>
          </w:p>
          <w:p w14:paraId="6955D443" w14:textId="1CBCFC69" w:rsidR="00F72920" w:rsidRPr="004D5219" w:rsidRDefault="00F72920" w:rsidP="008E1A17">
            <w:pPr>
              <w:widowControl/>
              <w:autoSpaceDE/>
              <w:autoSpaceDN/>
              <w:spacing w:before="120"/>
              <w:jc w:val="both"/>
              <w:rPr>
                <w:rFonts w:ascii="inherit" w:eastAsia="Times New Roman" w:hAnsi="inherit" w:cs="Times New Roman"/>
                <w:sz w:val="24"/>
                <w:szCs w:val="24"/>
                <w:lang w:val="et-EE" w:bidi="ar-SA"/>
              </w:rPr>
            </w:pPr>
          </w:p>
          <w:p w14:paraId="192C1B78" w14:textId="77777777" w:rsidR="00F72920" w:rsidRPr="004D5219" w:rsidRDefault="00F72920" w:rsidP="008E1A17">
            <w:pPr>
              <w:widowControl/>
              <w:autoSpaceDE/>
              <w:autoSpaceDN/>
              <w:spacing w:before="120"/>
              <w:jc w:val="both"/>
              <w:rPr>
                <w:rFonts w:ascii="inherit" w:eastAsia="Times New Roman" w:hAnsi="inherit" w:cs="Times New Roman"/>
                <w:sz w:val="24"/>
                <w:szCs w:val="24"/>
                <w:lang w:val="et-EE" w:bidi="ar-SA"/>
              </w:rPr>
            </w:pPr>
          </w:p>
          <w:p w14:paraId="657247BE" w14:textId="77777777" w:rsidR="00F72920" w:rsidRPr="004D5219" w:rsidRDefault="00F72920" w:rsidP="00F72920">
            <w:pPr>
              <w:widowControl/>
              <w:autoSpaceDE/>
              <w:autoSpaceDN/>
              <w:spacing w:before="120"/>
              <w:jc w:val="center"/>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Võimsuse reguleerimisvõime süsteemi tavaolukorras</w:t>
            </w:r>
          </w:p>
          <w:p w14:paraId="6C3726C7"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p>
          <w:p w14:paraId="1AD78992"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Tootmismooduli </w:t>
            </w:r>
            <w:proofErr w:type="spellStart"/>
            <w:r w:rsidRPr="004D5219">
              <w:rPr>
                <w:rFonts w:ascii="inherit" w:eastAsia="Times New Roman" w:hAnsi="inherit" w:cs="Times New Roman"/>
                <w:sz w:val="24"/>
                <w:szCs w:val="24"/>
                <w:highlight w:val="cyan"/>
                <w:lang w:val="et-EE" w:bidi="ar-SA"/>
              </w:rPr>
              <w:t>väjundaktiivvõimsuse</w:t>
            </w:r>
            <w:proofErr w:type="spellEnd"/>
            <w:r w:rsidRPr="004D5219">
              <w:rPr>
                <w:rFonts w:ascii="inherit" w:eastAsia="Times New Roman" w:hAnsi="inherit" w:cs="Times New Roman"/>
                <w:sz w:val="24"/>
                <w:szCs w:val="24"/>
                <w:highlight w:val="cyan"/>
                <w:lang w:val="et-EE" w:bidi="ar-SA"/>
              </w:rPr>
              <w:t xml:space="preserve"> ning seadeväärtuse vaheline hälve võib olla maksimaalselt  +/-5% nimiaktiivvõimsusest, kuid mitte rohkem kui +/- 5 MW, olenevalt sellest, kumb on väiksem.</w:t>
            </w:r>
          </w:p>
          <w:p w14:paraId="59C56175"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(1) Väljaspool käesoleva artikli lõigete 2 kuni 5 toodud vahemikke peab tootmismooduli  väljundaktiivvõimsus olema muudetav  minimaalse ja maksimaalse püsivalt väljastatava võimsuse vahemikus vähemalt kiirusega 2% </w:t>
            </w:r>
            <w:proofErr w:type="spellStart"/>
            <w:r w:rsidRPr="004D5219">
              <w:rPr>
                <w:rFonts w:ascii="inherit" w:eastAsia="Times New Roman" w:hAnsi="inherit" w:cs="Times New Roman"/>
                <w:sz w:val="24"/>
                <w:szCs w:val="24"/>
                <w:highlight w:val="cyan"/>
                <w:lang w:val="et-EE" w:bidi="ar-SA"/>
              </w:rPr>
              <w:t>Pn</w:t>
            </w:r>
            <w:proofErr w:type="spellEnd"/>
            <w:r w:rsidRPr="004D5219">
              <w:rPr>
                <w:rFonts w:ascii="inherit" w:eastAsia="Times New Roman" w:hAnsi="inherit" w:cs="Times New Roman"/>
                <w:sz w:val="24"/>
                <w:szCs w:val="24"/>
                <w:highlight w:val="cyan"/>
                <w:lang w:val="et-EE" w:bidi="ar-SA"/>
              </w:rPr>
              <w:t>/min.</w:t>
            </w:r>
          </w:p>
          <w:p w14:paraId="0438A0EC"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(2) Gaasturbiini ja sisepõlemismootori jõul töötava tootmismooduli aktiivvõimsus peab olema muudetav kiirusega vähemalt 8% nimivõimsusest minutis. Sellel kiirusel peab võimsus olema muudetav 30% ulatuses vahemikus 40–90% seadme nimivõimsusest. Kui seadmed seda võimaldavad, võib suurima lubatud võimsuse reguleerimise kiirusel muuta võimsust ka siis, kui see on alla 40% või üle 90% nimivõimsusest.</w:t>
            </w:r>
          </w:p>
          <w:p w14:paraId="0B8221EE"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(3) Auruturbiini jõul või kombineeritud tsükliga töötava tootmismooduli aktiivvõimsus peab olema muudetav kiirusega vähemalt 4% nimivõimsusest minutis. Sellel kiirusel peab võimsus olema muudetav 30% ulatuses vahemikus 60–90% seadme nimivõimsusest. Teatavatel juhtudel võib muutmise protsent olla 20. Kui seadmed seda võimaldavad, võib suurima lubatud võimsuse reguleerimise kiirusel muuta võimsust ka siis, kui see on alla 60% või üle 90% nimivõimsusest.</w:t>
            </w:r>
          </w:p>
          <w:p w14:paraId="1A5C50AD"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lastRenderedPageBreak/>
              <w:t> (4) Energiapargimooduli väljastatavat aktiivvõimsus peab olema muudetav kiirusega vähemalt 8% nimivõimsusest minutis, kui ilmastiku olud seda võimaldavad. Sellel kiirusel peab võimsus olema muudetav 30% ulatuses vahemikus 20–100% seadme nimivõimsusest</w:t>
            </w:r>
          </w:p>
          <w:p w14:paraId="628FAC93"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(5) </w:t>
            </w:r>
            <w:proofErr w:type="spellStart"/>
            <w:r w:rsidRPr="004D5219">
              <w:rPr>
                <w:rFonts w:ascii="inherit" w:eastAsia="Times New Roman" w:hAnsi="inherit" w:cs="Times New Roman"/>
                <w:sz w:val="24"/>
                <w:szCs w:val="24"/>
                <w:highlight w:val="cyan"/>
                <w:lang w:val="et-EE" w:bidi="ar-SA"/>
              </w:rPr>
              <w:t>Hüdroturbiini</w:t>
            </w:r>
            <w:proofErr w:type="spellEnd"/>
            <w:r w:rsidRPr="004D5219">
              <w:rPr>
                <w:rFonts w:ascii="inherit" w:eastAsia="Times New Roman" w:hAnsi="inherit" w:cs="Times New Roman"/>
                <w:sz w:val="24"/>
                <w:szCs w:val="24"/>
                <w:highlight w:val="cyan"/>
                <w:lang w:val="et-EE" w:bidi="ar-SA"/>
              </w:rPr>
              <w:t xml:space="preserve"> jõul töötava tootmismooduli aktiivvõimsus peab olema muudetav kiirusega vähemalt 50% nimivõimsusest minutis, kui veeressurss seda võimaldab. Sellel kiirusel peab võimsus olema muudetav kogu võimsuse ulatuses.</w:t>
            </w:r>
          </w:p>
          <w:p w14:paraId="3CDC784A"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(6) Juhul kui Tüüp D kategooria tootmismoodul täidab artikli 6 punkti 4 alampunktide a ja b toodud tingimusi, lepitakse aktiivvõimsuse reguleerimise kasutamise tingimused lähtuvalt tootmismooduli tehnilisest võimekusest tootmismooduli omaniku ja võrguettevõtja vahel eraldi kokku.</w:t>
            </w:r>
          </w:p>
          <w:p w14:paraId="70FF9682" w14:textId="77777777" w:rsidR="00F72920" w:rsidRPr="004D5219" w:rsidRDefault="00F72920" w:rsidP="00F72920">
            <w:pPr>
              <w:widowControl/>
              <w:autoSpaceDE/>
              <w:autoSpaceDN/>
              <w:spacing w:before="120"/>
              <w:jc w:val="both"/>
              <w:rPr>
                <w:rFonts w:ascii="inherit" w:eastAsia="Times New Roman" w:hAnsi="inherit" w:cs="Times New Roman"/>
                <w:sz w:val="24"/>
                <w:szCs w:val="24"/>
                <w:highlight w:val="cyan"/>
                <w:lang w:val="et-EE" w:bidi="ar-SA"/>
              </w:rPr>
            </w:pPr>
          </w:p>
          <w:p w14:paraId="183DDB16" w14:textId="0EB69E51" w:rsidR="00F72920" w:rsidRPr="004D5219" w:rsidRDefault="00F72920" w:rsidP="00F72920">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highlight w:val="cyan"/>
                <w:lang w:val="et-EE" w:bidi="ar-SA"/>
              </w:rPr>
              <w:t xml:space="preserve">Selgitus : antud punkt käib koos 15.6.e </w:t>
            </w:r>
            <w:proofErr w:type="spellStart"/>
            <w:r w:rsidRPr="004D5219">
              <w:rPr>
                <w:rFonts w:ascii="inherit" w:eastAsia="Times New Roman" w:hAnsi="inherit" w:cs="Times New Roman"/>
                <w:sz w:val="24"/>
                <w:szCs w:val="24"/>
                <w:highlight w:val="cyan"/>
                <w:lang w:val="et-EE" w:bidi="ar-SA"/>
              </w:rPr>
              <w:t>ga</w:t>
            </w:r>
            <w:proofErr w:type="spellEnd"/>
            <w:r w:rsidRPr="004D5219">
              <w:rPr>
                <w:rFonts w:ascii="inherit" w:eastAsia="Times New Roman" w:hAnsi="inherit" w:cs="Times New Roman"/>
                <w:sz w:val="24"/>
                <w:szCs w:val="24"/>
                <w:highlight w:val="cyan"/>
                <w:lang w:val="et-EE" w:bidi="ar-SA"/>
              </w:rPr>
              <w:t>.</w:t>
            </w:r>
          </w:p>
          <w:p w14:paraId="1F22BFC3" w14:textId="70EB637A" w:rsidR="00F72920" w:rsidRPr="004D5219" w:rsidRDefault="00F72920" w:rsidP="008E1A17">
            <w:pPr>
              <w:widowControl/>
              <w:autoSpaceDE/>
              <w:autoSpaceDN/>
              <w:spacing w:before="120"/>
              <w:jc w:val="both"/>
              <w:rPr>
                <w:rFonts w:ascii="inherit" w:eastAsia="Times New Roman" w:hAnsi="inherit" w:cs="Times New Roman"/>
                <w:sz w:val="24"/>
                <w:szCs w:val="24"/>
                <w:lang w:val="et-EE" w:bidi="ar-SA"/>
              </w:rPr>
            </w:pPr>
          </w:p>
        </w:tc>
      </w:tr>
    </w:tbl>
    <w:p w14:paraId="4E2AB6A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B47275D" w14:textId="77777777" w:rsidTr="008E1A17">
        <w:trPr>
          <w:tblCellSpacing w:w="0" w:type="dxa"/>
        </w:trPr>
        <w:tc>
          <w:tcPr>
            <w:tcW w:w="0" w:type="auto"/>
            <w:hideMark/>
          </w:tcPr>
          <w:p w14:paraId="57AD77B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4D65B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kohalikke käsijuhtimise meetmeid on lubatud kasutada juhul, kui automaatsed </w:t>
            </w:r>
            <w:proofErr w:type="spellStart"/>
            <w:r w:rsidRPr="004D5219">
              <w:rPr>
                <w:rFonts w:ascii="inherit" w:eastAsia="Times New Roman" w:hAnsi="inherit" w:cs="Times New Roman"/>
                <w:sz w:val="24"/>
                <w:szCs w:val="24"/>
                <w:lang w:val="et-EE" w:bidi="ar-SA"/>
              </w:rPr>
              <w:t>kaugjuhtimisseadmed</w:t>
            </w:r>
            <w:proofErr w:type="spellEnd"/>
            <w:r w:rsidRPr="004D5219">
              <w:rPr>
                <w:rFonts w:ascii="inherit" w:eastAsia="Times New Roman" w:hAnsi="inherit" w:cs="Times New Roman"/>
                <w:sz w:val="24"/>
                <w:szCs w:val="24"/>
                <w:lang w:val="et-EE" w:bidi="ar-SA"/>
              </w:rPr>
              <w:t xml:space="preserve"> ei ole kasutatavad.</w:t>
            </w:r>
          </w:p>
          <w:p w14:paraId="1E8339A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või asjaomane põhivõrguettevõtja peab teatama reguleerivale asutusele nõutava aktiivvõimsuse seadeväärtuse saavutamise aja ja lubatud hälbe;</w:t>
            </w:r>
          </w:p>
        </w:tc>
      </w:tr>
    </w:tbl>
    <w:p w14:paraId="63BDEC0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2"/>
        <w:gridCol w:w="9268"/>
      </w:tblGrid>
      <w:tr w:rsidR="008E1A17" w:rsidRPr="00A2039D" w14:paraId="2FA02770" w14:textId="77777777" w:rsidTr="008E1A17">
        <w:trPr>
          <w:tblCellSpacing w:w="0" w:type="dxa"/>
        </w:trPr>
        <w:tc>
          <w:tcPr>
            <w:tcW w:w="0" w:type="auto"/>
            <w:hideMark/>
          </w:tcPr>
          <w:p w14:paraId="0813DEA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D522D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lisaks artikli 13 lõikele 2 kohaldatakse C-tüüpi tootmismoodulite suhtes järgmisi nõudeid seoses alasagedusega piiratud sagedustundliku seisundiga:</w:t>
            </w:r>
          </w:p>
          <w:tbl>
            <w:tblPr>
              <w:tblW w:w="5000" w:type="pct"/>
              <w:tblCellSpacing w:w="0" w:type="dxa"/>
              <w:tblCellMar>
                <w:left w:w="0" w:type="dxa"/>
                <w:right w:w="0" w:type="dxa"/>
              </w:tblCellMar>
              <w:tblLook w:val="04A0" w:firstRow="1" w:lastRow="0" w:firstColumn="1" w:lastColumn="0" w:noHBand="0" w:noVBand="1"/>
            </w:tblPr>
            <w:tblGrid>
              <w:gridCol w:w="143"/>
              <w:gridCol w:w="9125"/>
            </w:tblGrid>
            <w:tr w:rsidR="008E1A17" w:rsidRPr="004D5219" w14:paraId="74C5E6E1" w14:textId="77777777">
              <w:trPr>
                <w:tblCellSpacing w:w="0" w:type="dxa"/>
              </w:trPr>
              <w:tc>
                <w:tcPr>
                  <w:tcW w:w="0" w:type="auto"/>
                  <w:hideMark/>
                </w:tcPr>
                <w:p w14:paraId="5497FB6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594A5F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suutma käivitada väljundaktiivvõimsuse kaja sageduse piirmäära ja </w:t>
                  </w:r>
                  <w:proofErr w:type="spellStart"/>
                  <w:r w:rsidRPr="004D5219">
                    <w:rPr>
                      <w:rFonts w:ascii="inherit" w:eastAsia="Times New Roman" w:hAnsi="inherit" w:cs="Times New Roman"/>
                      <w:sz w:val="24"/>
                      <w:szCs w:val="24"/>
                      <w:lang w:val="et-EE" w:bidi="ar-SA"/>
                    </w:rPr>
                    <w:t>statismiga</w:t>
                  </w:r>
                  <w:proofErr w:type="spellEnd"/>
                  <w:r w:rsidRPr="004D5219">
                    <w:rPr>
                      <w:rFonts w:ascii="inherit" w:eastAsia="Times New Roman" w:hAnsi="inherit" w:cs="Times New Roman"/>
                      <w:sz w:val="24"/>
                      <w:szCs w:val="24"/>
                      <w:lang w:val="et-EE" w:bidi="ar-SA"/>
                    </w:rPr>
                    <w:t>, mille asjaomane põhivõrguettevõtja kooskõlastatult teiste sama sünkroonala põhivõrguettevõtjatega on määranud kindlaks järgmiselt:</w:t>
                  </w:r>
                </w:p>
                <w:tbl>
                  <w:tblPr>
                    <w:tblW w:w="9360" w:type="dxa"/>
                    <w:tblCellSpacing w:w="0" w:type="dxa"/>
                    <w:tblCellMar>
                      <w:left w:w="0" w:type="dxa"/>
                      <w:right w:w="0" w:type="dxa"/>
                    </w:tblCellMar>
                    <w:tblLook w:val="04A0" w:firstRow="1" w:lastRow="0" w:firstColumn="1" w:lastColumn="0" w:noHBand="0" w:noVBand="1"/>
                  </w:tblPr>
                  <w:tblGrid>
                    <w:gridCol w:w="362"/>
                    <w:gridCol w:w="8998"/>
                  </w:tblGrid>
                  <w:tr w:rsidR="00B92DC9" w:rsidRPr="00A2039D" w14:paraId="2D0B208A" w14:textId="77777777" w:rsidTr="00B92DC9">
                    <w:trPr>
                      <w:tblCellSpacing w:w="0" w:type="dxa"/>
                    </w:trPr>
                    <w:tc>
                      <w:tcPr>
                        <w:tcW w:w="0" w:type="auto"/>
                        <w:hideMark/>
                      </w:tcPr>
                      <w:p w14:paraId="7E94E3A2" w14:textId="77777777" w:rsidR="00B92DC9" w:rsidRPr="004D5219" w:rsidRDefault="00B92DC9" w:rsidP="00B92DC9">
                        <w:pPr>
                          <w:spacing w:before="120"/>
                          <w:jc w:val="both"/>
                          <w:rPr>
                            <w:rFonts w:ascii="inherit" w:hAnsi="inherit"/>
                            <w:highlight w:val="cyan"/>
                            <w:lang w:val="et-EE"/>
                          </w:rPr>
                        </w:pPr>
                        <w:r w:rsidRPr="004D5219">
                          <w:rPr>
                            <w:rFonts w:ascii="inherit" w:hAnsi="inherit"/>
                            <w:highlight w:val="cyan"/>
                            <w:lang w:val="et-EE"/>
                          </w:rPr>
                          <w:t>—</w:t>
                        </w:r>
                      </w:p>
                    </w:tc>
                    <w:tc>
                      <w:tcPr>
                        <w:tcW w:w="0" w:type="auto"/>
                        <w:hideMark/>
                      </w:tcPr>
                      <w:p w14:paraId="30EDC77F" w14:textId="77777777" w:rsidR="00B92DC9" w:rsidRPr="004D5219" w:rsidRDefault="00B92DC9" w:rsidP="00B92DC9">
                        <w:pPr>
                          <w:spacing w:before="120"/>
                          <w:jc w:val="both"/>
                          <w:rPr>
                            <w:rFonts w:ascii="inherit" w:hAnsi="inherit"/>
                            <w:highlight w:val="cyan"/>
                            <w:lang w:val="et-EE"/>
                          </w:rPr>
                        </w:pPr>
                        <w:r w:rsidRPr="004D5219">
                          <w:rPr>
                            <w:rFonts w:ascii="inherit" w:hAnsi="inherit"/>
                            <w:highlight w:val="cyan"/>
                            <w:lang w:val="et-EE"/>
                          </w:rPr>
                          <w:t>põhivõrguettevõtja määratud sageduspiir peab olema 49,8 Hz;</w:t>
                        </w:r>
                      </w:p>
                    </w:tc>
                  </w:tr>
                </w:tbl>
                <w:p w14:paraId="1EEC19F6" w14:textId="77777777" w:rsidR="00B92DC9" w:rsidRPr="004D5219" w:rsidRDefault="00B92DC9" w:rsidP="00B92DC9">
                  <w:pPr>
                    <w:rPr>
                      <w:rFonts w:ascii="inherit" w:eastAsia="Times New Roman" w:hAnsi="inherit"/>
                      <w:vanish/>
                      <w:highlight w:val="cyan"/>
                      <w:lang w:val="et-EE"/>
                    </w:rPr>
                  </w:pPr>
                </w:p>
                <w:tbl>
                  <w:tblPr>
                    <w:tblW w:w="5000" w:type="pct"/>
                    <w:tblCellSpacing w:w="0" w:type="dxa"/>
                    <w:tblCellMar>
                      <w:left w:w="0" w:type="dxa"/>
                      <w:right w:w="0" w:type="dxa"/>
                    </w:tblCellMar>
                    <w:tblLook w:val="04A0" w:firstRow="1" w:lastRow="0" w:firstColumn="1" w:lastColumn="0" w:noHBand="0" w:noVBand="1"/>
                  </w:tblPr>
                  <w:tblGrid>
                    <w:gridCol w:w="405"/>
                    <w:gridCol w:w="8720"/>
                  </w:tblGrid>
                  <w:tr w:rsidR="00B92DC9" w:rsidRPr="00A2039D" w14:paraId="2580F58C" w14:textId="77777777" w:rsidTr="00330085">
                    <w:trPr>
                      <w:trHeight w:val="459"/>
                      <w:tblCellSpacing w:w="0" w:type="dxa"/>
                    </w:trPr>
                    <w:tc>
                      <w:tcPr>
                        <w:tcW w:w="0" w:type="auto"/>
                        <w:hideMark/>
                      </w:tcPr>
                      <w:p w14:paraId="62ACC550" w14:textId="77777777" w:rsidR="00B92DC9" w:rsidRPr="004D5219" w:rsidRDefault="00B92DC9" w:rsidP="00B92DC9">
                        <w:pPr>
                          <w:spacing w:before="120"/>
                          <w:jc w:val="both"/>
                          <w:rPr>
                            <w:rFonts w:ascii="inherit" w:hAnsi="inherit"/>
                            <w:highlight w:val="cyan"/>
                            <w:lang w:val="et-EE"/>
                          </w:rPr>
                        </w:pPr>
                        <w:r w:rsidRPr="004D5219">
                          <w:rPr>
                            <w:rFonts w:ascii="inherit" w:hAnsi="inherit"/>
                            <w:highlight w:val="cyan"/>
                            <w:lang w:val="et-EE"/>
                          </w:rPr>
                          <w:t>—</w:t>
                        </w:r>
                      </w:p>
                    </w:tc>
                    <w:tc>
                      <w:tcPr>
                        <w:tcW w:w="0" w:type="auto"/>
                        <w:hideMark/>
                      </w:tcPr>
                      <w:p w14:paraId="191A6AD4" w14:textId="77777777" w:rsidR="00B92DC9" w:rsidRPr="004D5219" w:rsidRDefault="00B92DC9" w:rsidP="00B92DC9">
                        <w:pPr>
                          <w:spacing w:before="120"/>
                          <w:jc w:val="both"/>
                          <w:rPr>
                            <w:rFonts w:ascii="inherit" w:hAnsi="inherit"/>
                            <w:lang w:val="et-EE"/>
                          </w:rPr>
                        </w:pPr>
                        <w:r w:rsidRPr="004D5219">
                          <w:rPr>
                            <w:rFonts w:ascii="inherit" w:hAnsi="inherit"/>
                            <w:highlight w:val="cyan"/>
                            <w:lang w:val="et-EE"/>
                          </w:rPr>
                          <w:t xml:space="preserve">põhivõrguettevõtja määratud </w:t>
                        </w:r>
                        <w:proofErr w:type="spellStart"/>
                        <w:r w:rsidRPr="004D5219">
                          <w:rPr>
                            <w:rFonts w:ascii="inherit" w:hAnsi="inherit"/>
                            <w:highlight w:val="cyan"/>
                            <w:lang w:val="et-EE"/>
                          </w:rPr>
                          <w:t>statism</w:t>
                        </w:r>
                        <w:proofErr w:type="spellEnd"/>
                        <w:r w:rsidRPr="004D5219">
                          <w:rPr>
                            <w:rFonts w:ascii="inherit" w:hAnsi="inherit"/>
                            <w:highlight w:val="cyan"/>
                            <w:lang w:val="et-EE"/>
                          </w:rPr>
                          <w:t xml:space="preserve"> peab olema 5 %.</w:t>
                        </w:r>
                      </w:p>
                    </w:tc>
                  </w:tr>
                </w:tbl>
                <w:p w14:paraId="5A0109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See on graafiliselt kujutatud joonisel 4;</w:t>
                  </w:r>
                </w:p>
              </w:tc>
            </w:tr>
          </w:tbl>
          <w:p w14:paraId="673742C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54"/>
            </w:tblGrid>
            <w:tr w:rsidR="008E1A17" w:rsidRPr="004D5219" w14:paraId="3A00FA58" w14:textId="77777777">
              <w:trPr>
                <w:tblCellSpacing w:w="0" w:type="dxa"/>
              </w:trPr>
              <w:tc>
                <w:tcPr>
                  <w:tcW w:w="0" w:type="auto"/>
                  <w:hideMark/>
                </w:tcPr>
                <w:p w14:paraId="4E0A45B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7B21E48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tegeliku kaja puhul alasagedusega piiratud sagedustundlikus talitluses võetakse arvesse järgmist:</w:t>
                  </w:r>
                </w:p>
                <w:tbl>
                  <w:tblPr>
                    <w:tblW w:w="5000" w:type="pct"/>
                    <w:tblCellSpacing w:w="0" w:type="dxa"/>
                    <w:tblCellMar>
                      <w:left w:w="0" w:type="dxa"/>
                      <w:right w:w="0" w:type="dxa"/>
                    </w:tblCellMar>
                    <w:tblLook w:val="04A0" w:firstRow="1" w:lastRow="0" w:firstColumn="1" w:lastColumn="0" w:noHBand="0" w:noVBand="1"/>
                  </w:tblPr>
                  <w:tblGrid>
                    <w:gridCol w:w="398"/>
                    <w:gridCol w:w="8656"/>
                  </w:tblGrid>
                  <w:tr w:rsidR="008E1A17" w:rsidRPr="00A2039D" w14:paraId="638F6E49" w14:textId="77777777">
                    <w:trPr>
                      <w:tblCellSpacing w:w="0" w:type="dxa"/>
                    </w:trPr>
                    <w:tc>
                      <w:tcPr>
                        <w:tcW w:w="0" w:type="auto"/>
                        <w:hideMark/>
                      </w:tcPr>
                      <w:p w14:paraId="5E4A22A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D215A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ümbritseva keskkonna tingimused kaja aktiveerimisel;</w:t>
                        </w:r>
                      </w:p>
                    </w:tc>
                  </w:tr>
                </w:tbl>
                <w:p w14:paraId="1086D31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14"/>
                  </w:tblGrid>
                  <w:tr w:rsidR="008E1A17" w:rsidRPr="00A2039D" w14:paraId="03713018" w14:textId="77777777">
                    <w:trPr>
                      <w:tblCellSpacing w:w="0" w:type="dxa"/>
                    </w:trPr>
                    <w:tc>
                      <w:tcPr>
                        <w:tcW w:w="0" w:type="auto"/>
                        <w:hideMark/>
                      </w:tcPr>
                      <w:p w14:paraId="1F5CFA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D0CE9C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talitlustingimused, eelkõige talitluspiirangud maksimumvõimsuse lähedal töötamisel madalatel sagedustel ja asjaomane ümbritsevate tingimuste mõju vastavalt artikli 13 lõigetele 4 ja 5, ning</w:t>
                        </w:r>
                      </w:p>
                    </w:tc>
                  </w:tr>
                </w:tbl>
                <w:p w14:paraId="284EB00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63"/>
                    <w:gridCol w:w="8491"/>
                  </w:tblGrid>
                  <w:tr w:rsidR="008E1A17" w:rsidRPr="004D5219" w14:paraId="01A937CF" w14:textId="77777777">
                    <w:trPr>
                      <w:tblCellSpacing w:w="0" w:type="dxa"/>
                    </w:trPr>
                    <w:tc>
                      <w:tcPr>
                        <w:tcW w:w="0" w:type="auto"/>
                        <w:hideMark/>
                      </w:tcPr>
                      <w:p w14:paraId="6DC4F0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75637D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primaarenergiaallikate</w:t>
                        </w:r>
                        <w:proofErr w:type="spellEnd"/>
                        <w:r w:rsidRPr="004D5219">
                          <w:rPr>
                            <w:rFonts w:ascii="inherit" w:eastAsia="Times New Roman" w:hAnsi="inherit" w:cs="Times New Roman"/>
                            <w:sz w:val="24"/>
                            <w:szCs w:val="24"/>
                            <w:lang w:val="et-EE" w:bidi="ar-SA"/>
                          </w:rPr>
                          <w:t xml:space="preserve"> kättesaadavus;</w:t>
                        </w:r>
                      </w:p>
                    </w:tc>
                  </w:tr>
                </w:tbl>
                <w:p w14:paraId="53CEA79C"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290CBC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8"/>
            </w:tblGrid>
            <w:tr w:rsidR="008E1A17" w:rsidRPr="00A2039D" w14:paraId="3C8D3340" w14:textId="77777777">
              <w:trPr>
                <w:tblCellSpacing w:w="0" w:type="dxa"/>
              </w:trPr>
              <w:tc>
                <w:tcPr>
                  <w:tcW w:w="0" w:type="auto"/>
                  <w:hideMark/>
                </w:tcPr>
                <w:p w14:paraId="17E641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776D70C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ei tohi põhjuseta viivitada aktiivvõimsuse sageduskaja aktiveerimisel. Kui viivitus on pikem kui kaks sekundit, peab tootmisüksuse omanik esitama asjaomasele põhivõrguettevõtjale põhjenduse;</w:t>
                  </w:r>
                </w:p>
              </w:tc>
            </w:tr>
          </w:tbl>
          <w:p w14:paraId="0FF402E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9001"/>
            </w:tblGrid>
            <w:tr w:rsidR="008E1A17" w:rsidRPr="00A2039D" w14:paraId="29A52940" w14:textId="77777777">
              <w:trPr>
                <w:tblCellSpacing w:w="0" w:type="dxa"/>
              </w:trPr>
              <w:tc>
                <w:tcPr>
                  <w:tcW w:w="0" w:type="auto"/>
                  <w:hideMark/>
                </w:tcPr>
                <w:p w14:paraId="1F1F496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0E4FE23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alasagedusega piiratud sagedustundlikus talitluses peab tootmismoodul suutma tagada võimsuse suurendamise maksimumvõimsuseni;</w:t>
                  </w:r>
                </w:p>
              </w:tc>
            </w:tr>
          </w:tbl>
          <w:p w14:paraId="402C3F9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8"/>
            </w:tblGrid>
            <w:tr w:rsidR="008E1A17" w:rsidRPr="00A2039D" w14:paraId="16E688BC" w14:textId="77777777">
              <w:trPr>
                <w:tblCellSpacing w:w="0" w:type="dxa"/>
              </w:trPr>
              <w:tc>
                <w:tcPr>
                  <w:tcW w:w="0" w:type="auto"/>
                  <w:hideMark/>
                </w:tcPr>
                <w:p w14:paraId="7C9128D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67D808B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tagada tootmismooduli stabiilne töö alasagedusega piiratud sagedustundlikus talitluses.</w:t>
                  </w:r>
                </w:p>
                <w:p w14:paraId="07776DA8" w14:textId="77777777" w:rsidR="004812B6" w:rsidRDefault="004812B6" w:rsidP="008E1A17">
                  <w:pPr>
                    <w:widowControl/>
                    <w:autoSpaceDE/>
                    <w:autoSpaceDN/>
                    <w:spacing w:before="240" w:after="120"/>
                    <w:jc w:val="both"/>
                    <w:rPr>
                      <w:rFonts w:ascii="inherit" w:eastAsia="Times New Roman" w:hAnsi="inherit" w:cs="Times New Roman"/>
                      <w:b/>
                      <w:bCs/>
                      <w:i/>
                      <w:iCs/>
                      <w:sz w:val="24"/>
                      <w:szCs w:val="24"/>
                      <w:highlight w:val="cyan"/>
                      <w:lang w:val="et-EE" w:bidi="ar-SA"/>
                    </w:rPr>
                  </w:pPr>
                </w:p>
                <w:p w14:paraId="739993CD" w14:textId="77777777" w:rsidR="004812B6" w:rsidRDefault="004812B6" w:rsidP="008E1A17">
                  <w:pPr>
                    <w:widowControl/>
                    <w:autoSpaceDE/>
                    <w:autoSpaceDN/>
                    <w:spacing w:before="240" w:after="120"/>
                    <w:jc w:val="both"/>
                    <w:rPr>
                      <w:rFonts w:ascii="inherit" w:eastAsia="Times New Roman" w:hAnsi="inherit" w:cs="Times New Roman"/>
                      <w:b/>
                      <w:bCs/>
                      <w:i/>
                      <w:iCs/>
                      <w:sz w:val="24"/>
                      <w:szCs w:val="24"/>
                      <w:highlight w:val="cyan"/>
                      <w:lang w:val="et-EE" w:bidi="ar-SA"/>
                    </w:rPr>
                  </w:pPr>
                </w:p>
                <w:p w14:paraId="454F5164" w14:textId="77777777" w:rsidR="004812B6" w:rsidRDefault="004812B6" w:rsidP="008E1A17">
                  <w:pPr>
                    <w:widowControl/>
                    <w:autoSpaceDE/>
                    <w:autoSpaceDN/>
                    <w:spacing w:before="240" w:after="120"/>
                    <w:jc w:val="both"/>
                    <w:rPr>
                      <w:rFonts w:ascii="inherit" w:eastAsia="Times New Roman" w:hAnsi="inherit" w:cs="Times New Roman"/>
                      <w:b/>
                      <w:bCs/>
                      <w:i/>
                      <w:iCs/>
                      <w:sz w:val="24"/>
                      <w:szCs w:val="24"/>
                      <w:highlight w:val="cyan"/>
                      <w:lang w:val="et-EE" w:bidi="ar-SA"/>
                    </w:rPr>
                  </w:pPr>
                </w:p>
                <w:p w14:paraId="7EF93AF0" w14:textId="77777777" w:rsidR="004812B6" w:rsidRDefault="004812B6" w:rsidP="008E1A17">
                  <w:pPr>
                    <w:widowControl/>
                    <w:autoSpaceDE/>
                    <w:autoSpaceDN/>
                    <w:spacing w:before="240" w:after="120"/>
                    <w:jc w:val="both"/>
                    <w:rPr>
                      <w:rFonts w:ascii="inherit" w:eastAsia="Times New Roman" w:hAnsi="inherit" w:cs="Times New Roman"/>
                      <w:b/>
                      <w:bCs/>
                      <w:i/>
                      <w:iCs/>
                      <w:sz w:val="24"/>
                      <w:szCs w:val="24"/>
                      <w:highlight w:val="cyan"/>
                      <w:lang w:val="et-EE" w:bidi="ar-SA"/>
                    </w:rPr>
                  </w:pPr>
                </w:p>
                <w:p w14:paraId="3555926D" w14:textId="77777777" w:rsidR="004812B6" w:rsidRDefault="004812B6" w:rsidP="008E1A17">
                  <w:pPr>
                    <w:widowControl/>
                    <w:autoSpaceDE/>
                    <w:autoSpaceDN/>
                    <w:spacing w:before="240" w:after="120"/>
                    <w:jc w:val="both"/>
                    <w:rPr>
                      <w:rFonts w:ascii="inherit" w:eastAsia="Times New Roman" w:hAnsi="inherit" w:cs="Times New Roman"/>
                      <w:b/>
                      <w:bCs/>
                      <w:i/>
                      <w:iCs/>
                      <w:sz w:val="24"/>
                      <w:szCs w:val="24"/>
                      <w:highlight w:val="cyan"/>
                      <w:lang w:val="et-EE" w:bidi="ar-SA"/>
                    </w:rPr>
                  </w:pPr>
                </w:p>
                <w:p w14:paraId="65D3E54B" w14:textId="39FDC6AC"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4</w:t>
                  </w:r>
                </w:p>
                <w:p w14:paraId="0D1055A7"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Tootmismoodulite aktiivvõimsuskaja suutlikkus sageduse muutumisel alasagedusega piiratud sagedustundlikus talitluses</w:t>
                  </w:r>
                </w:p>
                <w:p w14:paraId="46B28E42" w14:textId="545FA739" w:rsidR="008E1A17" w:rsidRPr="004D5219" w:rsidRDefault="008E1A17" w:rsidP="00B92DC9">
                  <w:pPr>
                    <w:widowControl/>
                    <w:autoSpaceDE/>
                    <w:autoSpaceDN/>
                    <w:jc w:val="center"/>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"https://eur-lex.europa.eu/resource.html?uri=uriserv:OJ.L_.2016.112.FULL.EST.xhtml.L_2016112ET.01002201.tif.jpg" \* MERGEFORMATINET </w:instrText>
                  </w:r>
                  <w:r w:rsidRPr="004D5219">
                    <w:rPr>
                      <w:rFonts w:ascii="inherit" w:eastAsia="Times New Roman" w:hAnsi="inherit" w:cs="Times New Roman"/>
                      <w:sz w:val="24"/>
                      <w:szCs w:val="24"/>
                      <w:lang w:val="et-EE" w:bidi="ar-SA"/>
                    </w:rPr>
                    <w:fldChar w:fldCharType="separate"/>
                  </w:r>
                  <w:r w:rsidR="008D709D" w:rsidRPr="004D5219">
                    <w:rPr>
                      <w:rFonts w:ascii="inherit" w:eastAsia="Times New Roman" w:hAnsi="inherit"/>
                      <w:noProof/>
                      <w:lang w:val="et-EE"/>
                    </w:rPr>
                    <w:object w:dxaOrig="9591" w:dyaOrig="7227" w14:anchorId="4D9B2823">
                      <v:shape id="_x0000_i1029" type="#_x0000_t75" alt="" style="width:384.85pt;height:290.6pt;mso-width-percent:0;mso-height-percent:0;mso-width-percent:0;mso-height-percent:0" o:ole="">
                        <v:imagedata r:id="rId19" o:title=""/>
                      </v:shape>
                      <o:OLEObject Type="Embed" ProgID="Visio.Drawing.11" ShapeID="_x0000_i1029" DrawAspect="Content" ObjectID="_1633352377" r:id="rId20"/>
                    </w:object>
                  </w:r>
                  <w:r w:rsidRPr="004D5219">
                    <w:rPr>
                      <w:rFonts w:ascii="inherit" w:eastAsia="Times New Roman" w:hAnsi="inherit" w:cs="Times New Roman"/>
                      <w:sz w:val="24"/>
                      <w:szCs w:val="24"/>
                      <w:lang w:val="et-EE" w:bidi="ar-SA"/>
                    </w:rPr>
                    <w:fldChar w:fldCharType="end"/>
                  </w:r>
                </w:p>
                <w:p w14:paraId="4B08425B" w14:textId="1A92E2A5"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ref</w:t>
                  </w:r>
                  <w:proofErr w:type="spellEnd"/>
                  <w:r w:rsidRPr="004D5219">
                    <w:rPr>
                      <w:rFonts w:ascii="inherit" w:eastAsia="Times New Roman" w:hAnsi="inherit" w:cs="Times New Roman"/>
                      <w:sz w:val="24"/>
                      <w:szCs w:val="24"/>
                      <w:lang w:val="et-EE" w:bidi="ar-SA"/>
                    </w:rPr>
                    <w:t xml:space="preserve"> on aktiivvõimsuse baasväärtus, mille suhtes leitakse võimsuse muut ΔΡ, ning selle võib erinevalt määratleda sünkroonmooduli ja energiapargimooduli korral. ΔΡ on tootmismooduli väljundaktiivvõimsuse muut. </w:t>
                  </w:r>
                  <w:proofErr w:type="spellStart"/>
                  <w:r w:rsidRPr="004D5219">
                    <w:rPr>
                      <w:rFonts w:ascii="inherit" w:eastAsia="Times New Roman" w:hAnsi="inherit" w:cs="Times New Roman"/>
                      <w:sz w:val="24"/>
                      <w:szCs w:val="24"/>
                      <w:lang w:val="et-EE" w:bidi="ar-SA"/>
                    </w:rPr>
                    <w:t>f</w:t>
                  </w:r>
                  <w:r w:rsidRPr="004D5219">
                    <w:rPr>
                      <w:rFonts w:ascii="inherit" w:eastAsia="Times New Roman" w:hAnsi="inherit" w:cs="Times New Roman"/>
                      <w:sz w:val="17"/>
                      <w:szCs w:val="17"/>
                      <w:vertAlign w:val="subscript"/>
                      <w:lang w:val="et-EE" w:bidi="ar-SA"/>
                    </w:rPr>
                    <w:t>n</w:t>
                  </w:r>
                  <w:proofErr w:type="spellEnd"/>
                  <w:r w:rsidRPr="004D5219">
                    <w:rPr>
                      <w:rFonts w:ascii="inherit" w:eastAsia="Times New Roman" w:hAnsi="inherit" w:cs="Times New Roman"/>
                      <w:sz w:val="24"/>
                      <w:szCs w:val="24"/>
                      <w:lang w:val="et-EE" w:bidi="ar-SA"/>
                    </w:rPr>
                    <w:t xml:space="preserve"> on võrgu nimisagedus (50 Hz) ja </w:t>
                  </w:r>
                  <w:proofErr w:type="spellStart"/>
                  <w:r w:rsidRPr="004D5219">
                    <w:rPr>
                      <w:rFonts w:ascii="inherit" w:eastAsia="Times New Roman" w:hAnsi="inherit" w:cs="Times New Roman"/>
                      <w:sz w:val="24"/>
                      <w:szCs w:val="24"/>
                      <w:lang w:val="et-EE" w:bidi="ar-SA"/>
                    </w:rPr>
                    <w:t>Δf</w:t>
                  </w:r>
                  <w:proofErr w:type="spellEnd"/>
                  <w:r w:rsidRPr="004D5219">
                    <w:rPr>
                      <w:rFonts w:ascii="inherit" w:eastAsia="Times New Roman" w:hAnsi="inherit" w:cs="Times New Roman"/>
                      <w:sz w:val="24"/>
                      <w:szCs w:val="24"/>
                      <w:lang w:val="et-EE" w:bidi="ar-SA"/>
                    </w:rPr>
                    <w:t xml:space="preserve"> on võrgu sageduse kõrvalekalle. Alasagedusel, kui </w:t>
                  </w:r>
                  <w:proofErr w:type="spellStart"/>
                  <w:r w:rsidRPr="004D5219">
                    <w:rPr>
                      <w:rFonts w:ascii="inherit" w:eastAsia="Times New Roman" w:hAnsi="inherit" w:cs="Times New Roman"/>
                      <w:sz w:val="24"/>
                      <w:szCs w:val="24"/>
                      <w:lang w:val="et-EE" w:bidi="ar-SA"/>
                    </w:rPr>
                    <w:t>Δf</w:t>
                  </w:r>
                  <w:proofErr w:type="spellEnd"/>
                  <w:r w:rsidRPr="004D5219">
                    <w:rPr>
                      <w:rFonts w:ascii="inherit" w:eastAsia="Times New Roman" w:hAnsi="inherit" w:cs="Times New Roman"/>
                      <w:sz w:val="24"/>
                      <w:szCs w:val="24"/>
                      <w:lang w:val="et-EE" w:bidi="ar-SA"/>
                    </w:rPr>
                    <w:t xml:space="preserve"> on väiksem kui </w:t>
                  </w:r>
                  <w:r w:rsidRPr="004D5219">
                    <w:rPr>
                      <w:rFonts w:ascii="inherit" w:eastAsia="Times New Roman" w:hAnsi="inherit" w:cs="Times New Roman"/>
                      <w:sz w:val="24"/>
                      <w:szCs w:val="24"/>
                      <w:highlight w:val="cyan"/>
                      <w:lang w:val="et-EE" w:bidi="ar-SA"/>
                    </w:rPr>
                    <w:t>Δf</w:t>
                  </w:r>
                  <w:r w:rsidRPr="004D5219">
                    <w:rPr>
                      <w:rFonts w:ascii="inherit" w:eastAsia="Times New Roman" w:hAnsi="inherit" w:cs="Times New Roman"/>
                      <w:sz w:val="24"/>
                      <w:szCs w:val="24"/>
                      <w:highlight w:val="cyan"/>
                      <w:vertAlign w:val="subscript"/>
                      <w:lang w:val="et-EE" w:bidi="ar-SA"/>
                    </w:rPr>
                    <w:t>1</w:t>
                  </w:r>
                  <w:r w:rsidR="000B72AF" w:rsidRPr="004D5219">
                    <w:rPr>
                      <w:rFonts w:ascii="inherit" w:eastAsia="Times New Roman" w:hAnsi="inherit" w:cs="Times New Roman"/>
                      <w:sz w:val="24"/>
                      <w:szCs w:val="24"/>
                      <w:highlight w:val="cyan"/>
                      <w:lang w:val="et-EE" w:bidi="ar-SA"/>
                    </w:rPr>
                    <w:t>=0,2 Hz</w:t>
                  </w:r>
                  <w:r w:rsidRPr="004D5219">
                    <w:rPr>
                      <w:rFonts w:ascii="inherit" w:eastAsia="Times New Roman" w:hAnsi="inherit" w:cs="Times New Roman"/>
                      <w:sz w:val="24"/>
                      <w:szCs w:val="24"/>
                      <w:lang w:val="et-EE" w:bidi="ar-SA"/>
                    </w:rPr>
                    <w:t xml:space="preserve">, peab tootmismoodul tagama positiivse väljundaktiivvõimsuse muudu vastavalt </w:t>
                  </w:r>
                  <w:proofErr w:type="spellStart"/>
                  <w:r w:rsidRPr="004D5219">
                    <w:rPr>
                      <w:rFonts w:ascii="inherit" w:eastAsia="Times New Roman" w:hAnsi="inherit" w:cs="Times New Roman"/>
                      <w:sz w:val="24"/>
                      <w:szCs w:val="24"/>
                      <w:lang w:val="et-EE" w:bidi="ar-SA"/>
                    </w:rPr>
                    <w:t>statismile</w:t>
                  </w:r>
                  <w:proofErr w:type="spellEnd"/>
                  <w:r w:rsidRPr="004D5219">
                    <w:rPr>
                      <w:rFonts w:ascii="inherit" w:eastAsia="Times New Roman" w:hAnsi="inherit" w:cs="Times New Roman"/>
                      <w:sz w:val="24"/>
                      <w:szCs w:val="24"/>
                      <w:lang w:val="et-EE" w:bidi="ar-SA"/>
                    </w:rPr>
                    <w:t xml:space="preserve"> </w:t>
                  </w:r>
                  <w:r w:rsidRPr="004D5219">
                    <w:rPr>
                      <w:rFonts w:ascii="inherit" w:eastAsia="Times New Roman" w:hAnsi="inherit" w:cs="Times New Roman"/>
                      <w:sz w:val="24"/>
                      <w:szCs w:val="24"/>
                      <w:highlight w:val="cyan"/>
                      <w:lang w:val="et-EE" w:bidi="ar-SA"/>
                    </w:rPr>
                    <w:t>s</w:t>
                  </w:r>
                  <w:r w:rsidRPr="004D5219">
                    <w:rPr>
                      <w:rFonts w:ascii="inherit" w:eastAsia="Times New Roman" w:hAnsi="inherit" w:cs="Times New Roman"/>
                      <w:sz w:val="24"/>
                      <w:szCs w:val="24"/>
                      <w:highlight w:val="cyan"/>
                      <w:vertAlign w:val="subscript"/>
                      <w:lang w:val="et-EE" w:bidi="ar-SA"/>
                    </w:rPr>
                    <w:t>2</w:t>
                  </w:r>
                  <w:r w:rsidR="000B72AF" w:rsidRPr="004D5219">
                    <w:rPr>
                      <w:rFonts w:ascii="inherit" w:eastAsia="Times New Roman" w:hAnsi="inherit" w:cs="Times New Roman"/>
                      <w:sz w:val="24"/>
                      <w:szCs w:val="24"/>
                      <w:highlight w:val="cyan"/>
                      <w:lang w:val="et-EE" w:bidi="ar-SA"/>
                    </w:rPr>
                    <w:t>=5%</w:t>
                  </w:r>
                  <w:r w:rsidRPr="004D5219">
                    <w:rPr>
                      <w:rFonts w:ascii="inherit" w:eastAsia="Times New Roman" w:hAnsi="inherit" w:cs="Times New Roman"/>
                      <w:sz w:val="24"/>
                      <w:szCs w:val="24"/>
                      <w:highlight w:val="cyan"/>
                      <w:lang w:val="et-EE" w:bidi="ar-SA"/>
                    </w:rPr>
                    <w:t>;</w:t>
                  </w:r>
                </w:p>
              </w:tc>
            </w:tr>
          </w:tbl>
          <w:p w14:paraId="2518487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E15CE5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8"/>
        <w:gridCol w:w="9252"/>
      </w:tblGrid>
      <w:tr w:rsidR="008E1A17" w:rsidRPr="004D5219" w14:paraId="5C149F85" w14:textId="77777777" w:rsidTr="008E1A17">
        <w:trPr>
          <w:tblCellSpacing w:w="0" w:type="dxa"/>
        </w:trPr>
        <w:tc>
          <w:tcPr>
            <w:tcW w:w="0" w:type="auto"/>
            <w:hideMark/>
          </w:tcPr>
          <w:p w14:paraId="159A24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556F23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lisaks lõike 2 punktile c kohaldatakse talitlemisel sagedustundlikus talitluses korraga järgmist:</w:t>
            </w:r>
          </w:p>
          <w:tbl>
            <w:tblPr>
              <w:tblW w:w="5000" w:type="pct"/>
              <w:tblCellSpacing w:w="0" w:type="dxa"/>
              <w:tblCellMar>
                <w:left w:w="0" w:type="dxa"/>
                <w:right w:w="0" w:type="dxa"/>
              </w:tblCellMar>
              <w:tblLook w:val="04A0" w:firstRow="1" w:lastRow="0" w:firstColumn="1" w:lastColumn="0" w:noHBand="0" w:noVBand="1"/>
            </w:tblPr>
            <w:tblGrid>
              <w:gridCol w:w="147"/>
              <w:gridCol w:w="9105"/>
            </w:tblGrid>
            <w:tr w:rsidR="008E1A17" w:rsidRPr="00A2039D" w14:paraId="6F9FA68D" w14:textId="77777777">
              <w:trPr>
                <w:tblCellSpacing w:w="0" w:type="dxa"/>
              </w:trPr>
              <w:tc>
                <w:tcPr>
                  <w:tcW w:w="0" w:type="auto"/>
                  <w:hideMark/>
                </w:tcPr>
                <w:p w14:paraId="23B829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B1BABF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peab suutma tagada aktiivvõimsuse sageduskaja vastavalt näitajatele, mille on kindlaks määranud iga asjaomane põhivõrguettevõtja vastavalt tabelis 4 esitatud vahemikele. Selliste näitajate täpsustamisel peab asjaomane põhivõrguettevõtja võtma arvesse järgmist:</w:t>
                  </w:r>
                </w:p>
                <w:tbl>
                  <w:tblPr>
                    <w:tblW w:w="5000" w:type="pct"/>
                    <w:tblCellSpacing w:w="0" w:type="dxa"/>
                    <w:tblCellMar>
                      <w:left w:w="0" w:type="dxa"/>
                      <w:right w:w="0" w:type="dxa"/>
                    </w:tblCellMar>
                    <w:tblLook w:val="04A0" w:firstRow="1" w:lastRow="0" w:firstColumn="1" w:lastColumn="0" w:noHBand="0" w:noVBand="1"/>
                  </w:tblPr>
                  <w:tblGrid>
                    <w:gridCol w:w="240"/>
                    <w:gridCol w:w="8865"/>
                  </w:tblGrid>
                  <w:tr w:rsidR="008E1A17" w:rsidRPr="00A2039D" w14:paraId="78560080" w14:textId="77777777">
                    <w:trPr>
                      <w:tblCellSpacing w:w="0" w:type="dxa"/>
                    </w:trPr>
                    <w:tc>
                      <w:tcPr>
                        <w:tcW w:w="0" w:type="auto"/>
                        <w:hideMark/>
                      </w:tcPr>
                      <w:p w14:paraId="1FA13E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7F90C3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ülesageduse</w:t>
                        </w:r>
                        <w:proofErr w:type="spellEnd"/>
                        <w:r w:rsidRPr="004D5219">
                          <w:rPr>
                            <w:rFonts w:ascii="inherit" w:eastAsia="Times New Roman" w:hAnsi="inherit" w:cs="Times New Roman"/>
                            <w:sz w:val="24"/>
                            <w:szCs w:val="24"/>
                            <w:lang w:val="et-EE" w:bidi="ar-SA"/>
                          </w:rPr>
                          <w:t xml:space="preserve"> korral on aktiivvõimsuse sageduskaja piiratud minimaalse reguleerimistasemega;</w:t>
                        </w:r>
                      </w:p>
                    </w:tc>
                  </w:tr>
                </w:tbl>
                <w:p w14:paraId="165E37F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838"/>
                  </w:tblGrid>
                  <w:tr w:rsidR="008E1A17" w:rsidRPr="00A2039D" w14:paraId="501A0826" w14:textId="77777777">
                    <w:trPr>
                      <w:tblCellSpacing w:w="0" w:type="dxa"/>
                    </w:trPr>
                    <w:tc>
                      <w:tcPr>
                        <w:tcW w:w="0" w:type="auto"/>
                        <w:hideMark/>
                      </w:tcPr>
                      <w:p w14:paraId="3796F11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4AC46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alasageduse korral on aktiivvõimsuse sageduskaja piiratud maksimumvõimsusega;</w:t>
                        </w:r>
                      </w:p>
                    </w:tc>
                  </w:tr>
                </w:tbl>
                <w:p w14:paraId="11B77D9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65"/>
                  </w:tblGrid>
                  <w:tr w:rsidR="008E1A17" w:rsidRPr="00A2039D" w14:paraId="44C010CA" w14:textId="77777777">
                    <w:trPr>
                      <w:tblCellSpacing w:w="0" w:type="dxa"/>
                    </w:trPr>
                    <w:tc>
                      <w:tcPr>
                        <w:tcW w:w="0" w:type="auto"/>
                        <w:hideMark/>
                      </w:tcPr>
                      <w:p w14:paraId="475AA16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AEF2DE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tegelik aktiivvõimsuse sageduskaja sõltub tootmismooduli talitlustingimustest ja ümbritseva keskkonna tingimustest kaja aktiveerimisel, eelkõige talitluspiirangutest väikestel sagedustel maksimumvõimsuse lähedal vastavalt artikli 13 lõigetele 4 ja 5, ning kättesaadavatest </w:t>
                        </w:r>
                        <w:proofErr w:type="spellStart"/>
                        <w:r w:rsidRPr="004D5219">
                          <w:rPr>
                            <w:rFonts w:ascii="inherit" w:eastAsia="Times New Roman" w:hAnsi="inherit" w:cs="Times New Roman"/>
                            <w:sz w:val="24"/>
                            <w:szCs w:val="24"/>
                            <w:lang w:val="et-EE" w:bidi="ar-SA"/>
                          </w:rPr>
                          <w:t>primaarenergiaallikatest</w:t>
                        </w:r>
                        <w:proofErr w:type="spellEnd"/>
                        <w:r w:rsidRPr="004D5219">
                          <w:rPr>
                            <w:rFonts w:ascii="inherit" w:eastAsia="Times New Roman" w:hAnsi="inherit" w:cs="Times New Roman"/>
                            <w:sz w:val="24"/>
                            <w:szCs w:val="24"/>
                            <w:lang w:val="et-EE" w:bidi="ar-SA"/>
                          </w:rPr>
                          <w:t>.</w:t>
                        </w:r>
                      </w:p>
                    </w:tc>
                  </w:tr>
                </w:tbl>
                <w:p w14:paraId="7518AA4B"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04DA32FC"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2C626AB6"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7FF81E72"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76FD4485"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796EC89E"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41E1D10A" w14:textId="77777777" w:rsidR="004812B6" w:rsidRDefault="004812B6" w:rsidP="008E1A17">
                  <w:pPr>
                    <w:widowControl/>
                    <w:autoSpaceDE/>
                    <w:autoSpaceDN/>
                    <w:spacing w:before="120" w:after="120"/>
                    <w:jc w:val="center"/>
                    <w:rPr>
                      <w:rFonts w:ascii="inherit" w:eastAsia="Times New Roman" w:hAnsi="inherit" w:cs="Times New Roman"/>
                      <w:i/>
                      <w:iCs/>
                      <w:sz w:val="24"/>
                      <w:szCs w:val="24"/>
                      <w:highlight w:val="cyan"/>
                      <w:lang w:val="et-EE" w:bidi="ar-SA"/>
                    </w:rPr>
                  </w:pPr>
                </w:p>
                <w:p w14:paraId="1750FF8F" w14:textId="2A134F9C"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highlight w:val="cyan"/>
                      <w:lang w:val="et-EE" w:bidi="ar-SA"/>
                    </w:rPr>
                    <w:t>Tabel 4</w:t>
                  </w:r>
                </w:p>
                <w:p w14:paraId="1968D330"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612"/>
                    <w:gridCol w:w="2509"/>
                    <w:gridCol w:w="1968"/>
                  </w:tblGrid>
                  <w:tr w:rsidR="008E1A17" w:rsidRPr="004D5219" w14:paraId="3A3EF1AD"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57AA1CA"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2C9DBBEB"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Vahemikud</w:t>
                        </w:r>
                      </w:p>
                    </w:tc>
                  </w:tr>
                  <w:tr w:rsidR="008E1A17" w:rsidRPr="004D5219" w14:paraId="32B5FF33"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CA4261" w14:textId="77777777" w:rsidR="008E1A17" w:rsidRPr="004D5219" w:rsidRDefault="008E1A17" w:rsidP="008E1A17">
                        <w:pPr>
                          <w:widowControl/>
                          <w:autoSpaceDE/>
                          <w:autoSpaceDN/>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muut maksimumvõimsuse suhtes</w:t>
                        </w:r>
                      </w:p>
                      <w:p w14:paraId="3961567C" w14:textId="04767F1C" w:rsidR="008E1A17" w:rsidRPr="004D5219" w:rsidRDefault="008E1A17" w:rsidP="008E1A17">
                        <w:pPr>
                          <w:widowControl/>
                          <w:autoSpaceDE/>
                          <w:autoSpaceDN/>
                          <w:spacing w:before="100" w:beforeAutospacing="1" w:after="100" w:afterAutospacing="1"/>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"https://eur-lex.europa.eu/resource.html?uri=uriserv:OJ.L_.2016.112.FULL.EST.xhtml.FOR-L_2016112ET.01000101.notes.0001.xml.jpg" \* MERGEFORMATINET </w:instrText>
                        </w:r>
                        <w:r w:rsidRPr="004D5219">
                          <w:rPr>
                            <w:rFonts w:ascii="inherit" w:eastAsia="Times New Roman" w:hAnsi="inherit" w:cs="Times New Roman"/>
                            <w:sz w:val="24"/>
                            <w:szCs w:val="24"/>
                            <w:lang w:val="et-EE" w:bidi="ar-SA"/>
                          </w:rPr>
                          <w:fldChar w:fldCharType="separate"/>
                        </w:r>
                        <w:r w:rsidRPr="004D5219">
                          <w:rPr>
                            <w:rFonts w:ascii="inherit" w:eastAsia="Times New Roman" w:hAnsi="inherit" w:cs="Times New Roman"/>
                            <w:noProof/>
                            <w:sz w:val="24"/>
                            <w:szCs w:val="24"/>
                            <w:lang w:val="et-EE" w:eastAsia="et-EE" w:bidi="ar-SA"/>
                          </w:rPr>
                          <w:drawing>
                            <wp:inline distT="0" distB="0" distL="0" distR="0" wp14:anchorId="3DEFE88E" wp14:editId="34142905">
                              <wp:extent cx="803910" cy="736600"/>
                              <wp:effectExtent l="0" t="0" r="0" b="0"/>
                              <wp:docPr id="46" name="Picture 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736600"/>
                                      </a:xfrm>
                                      <a:prstGeom prst="rect">
                                        <a:avLst/>
                                      </a:prstGeom>
                                      <a:noFill/>
                                      <a:ln>
                                        <a:noFill/>
                                      </a:ln>
                                    </pic:spPr>
                                  </pic:pic>
                                </a:graphicData>
                              </a:graphic>
                            </wp:inline>
                          </w:drawing>
                        </w:r>
                        <w:r w:rsidRPr="004D5219">
                          <w:rPr>
                            <w:rFonts w:ascii="inherit" w:eastAsia="Times New Roman" w:hAnsi="inherit" w:cs="Times New Roman"/>
                            <w:sz w:val="24"/>
                            <w:szCs w:val="24"/>
                            <w:lang w:val="et-EE" w:bidi="ar-SA"/>
                          </w:rPr>
                          <w:fldChar w:fldCharType="end"/>
                        </w:r>
                      </w:p>
                    </w:tc>
                    <w:tc>
                      <w:tcPr>
                        <w:tcW w:w="0" w:type="auto"/>
                        <w:tcBorders>
                          <w:top w:val="single" w:sz="6" w:space="0" w:color="000000"/>
                          <w:left w:val="single" w:sz="6" w:space="0" w:color="000000"/>
                          <w:bottom w:val="single" w:sz="6" w:space="0" w:color="000000"/>
                          <w:right w:val="single" w:sz="6" w:space="0" w:color="000000"/>
                        </w:tcBorders>
                        <w:hideMark/>
                      </w:tcPr>
                      <w:p w14:paraId="663FA551" w14:textId="2560A9CD" w:rsidR="008E1A17" w:rsidRPr="004D5219" w:rsidRDefault="008E1A17" w:rsidP="007A2D60">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10 %</w:t>
                        </w:r>
                      </w:p>
                    </w:tc>
                  </w:tr>
                  <w:tr w:rsidR="008E1A17" w:rsidRPr="004D5219" w14:paraId="5E37519B"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B0C1B2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Sageduskaja tundetus</w:t>
                        </w:r>
                      </w:p>
                    </w:tc>
                    <w:tc>
                      <w:tcPr>
                        <w:tcW w:w="0" w:type="auto"/>
                        <w:tcBorders>
                          <w:top w:val="single" w:sz="6" w:space="0" w:color="000000"/>
                          <w:left w:val="single" w:sz="6" w:space="0" w:color="000000"/>
                          <w:bottom w:val="single" w:sz="6" w:space="0" w:color="000000"/>
                          <w:right w:val="single" w:sz="6" w:space="0" w:color="000000"/>
                        </w:tcBorders>
                        <w:hideMark/>
                      </w:tcPr>
                      <w:p w14:paraId="6A7A4F8D" w14:textId="50A3787B" w:rsidR="008E1A17" w:rsidRPr="004D5219" w:rsidRDefault="008E1A17" w:rsidP="008E1A17">
                        <w:pPr>
                          <w:widowControl/>
                          <w:autoSpaceDE/>
                          <w:autoSpaceDN/>
                          <w:spacing w:before="100" w:beforeAutospacing="1" w:after="100" w:afterAutospacing="1"/>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"https://eur-lex.europa.eu/resource.html?uri=uriserv:OJ.L_.2016.112.FULL.EST.xhtml.FOR-L_2016112ET.01000101.notes.0002.xml.jpg" \* MERGEFORMATINET </w:instrText>
                        </w:r>
                        <w:r w:rsidRPr="004D5219">
                          <w:rPr>
                            <w:rFonts w:ascii="inherit" w:eastAsia="Times New Roman" w:hAnsi="inherit" w:cs="Times New Roman"/>
                            <w:sz w:val="24"/>
                            <w:szCs w:val="24"/>
                            <w:lang w:val="et-EE" w:bidi="ar-SA"/>
                          </w:rPr>
                          <w:fldChar w:fldCharType="separate"/>
                        </w:r>
                        <w:r w:rsidRPr="004D5219">
                          <w:rPr>
                            <w:rFonts w:ascii="inherit" w:eastAsia="Times New Roman" w:hAnsi="inherit" w:cs="Times New Roman"/>
                            <w:noProof/>
                            <w:sz w:val="24"/>
                            <w:szCs w:val="24"/>
                            <w:lang w:val="et-EE" w:eastAsia="et-EE" w:bidi="ar-SA"/>
                          </w:rPr>
                          <w:drawing>
                            <wp:inline distT="0" distB="0" distL="0" distR="0" wp14:anchorId="37B95A71" wp14:editId="389BEB6D">
                              <wp:extent cx="582930" cy="393065"/>
                              <wp:effectExtent l="0" t="0" r="1270" b="635"/>
                              <wp:docPr id="45" name="Picture 4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 cy="393065"/>
                                      </a:xfrm>
                                      <a:prstGeom prst="rect">
                                        <a:avLst/>
                                      </a:prstGeom>
                                      <a:noFill/>
                                      <a:ln>
                                        <a:noFill/>
                                      </a:ln>
                                    </pic:spPr>
                                  </pic:pic>
                                </a:graphicData>
                              </a:graphic>
                            </wp:inline>
                          </w:drawing>
                        </w:r>
                        <w:r w:rsidRPr="004D5219">
                          <w:rPr>
                            <w:rFonts w:ascii="inherit" w:eastAsia="Times New Roman" w:hAnsi="inherit" w:cs="Times New Roman"/>
                            <w:sz w:val="24"/>
                            <w:szCs w:val="24"/>
                            <w:lang w:val="et-EE" w:bidi="ar-SA"/>
                          </w:rPr>
                          <w:fldChar w:fldCharType="end"/>
                        </w:r>
                      </w:p>
                    </w:tc>
                    <w:tc>
                      <w:tcPr>
                        <w:tcW w:w="0" w:type="auto"/>
                        <w:tcBorders>
                          <w:top w:val="single" w:sz="6" w:space="0" w:color="000000"/>
                          <w:left w:val="single" w:sz="6" w:space="0" w:color="000000"/>
                          <w:bottom w:val="single" w:sz="6" w:space="0" w:color="000000"/>
                          <w:right w:val="single" w:sz="6" w:space="0" w:color="000000"/>
                        </w:tcBorders>
                        <w:hideMark/>
                      </w:tcPr>
                      <w:p w14:paraId="714AD0C0" w14:textId="085ED60C" w:rsidR="008E1A17" w:rsidRPr="004D5219" w:rsidRDefault="008E1A17" w:rsidP="007A2D60">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10mHz</w:t>
                        </w:r>
                      </w:p>
                    </w:tc>
                  </w:tr>
                  <w:tr w:rsidR="008E1A17" w:rsidRPr="00A2039D" w14:paraId="6A722BB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428AE4"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12D70FAB" w14:textId="1843267A" w:rsidR="008E1A17" w:rsidRPr="004D5219" w:rsidRDefault="008E1A17" w:rsidP="008E1A17">
                        <w:pPr>
                          <w:widowControl/>
                          <w:autoSpaceDE/>
                          <w:autoSpaceDN/>
                          <w:spacing w:before="100" w:beforeAutospacing="1" w:after="100" w:afterAutospacing="1"/>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"https://eur-lex.europa.eu/resource.html?uri=uriserv:OJ.L_.2016.112.FULL.EST.xhtml.FOR-L_2016112ET.01000101.notes.0003.xml.jpg" \* MERGEFORMATINET </w:instrText>
                        </w:r>
                        <w:r w:rsidRPr="004D5219">
                          <w:rPr>
                            <w:rFonts w:ascii="inherit" w:eastAsia="Times New Roman" w:hAnsi="inherit" w:cs="Times New Roman"/>
                            <w:sz w:val="24"/>
                            <w:szCs w:val="24"/>
                            <w:lang w:val="et-EE" w:bidi="ar-SA"/>
                          </w:rPr>
                          <w:fldChar w:fldCharType="separate"/>
                        </w:r>
                        <w:r w:rsidRPr="004D5219">
                          <w:rPr>
                            <w:rFonts w:ascii="inherit" w:eastAsia="Times New Roman" w:hAnsi="inherit" w:cs="Times New Roman"/>
                            <w:noProof/>
                            <w:sz w:val="24"/>
                            <w:szCs w:val="24"/>
                            <w:lang w:val="et-EE" w:eastAsia="et-EE" w:bidi="ar-SA"/>
                          </w:rPr>
                          <w:drawing>
                            <wp:inline distT="0" distB="0" distL="0" distR="0" wp14:anchorId="5CCF6622" wp14:editId="49352E6F">
                              <wp:extent cx="644525" cy="736600"/>
                              <wp:effectExtent l="0" t="0" r="3175" b="0"/>
                              <wp:docPr id="44" name="Picture 4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525" cy="736600"/>
                                      </a:xfrm>
                                      <a:prstGeom prst="rect">
                                        <a:avLst/>
                                      </a:prstGeom>
                                      <a:noFill/>
                                      <a:ln>
                                        <a:noFill/>
                                      </a:ln>
                                    </pic:spPr>
                                  </pic:pic>
                                </a:graphicData>
                              </a:graphic>
                            </wp:inline>
                          </w:drawing>
                        </w:r>
                        <w:r w:rsidRPr="004D5219">
                          <w:rPr>
                            <w:rFonts w:ascii="inherit" w:eastAsia="Times New Roman" w:hAnsi="inherit" w:cs="Times New Roman"/>
                            <w:sz w:val="24"/>
                            <w:szCs w:val="24"/>
                            <w:lang w:val="et-EE" w:bidi="ar-SA"/>
                          </w:rPr>
                          <w:fldChar w:fldCharType="end"/>
                        </w:r>
                      </w:p>
                    </w:tc>
                    <w:tc>
                      <w:tcPr>
                        <w:tcW w:w="0" w:type="auto"/>
                        <w:tcBorders>
                          <w:top w:val="single" w:sz="6" w:space="0" w:color="000000"/>
                          <w:left w:val="single" w:sz="6" w:space="0" w:color="000000"/>
                          <w:bottom w:val="single" w:sz="6" w:space="0" w:color="000000"/>
                          <w:right w:val="single" w:sz="6" w:space="0" w:color="000000"/>
                        </w:tcBorders>
                        <w:hideMark/>
                      </w:tcPr>
                      <w:p w14:paraId="5F80C77F" w14:textId="39464328" w:rsidR="008E1A17" w:rsidRPr="004D5219" w:rsidRDefault="008E1A17" w:rsidP="007A2D60">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0,02%</w:t>
                        </w:r>
                      </w:p>
                    </w:tc>
                  </w:tr>
                  <w:tr w:rsidR="008E1A17" w:rsidRPr="00A2039D" w14:paraId="2F88190A"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90366B1"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5287670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0–500 </w:t>
                        </w:r>
                        <w:proofErr w:type="spellStart"/>
                        <w:r w:rsidRPr="004D5219">
                          <w:rPr>
                            <w:rFonts w:ascii="inherit" w:eastAsia="Times New Roman" w:hAnsi="inherit" w:cs="Times New Roman"/>
                            <w:lang w:val="et-EE" w:bidi="ar-SA"/>
                          </w:rPr>
                          <w:t>mHz</w:t>
                        </w:r>
                        <w:proofErr w:type="spellEnd"/>
                      </w:p>
                    </w:tc>
                  </w:tr>
                  <w:tr w:rsidR="008E1A17" w:rsidRPr="00A2039D" w14:paraId="3F05CA09"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3354F88"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Statism</w:t>
                        </w:r>
                        <w:proofErr w:type="spellEnd"/>
                        <w:r w:rsidRPr="004D5219">
                          <w:rPr>
                            <w:rFonts w:ascii="inherit" w:eastAsia="Times New Roman" w:hAnsi="inherit" w:cs="Times New Roman"/>
                            <w:lang w:val="et-EE" w:bidi="ar-SA"/>
                          </w:rPr>
                          <w:t> </w:t>
                        </w:r>
                        <w:r w:rsidRPr="004D5219">
                          <w:rPr>
                            <w:rFonts w:ascii="inherit" w:eastAsia="Times New Roman" w:hAnsi="inherit" w:cs="Times New Roman"/>
                            <w:i/>
                            <w:iCs/>
                            <w:lang w:val="et-EE" w:bidi="ar-SA"/>
                          </w:rPr>
                          <w:t>s</w:t>
                        </w:r>
                        <w:r w:rsidRPr="004D5219">
                          <w:rPr>
                            <w:rFonts w:ascii="inherit" w:eastAsia="Times New Roman" w:hAnsi="inherit" w:cs="Times New Roman"/>
                            <w:lang w:val="et-EE" w:bidi="ar-SA"/>
                          </w:rPr>
                          <w:t> </w:t>
                        </w:r>
                        <w:r w:rsidRPr="004D5219">
                          <w:rPr>
                            <w:rFonts w:ascii="inherit" w:eastAsia="Times New Roman" w:hAnsi="inherit" w:cs="Times New Roman"/>
                            <w:sz w:val="15"/>
                            <w:szCs w:val="15"/>
                            <w:vertAlign w:val="subscript"/>
                            <w:lang w:val="et-EE" w:bidi="ar-SA"/>
                          </w:rPr>
                          <w:t>1</w:t>
                        </w:r>
                      </w:p>
                    </w:tc>
                    <w:tc>
                      <w:tcPr>
                        <w:tcW w:w="0" w:type="auto"/>
                        <w:tcBorders>
                          <w:top w:val="single" w:sz="6" w:space="0" w:color="000000"/>
                          <w:left w:val="single" w:sz="6" w:space="0" w:color="000000"/>
                          <w:bottom w:val="single" w:sz="6" w:space="0" w:color="000000"/>
                          <w:right w:val="single" w:sz="6" w:space="0" w:color="000000"/>
                        </w:tcBorders>
                        <w:hideMark/>
                      </w:tcPr>
                      <w:p w14:paraId="7F38BF0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2–12 %</w:t>
                        </w:r>
                      </w:p>
                    </w:tc>
                  </w:tr>
                </w:tbl>
                <w:p w14:paraId="5C248838"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5</w:t>
                  </w:r>
                </w:p>
                <w:p w14:paraId="6F40C6B9" w14:textId="77777777" w:rsidR="006731E9" w:rsidRPr="004D5219" w:rsidRDefault="006731E9" w:rsidP="006731E9">
                  <w:pPr>
                    <w:pStyle w:val="ti-grseq-1"/>
                    <w:spacing w:before="240" w:beforeAutospacing="0" w:after="120" w:afterAutospacing="0"/>
                    <w:jc w:val="both"/>
                    <w:rPr>
                      <w:rFonts w:ascii="inherit" w:hAnsi="inherit"/>
                      <w:b/>
                      <w:bCs/>
                      <w:lang w:val="et-EE"/>
                    </w:rPr>
                  </w:pPr>
                  <w:r w:rsidRPr="004D5219">
                    <w:rPr>
                      <w:rStyle w:val="bold"/>
                      <w:rFonts w:ascii="inherit" w:hAnsi="inherit"/>
                      <w:b/>
                      <w:bCs/>
                      <w:lang w:val="et-EE"/>
                    </w:rPr>
                    <w:t xml:space="preserve">Tootmismoodulite aktiivvõimsuse sageduskaja sagedustundlikus talitluses; näidatud on juht, kus tundetuspiirkond on </w:t>
                  </w:r>
                  <w:r w:rsidRPr="004D5219">
                    <w:rPr>
                      <w:rStyle w:val="bold"/>
                      <w:rFonts w:ascii="inherit" w:hAnsi="inherit"/>
                      <w:b/>
                      <w:bCs/>
                      <w:highlight w:val="cyan"/>
                      <w:lang w:val="et-EE"/>
                    </w:rPr>
                    <w:t xml:space="preserve">vahemikus +/-500 </w:t>
                  </w:r>
                  <w:proofErr w:type="spellStart"/>
                  <w:r w:rsidRPr="004D5219">
                    <w:rPr>
                      <w:rStyle w:val="bold"/>
                      <w:rFonts w:ascii="inherit" w:hAnsi="inherit"/>
                      <w:b/>
                      <w:bCs/>
                      <w:highlight w:val="cyan"/>
                      <w:lang w:val="et-EE"/>
                    </w:rPr>
                    <w:t>mHz</w:t>
                  </w:r>
                  <w:proofErr w:type="spellEnd"/>
                </w:p>
                <w:p w14:paraId="653826AA" w14:textId="440BBB2A" w:rsidR="008E1A17" w:rsidRPr="004D5219" w:rsidRDefault="008E1A17" w:rsidP="006731E9">
                  <w:pPr>
                    <w:widowControl/>
                    <w:autoSpaceDE/>
                    <w:autoSpaceDN/>
                    <w:jc w:val="center"/>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"https://eur-lex.europa.eu/resource.html?uri=uriserv:OJ.L_.2016.112.FULL.EST.xhtml.L_2016112ET.01002301.tif.jpg" \* MERGEFORMATINET </w:instrText>
                  </w:r>
                  <w:r w:rsidRPr="004D5219">
                    <w:rPr>
                      <w:rFonts w:ascii="inherit" w:eastAsia="Times New Roman" w:hAnsi="inherit" w:cs="Times New Roman"/>
                      <w:sz w:val="24"/>
                      <w:szCs w:val="24"/>
                      <w:lang w:val="et-EE" w:bidi="ar-SA"/>
                    </w:rPr>
                    <w:fldChar w:fldCharType="separate"/>
                  </w:r>
                  <w:r w:rsidR="008D709D" w:rsidRPr="004D5219">
                    <w:rPr>
                      <w:rFonts w:ascii="inherit" w:eastAsia="Times New Roman" w:hAnsi="inherit"/>
                      <w:noProof/>
                      <w:lang w:val="et-EE"/>
                    </w:rPr>
                    <w:object w:dxaOrig="8518" w:dyaOrig="6249" w14:anchorId="4DFED3AF">
                      <v:shape id="_x0000_i1030" type="#_x0000_t75" alt="" style="width:346.25pt;height:252pt;mso-width-percent:0;mso-height-percent:0;mso-width-percent:0;mso-height-percent:0" o:ole="">
                        <v:imagedata r:id="rId24" o:title=""/>
                      </v:shape>
                      <o:OLEObject Type="Embed" ProgID="Visio.Drawing.11" ShapeID="_x0000_i1030" DrawAspect="Content" ObjectID="_1633352378" r:id="rId25"/>
                    </w:object>
                  </w:r>
                  <w:r w:rsidRPr="004D5219">
                    <w:rPr>
                      <w:rFonts w:ascii="inherit" w:eastAsia="Times New Roman" w:hAnsi="inherit" w:cs="Times New Roman"/>
                      <w:sz w:val="24"/>
                      <w:szCs w:val="24"/>
                      <w:lang w:val="et-EE" w:bidi="ar-SA"/>
                    </w:rPr>
                    <w:fldChar w:fldCharType="end"/>
                  </w:r>
                </w:p>
                <w:p w14:paraId="3630224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ref</w:t>
                  </w:r>
                  <w:proofErr w:type="spellEnd"/>
                  <w:r w:rsidRPr="004D5219">
                    <w:rPr>
                      <w:rFonts w:ascii="inherit" w:eastAsia="Times New Roman" w:hAnsi="inherit" w:cs="Times New Roman"/>
                      <w:sz w:val="24"/>
                      <w:szCs w:val="24"/>
                      <w:lang w:val="et-EE" w:bidi="ar-SA"/>
                    </w:rPr>
                    <w:t xml:space="preserve"> on aktiivvõimsuse baasväärtus, mille suhtes arvutatakse võimsuse muut ΔΡ. ΔΡ on tootmismooduli väljundaktiivvõimsuse muut. </w:t>
                  </w:r>
                  <w:proofErr w:type="spellStart"/>
                  <w:r w:rsidRPr="004D5219">
                    <w:rPr>
                      <w:rFonts w:ascii="inherit" w:eastAsia="Times New Roman" w:hAnsi="inherit" w:cs="Times New Roman"/>
                      <w:sz w:val="24"/>
                      <w:szCs w:val="24"/>
                      <w:lang w:val="et-EE" w:bidi="ar-SA"/>
                    </w:rPr>
                    <w:t>f</w:t>
                  </w:r>
                  <w:r w:rsidRPr="004D5219">
                    <w:rPr>
                      <w:rFonts w:ascii="inherit" w:eastAsia="Times New Roman" w:hAnsi="inherit" w:cs="Times New Roman"/>
                      <w:sz w:val="17"/>
                      <w:szCs w:val="17"/>
                      <w:vertAlign w:val="subscript"/>
                      <w:lang w:val="et-EE" w:bidi="ar-SA"/>
                    </w:rPr>
                    <w:t>n</w:t>
                  </w:r>
                  <w:proofErr w:type="spellEnd"/>
                  <w:r w:rsidRPr="004D5219">
                    <w:rPr>
                      <w:rFonts w:ascii="inherit" w:eastAsia="Times New Roman" w:hAnsi="inherit" w:cs="Times New Roman"/>
                      <w:sz w:val="24"/>
                      <w:szCs w:val="24"/>
                      <w:lang w:val="et-EE" w:bidi="ar-SA"/>
                    </w:rPr>
                    <w:t xml:space="preserve"> on võrgu nimisagedus (50 Hz) ja </w:t>
                  </w:r>
                  <w:proofErr w:type="spellStart"/>
                  <w:r w:rsidRPr="004D5219">
                    <w:rPr>
                      <w:rFonts w:ascii="inherit" w:eastAsia="Times New Roman" w:hAnsi="inherit" w:cs="Times New Roman"/>
                      <w:sz w:val="24"/>
                      <w:szCs w:val="24"/>
                      <w:lang w:val="et-EE" w:bidi="ar-SA"/>
                    </w:rPr>
                    <w:t>Δf</w:t>
                  </w:r>
                  <w:proofErr w:type="spellEnd"/>
                  <w:r w:rsidRPr="004D5219">
                    <w:rPr>
                      <w:rFonts w:ascii="inherit" w:eastAsia="Times New Roman" w:hAnsi="inherit" w:cs="Times New Roman"/>
                      <w:sz w:val="24"/>
                      <w:szCs w:val="24"/>
                      <w:lang w:val="et-EE" w:bidi="ar-SA"/>
                    </w:rPr>
                    <w:t xml:space="preserve"> on võrgu sageduse kõrvalekalle;</w:t>
                  </w:r>
                </w:p>
              </w:tc>
            </w:tr>
          </w:tbl>
          <w:p w14:paraId="5AC5683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8"/>
            </w:tblGrid>
            <w:tr w:rsidR="008E1A17" w:rsidRPr="00A2039D" w14:paraId="7F94E727" w14:textId="77777777">
              <w:trPr>
                <w:tblCellSpacing w:w="0" w:type="dxa"/>
              </w:trPr>
              <w:tc>
                <w:tcPr>
                  <w:tcW w:w="0" w:type="auto"/>
                  <w:hideMark/>
                </w:tcPr>
                <w:p w14:paraId="623C86C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ii)</w:t>
                  </w:r>
                </w:p>
              </w:tc>
              <w:tc>
                <w:tcPr>
                  <w:tcW w:w="0" w:type="auto"/>
                  <w:hideMark/>
                </w:tcPr>
                <w:p w14:paraId="470AAC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sageduse kõrvalekalde sageduskaja tundetuspiirkonda ja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peab saama hiljem korduvalt uuesti valida;</w:t>
                  </w:r>
                </w:p>
              </w:tc>
            </w:tr>
          </w:tbl>
          <w:p w14:paraId="0E74AE7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2"/>
            </w:tblGrid>
            <w:tr w:rsidR="008E1A17" w:rsidRPr="00A2039D" w14:paraId="3A38DBE2" w14:textId="77777777">
              <w:trPr>
                <w:tblCellSpacing w:w="0" w:type="dxa"/>
              </w:trPr>
              <w:tc>
                <w:tcPr>
                  <w:tcW w:w="0" w:type="auto"/>
                  <w:hideMark/>
                </w:tcPr>
                <w:p w14:paraId="2D55E9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53E2ADF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astmelisel muutumisel peab tootmismoodul olema suuteline aktiveerima aktiivvõimsuse sageduskaja täies ulatuses nii, et see on kas võrdne pidevjoonele joonisel 6 vastavate väärtustega või neist suurem, vastavalt iga põhivõrguettevõtja kindlaks määratud näitajatele tabelis 5 osutatud piirides (eesmärgiga vältida tootmismooduli aktiivvõimsuse võnkumisi). Põhivõrguettevõtja kindlaks määratud näitajate valik peab vastama tehnilisest lahendusest tingitud piirangutele;</w:t>
                  </w:r>
                </w:p>
              </w:tc>
            </w:tr>
          </w:tbl>
          <w:p w14:paraId="3258504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4"/>
              <w:gridCol w:w="8988"/>
            </w:tblGrid>
            <w:tr w:rsidR="008E1A17" w:rsidRPr="00A2039D" w14:paraId="5EF8A174" w14:textId="77777777">
              <w:trPr>
                <w:tblCellSpacing w:w="0" w:type="dxa"/>
              </w:trPr>
              <w:tc>
                <w:tcPr>
                  <w:tcW w:w="0" w:type="auto"/>
                  <w:hideMark/>
                </w:tcPr>
                <w:p w14:paraId="010DAD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04B4E1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sageduskaja algaktiveerimine ei tohi põhjuseta viibida.</w:t>
                  </w:r>
                </w:p>
                <w:p w14:paraId="2A390FA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Kui aktiivvõimsuse sageduskaja algaktiveerimise viivitus on pikem kui kaks sekundit, peab tootmisüksuse omanik esitama selle kohta tehnilise põhjenduse.</w:t>
                  </w:r>
                </w:p>
                <w:p w14:paraId="6A1A65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Inertsita tootmismoodulite jaoks võib asjaomane põhivõrguettevõtja kehtestada lühema aja kui kaks sekundit. Kui tootmisüksuse omanik ei saa täita seda nõuet, tuleb tal esitada tehniline põhjendus, miks on vaja rohkem aega aktiivvõimsuse sageduskaja algaktiveerimiseks.</w:t>
                  </w:r>
                </w:p>
                <w:p w14:paraId="11A45792"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6</w:t>
                  </w:r>
                </w:p>
                <w:p w14:paraId="68C026BF"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Aktiivvõimsuse sageduskaja suutlikkus</w:t>
                  </w:r>
                </w:p>
                <w:p w14:paraId="2E9B5BC2" w14:textId="3DB82F20" w:rsidR="008E1A17" w:rsidRPr="004D5219" w:rsidRDefault="008E1A17" w:rsidP="008E1A17">
                  <w:pPr>
                    <w:widowControl/>
                    <w:autoSpaceDE/>
                    <w:autoSpaceDN/>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"https://eur-lex.europa.eu/resource.html?uri=uriserv:OJ.L_.2016.112.FULL.EST.xhtml.L_2016112ET.01002401.tif.jpg" \* MERGEFORMATINET </w:instrText>
                  </w:r>
                  <w:r w:rsidRPr="004D5219">
                    <w:rPr>
                      <w:rFonts w:ascii="inherit" w:eastAsia="Times New Roman" w:hAnsi="inherit" w:cs="Times New Roman"/>
                      <w:sz w:val="24"/>
                      <w:szCs w:val="24"/>
                      <w:lang w:val="et-EE" w:bidi="ar-SA"/>
                    </w:rPr>
                    <w:fldChar w:fldCharType="separate"/>
                  </w:r>
                  <w:r w:rsidR="008D709D" w:rsidRPr="004D5219">
                    <w:rPr>
                      <w:rFonts w:ascii="inherit" w:eastAsia="Times New Roman" w:hAnsi="inherit"/>
                      <w:noProof/>
                      <w:lang w:val="et-EE"/>
                    </w:rPr>
                    <w:object w:dxaOrig="9075" w:dyaOrig="6765" w14:anchorId="3566A441">
                      <v:shape id="_x0000_i1031" type="#_x0000_t75" alt="" style="width:454.9pt;height:337.1pt;mso-width-percent:0;mso-height-percent:0;mso-width-percent:0;mso-height-percent:0" o:ole="">
                        <v:imagedata r:id="rId26" o:title=""/>
                      </v:shape>
                      <o:OLEObject Type="Embed" ProgID="Visio.Drawing.11" ShapeID="_x0000_i1031" DrawAspect="Content" ObjectID="_1633352379" r:id="rId27"/>
                    </w:object>
                  </w:r>
                  <w:r w:rsidRPr="004D5219">
                    <w:rPr>
                      <w:rFonts w:ascii="inherit" w:eastAsia="Times New Roman" w:hAnsi="inherit" w:cs="Times New Roman"/>
                      <w:sz w:val="24"/>
                      <w:szCs w:val="24"/>
                      <w:lang w:val="et-EE" w:bidi="ar-SA"/>
                    </w:rPr>
                    <w:fldChar w:fldCharType="end"/>
                  </w:r>
                </w:p>
                <w:p w14:paraId="191BEA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i/>
                      <w:iCs/>
                      <w:sz w:val="24"/>
                      <w:szCs w:val="24"/>
                      <w:lang w:val="et-EE" w:bidi="ar-SA"/>
                    </w:rPr>
                    <w:t>P</w:t>
                  </w:r>
                  <w:r w:rsidRPr="004D5219">
                    <w:rPr>
                      <w:rFonts w:ascii="inherit" w:eastAsia="Times New Roman" w:hAnsi="inherit" w:cs="Times New Roman"/>
                      <w:i/>
                      <w:iCs/>
                      <w:sz w:val="17"/>
                      <w:szCs w:val="17"/>
                      <w:vertAlign w:val="subscript"/>
                      <w:lang w:val="et-EE" w:bidi="ar-SA"/>
                    </w:rPr>
                    <w:t>max</w:t>
                  </w:r>
                  <w:proofErr w:type="spellEnd"/>
                  <w:r w:rsidRPr="004D5219">
                    <w:rPr>
                      <w:rFonts w:ascii="inherit" w:eastAsia="Times New Roman" w:hAnsi="inherit" w:cs="Times New Roman"/>
                      <w:i/>
                      <w:iCs/>
                      <w:sz w:val="24"/>
                      <w:szCs w:val="24"/>
                      <w:lang w:val="et-EE" w:bidi="ar-SA"/>
                    </w:rPr>
                    <w:t> </w:t>
                  </w:r>
                  <w:r w:rsidRPr="004D5219">
                    <w:rPr>
                      <w:rFonts w:ascii="inherit" w:eastAsia="Times New Roman" w:hAnsi="inherit" w:cs="Times New Roman"/>
                      <w:sz w:val="24"/>
                      <w:szCs w:val="24"/>
                      <w:lang w:val="et-EE" w:bidi="ar-SA"/>
                    </w:rPr>
                    <w:t>on maksimumvõimsus, mille suhtes arvutatakse võimsuse muut ΔΡ. ΔΡ on tootmismooduli väljundaktiivvõimsuse muut. Tootmismoodul peab tagama väljundaktiivvõimsuse muudu ΔΡ kasvu kuni väärtuseni ΔΡ</w:t>
                  </w:r>
                  <w:r w:rsidRPr="004D5219">
                    <w:rPr>
                      <w:rFonts w:ascii="inherit" w:eastAsia="Times New Roman" w:hAnsi="inherit" w:cs="Times New Roman"/>
                      <w:sz w:val="17"/>
                      <w:szCs w:val="17"/>
                      <w:vertAlign w:val="subscript"/>
                      <w:lang w:val="et-EE" w:bidi="ar-SA"/>
                    </w:rPr>
                    <w:t>1</w:t>
                  </w:r>
                  <w:r w:rsidRPr="004D5219">
                    <w:rPr>
                      <w:rFonts w:ascii="inherit" w:eastAsia="Times New Roman" w:hAnsi="inherit" w:cs="Times New Roman"/>
                      <w:sz w:val="24"/>
                      <w:szCs w:val="24"/>
                      <w:lang w:val="et-EE" w:bidi="ar-SA"/>
                    </w:rPr>
                    <w:t> ajavahemikul t</w:t>
                  </w:r>
                  <w:r w:rsidRPr="004D5219">
                    <w:rPr>
                      <w:rFonts w:ascii="inherit" w:eastAsia="Times New Roman" w:hAnsi="inherit" w:cs="Times New Roman"/>
                      <w:sz w:val="17"/>
                      <w:szCs w:val="17"/>
                      <w:vertAlign w:val="subscript"/>
                      <w:lang w:val="et-EE" w:bidi="ar-SA"/>
                    </w:rPr>
                    <w:t>1</w:t>
                  </w:r>
                  <w:r w:rsidRPr="004D5219">
                    <w:rPr>
                      <w:rFonts w:ascii="inherit" w:eastAsia="Times New Roman" w:hAnsi="inherit" w:cs="Times New Roman"/>
                      <w:sz w:val="24"/>
                      <w:szCs w:val="24"/>
                      <w:lang w:val="et-EE" w:bidi="ar-SA"/>
                    </w:rPr>
                    <w:t> kuni t</w:t>
                  </w:r>
                  <w:r w:rsidRPr="004D5219">
                    <w:rPr>
                      <w:rFonts w:ascii="inherit" w:eastAsia="Times New Roman" w:hAnsi="inherit" w:cs="Times New Roman"/>
                      <w:sz w:val="17"/>
                      <w:szCs w:val="17"/>
                      <w:vertAlign w:val="subscript"/>
                      <w:lang w:val="et-EE" w:bidi="ar-SA"/>
                    </w:rPr>
                    <w:t>2</w:t>
                  </w:r>
                  <w:r w:rsidRPr="004D5219">
                    <w:rPr>
                      <w:rFonts w:ascii="inherit" w:eastAsia="Times New Roman" w:hAnsi="inherit" w:cs="Times New Roman"/>
                      <w:sz w:val="24"/>
                      <w:szCs w:val="24"/>
                      <w:lang w:val="et-EE" w:bidi="ar-SA"/>
                    </w:rPr>
                    <w:t>; suuruste ΔΡ</w:t>
                  </w:r>
                  <w:r w:rsidRPr="004D5219">
                    <w:rPr>
                      <w:rFonts w:ascii="inherit" w:eastAsia="Times New Roman" w:hAnsi="inherit" w:cs="Times New Roman"/>
                      <w:sz w:val="17"/>
                      <w:szCs w:val="17"/>
                      <w:vertAlign w:val="subscript"/>
                      <w:lang w:val="et-EE" w:bidi="ar-SA"/>
                    </w:rPr>
                    <w:t>1</w:t>
                  </w:r>
                  <w:r w:rsidRPr="004D5219">
                    <w:rPr>
                      <w:rFonts w:ascii="inherit" w:eastAsia="Times New Roman" w:hAnsi="inherit" w:cs="Times New Roman"/>
                      <w:sz w:val="24"/>
                      <w:szCs w:val="24"/>
                      <w:lang w:val="et-EE" w:bidi="ar-SA"/>
                    </w:rPr>
                    <w:t>, t</w:t>
                  </w:r>
                  <w:r w:rsidRPr="004D5219">
                    <w:rPr>
                      <w:rFonts w:ascii="inherit" w:eastAsia="Times New Roman" w:hAnsi="inherit" w:cs="Times New Roman"/>
                      <w:sz w:val="17"/>
                      <w:szCs w:val="17"/>
                      <w:vertAlign w:val="subscript"/>
                      <w:lang w:val="et-EE" w:bidi="ar-SA"/>
                    </w:rPr>
                    <w:t>1</w:t>
                  </w:r>
                  <w:r w:rsidRPr="004D5219">
                    <w:rPr>
                      <w:rFonts w:ascii="inherit" w:eastAsia="Times New Roman" w:hAnsi="inherit" w:cs="Times New Roman"/>
                      <w:sz w:val="24"/>
                      <w:szCs w:val="24"/>
                      <w:lang w:val="et-EE" w:bidi="ar-SA"/>
                    </w:rPr>
                    <w:t> ja t</w:t>
                  </w:r>
                  <w:r w:rsidRPr="004D5219">
                    <w:rPr>
                      <w:rFonts w:ascii="inherit" w:eastAsia="Times New Roman" w:hAnsi="inherit" w:cs="Times New Roman"/>
                      <w:sz w:val="17"/>
                      <w:szCs w:val="17"/>
                      <w:vertAlign w:val="subscript"/>
                      <w:lang w:val="et-EE" w:bidi="ar-SA"/>
                    </w:rPr>
                    <w:t>2</w:t>
                  </w:r>
                  <w:r w:rsidRPr="004D5219">
                    <w:rPr>
                      <w:rFonts w:ascii="inherit" w:eastAsia="Times New Roman" w:hAnsi="inherit" w:cs="Times New Roman"/>
                      <w:sz w:val="24"/>
                      <w:szCs w:val="24"/>
                      <w:lang w:val="et-EE" w:bidi="ar-SA"/>
                    </w:rPr>
                    <w:t> väärtused määrab kindlaks asjaomane põhivõrguettevõtja tabeli 5 järgi. t</w:t>
                  </w:r>
                  <w:r w:rsidRPr="004D5219">
                    <w:rPr>
                      <w:rFonts w:ascii="inherit" w:eastAsia="Times New Roman" w:hAnsi="inherit" w:cs="Times New Roman"/>
                      <w:sz w:val="17"/>
                      <w:szCs w:val="17"/>
                      <w:vertAlign w:val="subscript"/>
                      <w:lang w:val="et-EE" w:bidi="ar-SA"/>
                    </w:rPr>
                    <w:t>1</w:t>
                  </w:r>
                  <w:r w:rsidRPr="004D5219">
                    <w:rPr>
                      <w:rFonts w:ascii="inherit" w:eastAsia="Times New Roman" w:hAnsi="inherit" w:cs="Times New Roman"/>
                      <w:sz w:val="24"/>
                      <w:szCs w:val="24"/>
                      <w:lang w:val="et-EE" w:bidi="ar-SA"/>
                    </w:rPr>
                    <w:t> on algviivitus, t</w:t>
                  </w:r>
                  <w:r w:rsidRPr="004D5219">
                    <w:rPr>
                      <w:rFonts w:ascii="inherit" w:eastAsia="Times New Roman" w:hAnsi="inherit" w:cs="Times New Roman"/>
                      <w:sz w:val="17"/>
                      <w:szCs w:val="17"/>
                      <w:vertAlign w:val="subscript"/>
                      <w:lang w:val="et-EE" w:bidi="ar-SA"/>
                    </w:rPr>
                    <w:t>2</w:t>
                  </w:r>
                  <w:r w:rsidRPr="004D5219">
                    <w:rPr>
                      <w:rFonts w:ascii="inherit" w:eastAsia="Times New Roman" w:hAnsi="inherit" w:cs="Times New Roman"/>
                      <w:sz w:val="24"/>
                      <w:szCs w:val="24"/>
                      <w:lang w:val="et-EE" w:bidi="ar-SA"/>
                    </w:rPr>
                    <w:t> on täieliku aktiveerimise aeg;</w:t>
                  </w:r>
                </w:p>
              </w:tc>
            </w:tr>
          </w:tbl>
          <w:p w14:paraId="0356C74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52"/>
            </w:tblGrid>
            <w:tr w:rsidR="008E1A17" w:rsidRPr="00A2039D" w14:paraId="5833C73B" w14:textId="77777777">
              <w:trPr>
                <w:tblCellSpacing w:w="0" w:type="dxa"/>
              </w:trPr>
              <w:tc>
                <w:tcPr>
                  <w:tcW w:w="0" w:type="auto"/>
                  <w:hideMark/>
                </w:tcPr>
                <w:p w14:paraId="33284E2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2C4B1A11" w14:textId="7A155267" w:rsidR="008E1A17" w:rsidRPr="004D5219" w:rsidRDefault="008E1A17" w:rsidP="00EF6A73">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tagama täieliku aktiivvõimsuse sageduskaja  </w:t>
                  </w:r>
                  <w:r w:rsidRPr="004D5219">
                    <w:rPr>
                      <w:rFonts w:ascii="inherit" w:eastAsia="Times New Roman" w:hAnsi="inherit" w:cs="Times New Roman"/>
                      <w:sz w:val="24"/>
                      <w:szCs w:val="24"/>
                      <w:highlight w:val="cyan"/>
                      <w:lang w:val="et-EE" w:bidi="ar-SA"/>
                    </w:rPr>
                    <w:t>15</w:t>
                  </w:r>
                  <w:r w:rsidR="00EF6A73" w:rsidRPr="004D5219">
                    <w:rPr>
                      <w:rFonts w:ascii="inherit" w:eastAsia="Times New Roman" w:hAnsi="inherit" w:cs="Times New Roman"/>
                      <w:sz w:val="24"/>
                      <w:szCs w:val="24"/>
                      <w:highlight w:val="cyan"/>
                      <w:lang w:val="et-EE" w:bidi="ar-SA"/>
                    </w:rPr>
                    <w:t xml:space="preserve"> minuti jooksul</w:t>
                  </w:r>
                  <w:r w:rsidRPr="004D5219">
                    <w:rPr>
                      <w:rFonts w:ascii="inherit" w:eastAsia="Times New Roman" w:hAnsi="inherit" w:cs="Times New Roman"/>
                      <w:sz w:val="24"/>
                      <w:szCs w:val="24"/>
                      <w:lang w:val="et-EE" w:bidi="ar-SA"/>
                    </w:rPr>
                    <w:t>, nagu on kindlaks määranud asjaomane põhivõrguettevõtja. Ajavahemiku täpsustamisel peab põhivõrguettevõtja võtma arvesse tootmismooduli aktiivvõimsuse ulatust ja primaarenergia allikat;</w:t>
                  </w:r>
                </w:p>
              </w:tc>
            </w:tr>
          </w:tbl>
          <w:p w14:paraId="556F001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5"/>
            </w:tblGrid>
            <w:tr w:rsidR="008E1A17" w:rsidRPr="00A2039D" w14:paraId="1454D350" w14:textId="77777777">
              <w:trPr>
                <w:tblCellSpacing w:w="0" w:type="dxa"/>
              </w:trPr>
              <w:tc>
                <w:tcPr>
                  <w:tcW w:w="0" w:type="auto"/>
                  <w:hideMark/>
                </w:tcPr>
                <w:p w14:paraId="1E6374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vi)</w:t>
                  </w:r>
                </w:p>
              </w:tc>
              <w:tc>
                <w:tcPr>
                  <w:tcW w:w="0" w:type="auto"/>
                  <w:hideMark/>
                </w:tcPr>
                <w:p w14:paraId="687966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lõike 2 punkti d alapunktis v sätestatud aja piirides ei tohi aktiivvõimsuse juhtimine kahjustada tootmismoodulite aktiivvõimsuse sageduskaja;</w:t>
                  </w:r>
                </w:p>
              </w:tc>
            </w:tr>
          </w:tbl>
          <w:p w14:paraId="153B55A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34"/>
              <w:gridCol w:w="8918"/>
            </w:tblGrid>
            <w:tr w:rsidR="008E1A17" w:rsidRPr="004D5219" w14:paraId="47488471" w14:textId="77777777">
              <w:trPr>
                <w:tblCellSpacing w:w="0" w:type="dxa"/>
              </w:trPr>
              <w:tc>
                <w:tcPr>
                  <w:tcW w:w="0" w:type="auto"/>
                  <w:hideMark/>
                </w:tcPr>
                <w:p w14:paraId="20523E0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vii)</w:t>
                  </w:r>
                </w:p>
              </w:tc>
              <w:tc>
                <w:tcPr>
                  <w:tcW w:w="0" w:type="auto"/>
                  <w:hideMark/>
                </w:tcPr>
                <w:p w14:paraId="0E22D2F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asjaomasele reguleerivale asutusele tuleb teatada näitajad, mille on punktide i, ii, iii ja v põhjal kindlaks määranud asjaomane põhivõrguettevõtja. Sellise teavitamise kord määratakse kindlaks kooskõlas kehtiva riikliku õigusraamistikuga.</w:t>
                  </w:r>
                </w:p>
                <w:p w14:paraId="6903EC39"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highlight w:val="cyan"/>
                      <w:lang w:val="et-EE" w:bidi="ar-SA"/>
                    </w:rPr>
                    <w:t>Tabel 5</w:t>
                  </w:r>
                </w:p>
                <w:p w14:paraId="568A4423"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783"/>
                    <w:gridCol w:w="2119"/>
                  </w:tblGrid>
                  <w:tr w:rsidR="008E1A17" w:rsidRPr="004D5219" w14:paraId="724A0EA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64CF1B"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6369F0DC"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Suuruste vahemikud või väärtused</w:t>
                        </w:r>
                      </w:p>
                    </w:tc>
                  </w:tr>
                  <w:tr w:rsidR="008E1A17" w:rsidRPr="004D5219" w14:paraId="67F2BB4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E20D145" w14:textId="77777777" w:rsidR="008E1A17" w:rsidRPr="004D5219" w:rsidRDefault="008E1A17" w:rsidP="008E1A17">
                        <w:pPr>
                          <w:widowControl/>
                          <w:autoSpaceDE/>
                          <w:autoSpaceDN/>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muut maksimumvõimsuse suhtes (sageduskaja vahemik)</w:t>
                        </w:r>
                      </w:p>
                      <w:p w14:paraId="6C090B52" w14:textId="43ABF1DA" w:rsidR="008E1A17" w:rsidRPr="004D5219" w:rsidRDefault="008E1A17" w:rsidP="008E1A17">
                        <w:pPr>
                          <w:widowControl/>
                          <w:autoSpaceDE/>
                          <w:autoSpaceDN/>
                          <w:spacing w:before="100" w:beforeAutospacing="1" w:after="100" w:afterAutospacing="1"/>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fldChar w:fldCharType="begin"/>
                        </w:r>
                        <w:r w:rsidRPr="004D5219">
                          <w:rPr>
                            <w:rFonts w:ascii="inherit" w:eastAsia="Times New Roman" w:hAnsi="inherit" w:cs="Times New Roman"/>
                            <w:sz w:val="24"/>
                            <w:szCs w:val="24"/>
                            <w:lang w:val="et-EE" w:bidi="ar-SA"/>
                          </w:rPr>
                          <w:instrText xml:space="preserve"> INCLUDEPICTURE "https://eur-lex.europa.eu/resource.html?uri=uriserv:OJ.L_.2016.112.FULL.EST.xhtml.FOR-L_2016112ET.01000101.notes.0004.xml.jpg" \* MERGEFORMATINET </w:instrText>
                        </w:r>
                        <w:r w:rsidRPr="004D5219">
                          <w:rPr>
                            <w:rFonts w:ascii="inherit" w:eastAsia="Times New Roman" w:hAnsi="inherit" w:cs="Times New Roman"/>
                            <w:sz w:val="24"/>
                            <w:szCs w:val="24"/>
                            <w:lang w:val="et-EE" w:bidi="ar-SA"/>
                          </w:rPr>
                          <w:fldChar w:fldCharType="separate"/>
                        </w:r>
                        <w:r w:rsidRPr="004D5219">
                          <w:rPr>
                            <w:rFonts w:ascii="inherit" w:eastAsia="Times New Roman" w:hAnsi="inherit" w:cs="Times New Roman"/>
                            <w:noProof/>
                            <w:sz w:val="24"/>
                            <w:szCs w:val="24"/>
                            <w:lang w:val="et-EE" w:eastAsia="et-EE" w:bidi="ar-SA"/>
                          </w:rPr>
                          <w:drawing>
                            <wp:inline distT="0" distB="0" distL="0" distR="0" wp14:anchorId="2695F9E4" wp14:editId="732092C8">
                              <wp:extent cx="803910" cy="736600"/>
                              <wp:effectExtent l="0" t="0" r="0" b="0"/>
                              <wp:docPr id="41" name="Picture 4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736600"/>
                                      </a:xfrm>
                                      <a:prstGeom prst="rect">
                                        <a:avLst/>
                                      </a:prstGeom>
                                      <a:noFill/>
                                      <a:ln>
                                        <a:noFill/>
                                      </a:ln>
                                    </pic:spPr>
                                  </pic:pic>
                                </a:graphicData>
                              </a:graphic>
                            </wp:inline>
                          </w:drawing>
                        </w:r>
                        <w:r w:rsidRPr="004D5219">
                          <w:rPr>
                            <w:rFonts w:ascii="inherit" w:eastAsia="Times New Roman" w:hAnsi="inherit" w:cs="Times New Roman"/>
                            <w:sz w:val="24"/>
                            <w:szCs w:val="24"/>
                            <w:lang w:val="et-EE" w:bidi="ar-SA"/>
                          </w:rPr>
                          <w:fldChar w:fldCharType="end"/>
                        </w:r>
                      </w:p>
                    </w:tc>
                    <w:tc>
                      <w:tcPr>
                        <w:tcW w:w="0" w:type="auto"/>
                        <w:tcBorders>
                          <w:top w:val="single" w:sz="6" w:space="0" w:color="000000"/>
                          <w:left w:val="single" w:sz="6" w:space="0" w:color="000000"/>
                          <w:bottom w:val="single" w:sz="6" w:space="0" w:color="000000"/>
                          <w:right w:val="single" w:sz="6" w:space="0" w:color="000000"/>
                        </w:tcBorders>
                        <w:hideMark/>
                      </w:tcPr>
                      <w:p w14:paraId="32043F07" w14:textId="7459B61D"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10 %</w:t>
                        </w:r>
                      </w:p>
                    </w:tc>
                  </w:tr>
                  <w:tr w:rsidR="008E1A17" w:rsidRPr="004D5219" w14:paraId="32FAD46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081E96"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Inertsiga tootmismoodulite suurim lubatud algviivitus t</w:t>
                        </w:r>
                        <w:r w:rsidRPr="004D5219">
                          <w:rPr>
                            <w:rFonts w:ascii="inherit" w:eastAsia="Times New Roman" w:hAnsi="inherit" w:cs="Times New Roman"/>
                            <w:sz w:val="15"/>
                            <w:szCs w:val="15"/>
                            <w:vertAlign w:val="subscript"/>
                            <w:lang w:val="et-EE" w:bidi="ar-SA"/>
                          </w:rPr>
                          <w:t>1</w:t>
                        </w:r>
                        <w:r w:rsidRPr="004D5219">
                          <w:rPr>
                            <w:rFonts w:ascii="inherit" w:eastAsia="Times New Roman" w:hAnsi="inherit" w:cs="Times New Roman"/>
                            <w:lang w:val="et-EE" w:bidi="ar-SA"/>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08A415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 sekundit</w:t>
                        </w:r>
                      </w:p>
                    </w:tc>
                  </w:tr>
                  <w:tr w:rsidR="008E1A17" w:rsidRPr="004D5219" w14:paraId="6AD535C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BB2FC5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Inertsita tootmismoodulite suurim lubatud algviivitus t</w:t>
                        </w:r>
                        <w:r w:rsidRPr="004D5219">
                          <w:rPr>
                            <w:rFonts w:ascii="inherit" w:eastAsia="Times New Roman" w:hAnsi="inherit" w:cs="Times New Roman"/>
                            <w:sz w:val="15"/>
                            <w:szCs w:val="15"/>
                            <w:vertAlign w:val="subscript"/>
                            <w:lang w:val="et-EE" w:bidi="ar-SA"/>
                          </w:rPr>
                          <w:t>1</w:t>
                        </w:r>
                        <w:r w:rsidRPr="004D5219">
                          <w:rPr>
                            <w:rFonts w:ascii="inherit" w:eastAsia="Times New Roman" w:hAnsi="inherit" w:cs="Times New Roman"/>
                            <w:lang w:val="et-EE" w:bidi="ar-SA"/>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C873A51" w14:textId="638D2F6B" w:rsidR="008E1A17" w:rsidRPr="004D5219" w:rsidRDefault="00AC4C12"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0,5 sekundit</w:t>
                        </w:r>
                      </w:p>
                    </w:tc>
                  </w:tr>
                  <w:tr w:rsidR="008E1A17" w:rsidRPr="004D5219" w14:paraId="32D1F9E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07CF2F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Suurim lubatud täieliku aktiveerimise aeg t</w:t>
                        </w:r>
                        <w:r w:rsidRPr="004D5219">
                          <w:rPr>
                            <w:rFonts w:ascii="inherit" w:eastAsia="Times New Roman" w:hAnsi="inherit" w:cs="Times New Roman"/>
                            <w:sz w:val="15"/>
                            <w:szCs w:val="15"/>
                            <w:vertAlign w:val="subscript"/>
                            <w:lang w:val="et-EE" w:bidi="ar-SA"/>
                          </w:rPr>
                          <w:t>2</w:t>
                        </w:r>
                        <w:r w:rsidRPr="004D5219">
                          <w:rPr>
                            <w:rFonts w:ascii="inherit" w:eastAsia="Times New Roman" w:hAnsi="inherit" w:cs="Times New Roman"/>
                            <w:lang w:val="et-EE" w:bidi="ar-SA"/>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2482390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30 sekundit</w:t>
                        </w:r>
                      </w:p>
                    </w:tc>
                  </w:tr>
                </w:tbl>
                <w:p w14:paraId="3C6D46F9"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40DAF8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E388F5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4A8BECF" w14:textId="77777777" w:rsidTr="008E1A17">
        <w:trPr>
          <w:tblCellSpacing w:w="0" w:type="dxa"/>
        </w:trPr>
        <w:tc>
          <w:tcPr>
            <w:tcW w:w="0" w:type="auto"/>
            <w:hideMark/>
          </w:tcPr>
          <w:p w14:paraId="7AE047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0935812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sageduse taastamise juhtimisega peavad tootmismoodulil olema asjaomase põhivõrguettevõtja määratletud näitajatele vastavad funktsioonid nimisageduse taastamiseks või </w:t>
            </w:r>
            <w:proofErr w:type="spellStart"/>
            <w:r w:rsidRPr="004D5219">
              <w:rPr>
                <w:rFonts w:ascii="inherit" w:eastAsia="Times New Roman" w:hAnsi="inherit" w:cs="Times New Roman"/>
                <w:sz w:val="24"/>
                <w:szCs w:val="24"/>
                <w:lang w:val="et-EE" w:bidi="ar-SA"/>
              </w:rPr>
              <w:t>juhtimispiirkondadevaheliste</w:t>
            </w:r>
            <w:proofErr w:type="spellEnd"/>
            <w:r w:rsidRPr="004D5219">
              <w:rPr>
                <w:rFonts w:ascii="inherit" w:eastAsia="Times New Roman" w:hAnsi="inherit" w:cs="Times New Roman"/>
                <w:sz w:val="24"/>
                <w:szCs w:val="24"/>
                <w:lang w:val="et-EE" w:bidi="ar-SA"/>
              </w:rPr>
              <w:t xml:space="preserve"> plaaniliste (graafikujärgsete) vahetusvõimsuste säilitamiseks;</w:t>
            </w:r>
          </w:p>
        </w:tc>
      </w:tr>
    </w:tbl>
    <w:p w14:paraId="38ACFEE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4D5219" w14:paraId="35939AC0" w14:textId="77777777" w:rsidTr="008E1A17">
        <w:trPr>
          <w:tblCellSpacing w:w="0" w:type="dxa"/>
        </w:trPr>
        <w:tc>
          <w:tcPr>
            <w:tcW w:w="0" w:type="auto"/>
            <w:hideMark/>
          </w:tcPr>
          <w:p w14:paraId="5FBB35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2C07780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tootmisüksused, mis võivad töötada tarbijana, sealhulgas pumpjaamad, peavad olema suutelised alasageduse korral oma koormuse lahti ühendama. Käesolevas punktis osutatud nõue ei laiene omatarbele;</w:t>
            </w:r>
          </w:p>
        </w:tc>
      </w:tr>
    </w:tbl>
    <w:p w14:paraId="7AA4902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3A25B85" w14:textId="77777777" w:rsidTr="008E1A17">
        <w:trPr>
          <w:tblCellSpacing w:w="0" w:type="dxa"/>
        </w:trPr>
        <w:tc>
          <w:tcPr>
            <w:tcW w:w="0" w:type="auto"/>
            <w:hideMark/>
          </w:tcPr>
          <w:p w14:paraId="163B81F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w:t>
            </w:r>
          </w:p>
        </w:tc>
        <w:tc>
          <w:tcPr>
            <w:tcW w:w="0" w:type="auto"/>
            <w:hideMark/>
          </w:tcPr>
          <w:p w14:paraId="03F67B9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sagedustundliku talitluse jälgimisega reaalajas:</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4D5219" w14:paraId="7BEA9D31" w14:textId="77777777">
              <w:trPr>
                <w:tblCellSpacing w:w="0" w:type="dxa"/>
              </w:trPr>
              <w:tc>
                <w:tcPr>
                  <w:tcW w:w="0" w:type="auto"/>
                  <w:hideMark/>
                </w:tcPr>
                <w:p w14:paraId="21EFF79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DF959D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et jälgida, kuidas aktiivvõimsus sageduskajana toimib, peab sideliides võimaldama reaalajas turvaliselt edastada tootmisüksusest asjaomase võrguettevõtja või põhivõrguettevõtja võrgu juhtimiskeskusesse asjaomase võrguettevõtja või põhivõrguettevõtja taotlusel vähemalt järgmiseid signaale:</w:t>
                  </w:r>
                </w:p>
                <w:tbl>
                  <w:tblPr>
                    <w:tblW w:w="5000" w:type="pct"/>
                    <w:tblCellSpacing w:w="0" w:type="dxa"/>
                    <w:tblCellMar>
                      <w:left w:w="0" w:type="dxa"/>
                      <w:right w:w="0" w:type="dxa"/>
                    </w:tblCellMar>
                    <w:tblLook w:val="04A0" w:firstRow="1" w:lastRow="0" w:firstColumn="1" w:lastColumn="0" w:noHBand="0" w:noVBand="1"/>
                  </w:tblPr>
                  <w:tblGrid>
                    <w:gridCol w:w="320"/>
                    <w:gridCol w:w="8783"/>
                  </w:tblGrid>
                  <w:tr w:rsidR="008E1A17" w:rsidRPr="00A2039D" w14:paraId="631A2529" w14:textId="77777777">
                    <w:trPr>
                      <w:tblCellSpacing w:w="0" w:type="dxa"/>
                    </w:trPr>
                    <w:tc>
                      <w:tcPr>
                        <w:tcW w:w="0" w:type="auto"/>
                        <w:hideMark/>
                      </w:tcPr>
                      <w:p w14:paraId="31F8FAC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7B984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sagedustundliku talitluse oleku signaal (</w:t>
                        </w:r>
                        <w:proofErr w:type="spellStart"/>
                        <w:r w:rsidRPr="004D5219">
                          <w:rPr>
                            <w:rFonts w:ascii="inherit" w:eastAsia="Times New Roman" w:hAnsi="inherit" w:cs="Times New Roman"/>
                            <w:sz w:val="24"/>
                            <w:szCs w:val="24"/>
                            <w:lang w:val="et-EE" w:bidi="ar-SA"/>
                          </w:rPr>
                          <w:t>sisselülitatud</w:t>
                        </w:r>
                        <w:proofErr w:type="spellEnd"/>
                        <w:r w:rsidRPr="004D5219">
                          <w:rPr>
                            <w:rFonts w:ascii="inherit" w:eastAsia="Times New Roman" w:hAnsi="inherit" w:cs="Times New Roman"/>
                            <w:sz w:val="24"/>
                            <w:szCs w:val="24"/>
                            <w:lang w:val="et-EE" w:bidi="ar-SA"/>
                          </w:rPr>
                          <w:t>/väljalülitatud);</w:t>
                        </w:r>
                      </w:p>
                    </w:tc>
                  </w:tr>
                </w:tbl>
                <w:p w14:paraId="7D106E6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46"/>
                    <w:gridCol w:w="8457"/>
                  </w:tblGrid>
                  <w:tr w:rsidR="008E1A17" w:rsidRPr="004D5219" w14:paraId="4B60A6B2" w14:textId="77777777">
                    <w:trPr>
                      <w:tblCellSpacing w:w="0" w:type="dxa"/>
                    </w:trPr>
                    <w:tc>
                      <w:tcPr>
                        <w:tcW w:w="0" w:type="auto"/>
                        <w:hideMark/>
                      </w:tcPr>
                      <w:p w14:paraId="7A6793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28AA17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plaaniline väljundaktiivvõimsus;</w:t>
                        </w:r>
                      </w:p>
                    </w:tc>
                  </w:tr>
                </w:tbl>
                <w:p w14:paraId="55E7E67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08"/>
                    <w:gridCol w:w="8395"/>
                  </w:tblGrid>
                  <w:tr w:rsidR="008E1A17" w:rsidRPr="004D5219" w14:paraId="6B975AC8" w14:textId="77777777">
                    <w:trPr>
                      <w:tblCellSpacing w:w="0" w:type="dxa"/>
                    </w:trPr>
                    <w:tc>
                      <w:tcPr>
                        <w:tcW w:w="0" w:type="auto"/>
                        <w:hideMark/>
                      </w:tcPr>
                      <w:p w14:paraId="3C820B7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3FFE8E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tegelik väljundaktiivvõimsus;</w:t>
                        </w:r>
                      </w:p>
                    </w:tc>
                  </w:tr>
                </w:tbl>
                <w:p w14:paraId="28829B9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67"/>
                    <w:gridCol w:w="8736"/>
                  </w:tblGrid>
                  <w:tr w:rsidR="008E1A17" w:rsidRPr="00A2039D" w14:paraId="2700F26D" w14:textId="77777777">
                    <w:trPr>
                      <w:tblCellSpacing w:w="0" w:type="dxa"/>
                    </w:trPr>
                    <w:tc>
                      <w:tcPr>
                        <w:tcW w:w="0" w:type="auto"/>
                        <w:hideMark/>
                      </w:tcPr>
                      <w:p w14:paraId="3597260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29B9DC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sageduskaja näitajate tegelikud seadistused;</w:t>
                        </w:r>
                      </w:p>
                    </w:tc>
                  </w:tr>
                </w:tbl>
                <w:p w14:paraId="6A61013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52"/>
                    <w:gridCol w:w="8351"/>
                  </w:tblGrid>
                  <w:tr w:rsidR="008E1A17" w:rsidRPr="004D5219" w14:paraId="126A05BB" w14:textId="77777777">
                    <w:trPr>
                      <w:tblCellSpacing w:w="0" w:type="dxa"/>
                    </w:trPr>
                    <w:tc>
                      <w:tcPr>
                        <w:tcW w:w="0" w:type="auto"/>
                        <w:hideMark/>
                      </w:tcPr>
                      <w:p w14:paraId="2679502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70413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ja tundetuspiirkond;</w:t>
                        </w:r>
                      </w:p>
                    </w:tc>
                  </w:tr>
                </w:tbl>
                <w:p w14:paraId="086A9534"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29D4E9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49D02080" w14:textId="77777777">
              <w:trPr>
                <w:tblCellSpacing w:w="0" w:type="dxa"/>
              </w:trPr>
              <w:tc>
                <w:tcPr>
                  <w:tcW w:w="0" w:type="auto"/>
                  <w:hideMark/>
                </w:tcPr>
                <w:p w14:paraId="17DC14E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B13DE49" w14:textId="7657ACE8"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ja asjaomane põhivõrguettevõtja peavad</w:t>
                  </w:r>
                  <w:r w:rsidR="00CB59DC" w:rsidRPr="004D5219">
                    <w:rPr>
                      <w:rFonts w:ascii="inherit" w:eastAsia="Times New Roman" w:hAnsi="inherit" w:cs="Times New Roman"/>
                      <w:sz w:val="24"/>
                      <w:szCs w:val="24"/>
                      <w:lang w:val="et-EE" w:bidi="ar-SA"/>
                    </w:rPr>
                    <w:t xml:space="preserve"> </w:t>
                  </w:r>
                  <w:r w:rsidR="00CB59DC" w:rsidRPr="004D5219">
                    <w:rPr>
                      <w:rFonts w:ascii="inherit" w:eastAsia="Times New Roman" w:hAnsi="inherit" w:cs="Times New Roman"/>
                      <w:sz w:val="24"/>
                      <w:szCs w:val="24"/>
                      <w:highlight w:val="cyan"/>
                      <w:lang w:val="et-EE" w:bidi="ar-SA"/>
                    </w:rPr>
                    <w:t>liitumistingimustes</w:t>
                  </w:r>
                  <w:r w:rsidRPr="004D5219">
                    <w:rPr>
                      <w:rFonts w:ascii="inherit" w:eastAsia="Times New Roman" w:hAnsi="inherit" w:cs="Times New Roman"/>
                      <w:sz w:val="24"/>
                      <w:szCs w:val="24"/>
                      <w:lang w:val="et-EE" w:bidi="ar-SA"/>
                    </w:rPr>
                    <w:t xml:space="preserve"> täpsustama täiendavad signaalid, mida tootmisüksus peab edastama järelevalve ja salvestusseadmete jaoks, et kontrollida osalevate tootmismoodulite aktiivvõimsuse sageduskaja tulemusi.</w:t>
                  </w:r>
                </w:p>
                <w:p w14:paraId="711B9280" w14:textId="1F23CA48" w:rsidR="00CB59DC" w:rsidRPr="004D5219" w:rsidRDefault="00CB59DC" w:rsidP="008E1A17">
                  <w:pPr>
                    <w:widowControl/>
                    <w:autoSpaceDE/>
                    <w:autoSpaceDN/>
                    <w:spacing w:before="120"/>
                    <w:jc w:val="both"/>
                    <w:rPr>
                      <w:rFonts w:ascii="inherit" w:eastAsia="Times New Roman" w:hAnsi="inherit" w:cs="Times New Roman"/>
                      <w:sz w:val="24"/>
                      <w:szCs w:val="24"/>
                      <w:lang w:val="et-EE" w:bidi="ar-SA"/>
                    </w:rPr>
                  </w:pPr>
                </w:p>
              </w:tc>
            </w:tr>
          </w:tbl>
          <w:p w14:paraId="507BACD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69DC59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3.   Pinge stabiilsusega seoses peavad C-tüüpi tootmismoodulid olema suutelised automaatselt lahti ühenduma, kui pinge ühenduspunktis jõuab väärtuseni, mille on kindlaks määranud asjaomane võrguettevõtja koos asjaomase põhivõrguettevõtjaga.</w:t>
      </w:r>
    </w:p>
    <w:p w14:paraId="1DB34978" w14:textId="11A3F8D2"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Tootmismooduli tegeliku automaatse </w:t>
      </w:r>
      <w:proofErr w:type="spellStart"/>
      <w:r w:rsidRPr="004D5219">
        <w:rPr>
          <w:rFonts w:ascii="inherit" w:eastAsia="Times New Roman" w:hAnsi="inherit" w:cs="Times New Roman"/>
          <w:color w:val="000000"/>
          <w:sz w:val="24"/>
          <w:szCs w:val="24"/>
          <w:lang w:val="et-EE" w:bidi="ar-SA"/>
        </w:rPr>
        <w:t>lahtiühendamise</w:t>
      </w:r>
      <w:proofErr w:type="spellEnd"/>
      <w:r w:rsidRPr="004D5219">
        <w:rPr>
          <w:rFonts w:ascii="inherit" w:eastAsia="Times New Roman" w:hAnsi="inherit" w:cs="Times New Roman"/>
          <w:color w:val="000000"/>
          <w:sz w:val="24"/>
          <w:szCs w:val="24"/>
          <w:lang w:val="et-EE" w:bidi="ar-SA"/>
        </w:rPr>
        <w:t xml:space="preserve"> seadistused peab kindlaks määrama asjakohane võrguettevõtja koos asjakohase põhivõrguettevõtjaga.</w:t>
      </w:r>
    </w:p>
    <w:p w14:paraId="5A8D4AA8" w14:textId="77777777" w:rsidR="00D43407" w:rsidRPr="004D5219" w:rsidRDefault="00D43407" w:rsidP="008E1A17">
      <w:pPr>
        <w:widowControl/>
        <w:autoSpaceDE/>
        <w:autoSpaceDN/>
        <w:spacing w:before="120"/>
        <w:jc w:val="both"/>
        <w:rPr>
          <w:rFonts w:ascii="inherit" w:eastAsia="Times New Roman" w:hAnsi="inherit" w:cs="Times New Roman"/>
          <w:color w:val="000000"/>
          <w:sz w:val="24"/>
          <w:szCs w:val="24"/>
          <w:lang w:val="et-EE" w:bidi="ar-SA"/>
        </w:rPr>
      </w:pPr>
    </w:p>
    <w:p w14:paraId="6F34A7BB" w14:textId="77777777" w:rsidR="00D43407" w:rsidRPr="004D5219" w:rsidRDefault="00D43407" w:rsidP="00D43407">
      <w:pPr>
        <w:rPr>
          <w:highlight w:val="cyan"/>
          <w:lang w:val="et-EE"/>
        </w:rPr>
      </w:pPr>
      <w:r w:rsidRPr="004D5219">
        <w:rPr>
          <w:highlight w:val="cyan"/>
          <w:lang w:val="et-EE"/>
        </w:rPr>
        <w:t xml:space="preserve">Tüüp C tootmismoodulitel on lubatud automaatselt </w:t>
      </w:r>
      <w:proofErr w:type="spellStart"/>
      <w:r w:rsidRPr="004D5219">
        <w:rPr>
          <w:highlight w:val="cyan"/>
          <w:lang w:val="et-EE"/>
        </w:rPr>
        <w:t>lahtiühenduda</w:t>
      </w:r>
      <w:proofErr w:type="spellEnd"/>
      <w:r w:rsidRPr="004D5219">
        <w:rPr>
          <w:highlight w:val="cyan"/>
          <w:lang w:val="et-EE"/>
        </w:rPr>
        <w:t xml:space="preserve"> kui pinged väljuvad Artikkel 16.2.a  Tabelis 6.1 toodud piiridest ning arvestades nõutud </w:t>
      </w:r>
      <w:proofErr w:type="spellStart"/>
      <w:r w:rsidRPr="004D5219">
        <w:rPr>
          <w:highlight w:val="cyan"/>
          <w:lang w:val="et-EE"/>
        </w:rPr>
        <w:t>rikkeläbimisvõimet</w:t>
      </w:r>
      <w:proofErr w:type="spellEnd"/>
      <w:r w:rsidRPr="004D5219">
        <w:rPr>
          <w:highlight w:val="cyan"/>
          <w:lang w:val="et-EE"/>
        </w:rPr>
        <w:t>.</w:t>
      </w:r>
    </w:p>
    <w:p w14:paraId="5213ADFD" w14:textId="77777777" w:rsidR="00D43407" w:rsidRPr="004D5219" w:rsidRDefault="00D43407" w:rsidP="00D43407">
      <w:pPr>
        <w:rPr>
          <w:highlight w:val="cyan"/>
          <w:lang w:val="et-EE"/>
        </w:rPr>
      </w:pPr>
    </w:p>
    <w:p w14:paraId="5806A2E4" w14:textId="77777777" w:rsidR="00D43407" w:rsidRPr="004D5219" w:rsidRDefault="00D43407" w:rsidP="00D43407">
      <w:pPr>
        <w:spacing w:before="120"/>
        <w:jc w:val="both"/>
        <w:rPr>
          <w:lang w:val="et-EE"/>
        </w:rPr>
      </w:pPr>
      <w:r w:rsidRPr="004D5219">
        <w:rPr>
          <w:highlight w:val="cyan"/>
          <w:lang w:val="et-EE"/>
        </w:rPr>
        <w:t xml:space="preserve">Tüüp D tootmismoodulitel on lubatud automaatselt </w:t>
      </w:r>
      <w:proofErr w:type="spellStart"/>
      <w:r w:rsidRPr="004D5219">
        <w:rPr>
          <w:highlight w:val="cyan"/>
          <w:lang w:val="et-EE"/>
        </w:rPr>
        <w:t>lahtiühenduda</w:t>
      </w:r>
      <w:proofErr w:type="spellEnd"/>
      <w:r w:rsidRPr="004D5219">
        <w:rPr>
          <w:highlight w:val="cyan"/>
          <w:lang w:val="et-EE"/>
        </w:rPr>
        <w:t xml:space="preserve"> kui pinged väljuvad Artikkel 16.2.a  Tabelis 6.1 ning 6.2 toodud piiridest ning arvestades nõutud </w:t>
      </w:r>
      <w:proofErr w:type="spellStart"/>
      <w:r w:rsidRPr="004D5219">
        <w:rPr>
          <w:highlight w:val="cyan"/>
          <w:lang w:val="et-EE"/>
        </w:rPr>
        <w:t>rikkeläbimisvõimet</w:t>
      </w:r>
      <w:proofErr w:type="spellEnd"/>
      <w:r w:rsidRPr="004D5219">
        <w:rPr>
          <w:highlight w:val="cyan"/>
          <w:lang w:val="et-EE"/>
        </w:rPr>
        <w:t>.</w:t>
      </w:r>
    </w:p>
    <w:p w14:paraId="5015CBB4" w14:textId="77777777" w:rsidR="00D43407" w:rsidRPr="004D5219" w:rsidRDefault="00D43407" w:rsidP="008E1A17">
      <w:pPr>
        <w:widowControl/>
        <w:autoSpaceDE/>
        <w:autoSpaceDN/>
        <w:spacing w:before="120"/>
        <w:jc w:val="both"/>
        <w:rPr>
          <w:rFonts w:ascii="inherit" w:eastAsia="Times New Roman" w:hAnsi="inherit" w:cs="Times New Roman"/>
          <w:color w:val="000000"/>
          <w:sz w:val="24"/>
          <w:szCs w:val="24"/>
          <w:lang w:val="et-EE" w:bidi="ar-SA"/>
        </w:rPr>
      </w:pPr>
    </w:p>
    <w:p w14:paraId="021638D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C-tüüpi tootmismoodulid peavad talitluskindluse poolest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F3473EE" w14:textId="77777777" w:rsidTr="008E1A17">
        <w:trPr>
          <w:tblCellSpacing w:w="0" w:type="dxa"/>
        </w:trPr>
        <w:tc>
          <w:tcPr>
            <w:tcW w:w="0" w:type="auto"/>
            <w:hideMark/>
          </w:tcPr>
          <w:p w14:paraId="29905F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2BD320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võimsuse võnkumise korral peab tootmismoodul säilitama stabiilse püsitalitluse igas P-Q graafiku talitluspunktis;</w:t>
            </w:r>
          </w:p>
        </w:tc>
      </w:tr>
    </w:tbl>
    <w:p w14:paraId="2A505F4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1A1823F" w14:textId="77777777" w:rsidTr="008E1A17">
        <w:trPr>
          <w:tblCellSpacing w:w="0" w:type="dxa"/>
        </w:trPr>
        <w:tc>
          <w:tcPr>
            <w:tcW w:w="0" w:type="auto"/>
            <w:hideMark/>
          </w:tcPr>
          <w:p w14:paraId="6865181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95AF62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peab olema suuteline võrku jääma ja talitlema ilma võimsuse vähenemiseta, kui pinge ja sagedus on käesoleva määruse kohaselt etteantud piirides, ilma et see piiraks artikli 13 lõigete 4 ja 5 kohaldamist;</w:t>
            </w:r>
          </w:p>
        </w:tc>
      </w:tr>
    </w:tbl>
    <w:p w14:paraId="2C0E631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055B44D" w14:textId="77777777" w:rsidTr="008E1A17">
        <w:trPr>
          <w:tblCellSpacing w:w="0" w:type="dxa"/>
        </w:trPr>
        <w:tc>
          <w:tcPr>
            <w:tcW w:w="0" w:type="auto"/>
            <w:hideMark/>
          </w:tcPr>
          <w:p w14:paraId="3EFBFF5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647E678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suutma jääda võrku ühendatuks silmusvõrgu liinide ühefaasilise või kolmefaasilise automaatse </w:t>
            </w:r>
            <w:proofErr w:type="spellStart"/>
            <w:r w:rsidRPr="004D5219">
              <w:rPr>
                <w:rFonts w:ascii="inherit" w:eastAsia="Times New Roman" w:hAnsi="inherit" w:cs="Times New Roman"/>
                <w:sz w:val="24"/>
                <w:szCs w:val="24"/>
                <w:lang w:val="et-EE" w:bidi="ar-SA"/>
              </w:rPr>
              <w:t>taaslülituse</w:t>
            </w:r>
            <w:proofErr w:type="spellEnd"/>
            <w:r w:rsidRPr="004D5219">
              <w:rPr>
                <w:rFonts w:ascii="inherit" w:eastAsia="Times New Roman" w:hAnsi="inherit" w:cs="Times New Roman"/>
                <w:sz w:val="24"/>
                <w:szCs w:val="24"/>
                <w:lang w:val="et-EE" w:bidi="ar-SA"/>
              </w:rPr>
              <w:t xml:space="preserve"> korral, kui see on kohaldatav selle võrgu suhtes, millesse on tootmismoodul ühendatud. Sellise suutlikkuse üksikasjad seoses kaitseskeemide ja -seadistustega tuleb kooskõlastada ja kokku leppida, nagu on osutatud artikli 14 lõike 5 punktis b.</w:t>
            </w:r>
          </w:p>
        </w:tc>
      </w:tr>
    </w:tbl>
    <w:p w14:paraId="52F2D22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C-tüüpi tootmismoodulid peavad seoses süsteemi taastamisega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284DF84" w14:textId="77777777" w:rsidTr="008E1A17">
        <w:trPr>
          <w:tblCellSpacing w:w="0" w:type="dxa"/>
        </w:trPr>
        <w:tc>
          <w:tcPr>
            <w:tcW w:w="0" w:type="auto"/>
            <w:hideMark/>
          </w:tcPr>
          <w:p w14:paraId="4874F66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A1D141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isekäivitusvõimega:</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195BC1A9" w14:textId="77777777">
              <w:trPr>
                <w:tblCellSpacing w:w="0" w:type="dxa"/>
              </w:trPr>
              <w:tc>
                <w:tcPr>
                  <w:tcW w:w="0" w:type="auto"/>
                  <w:hideMark/>
                </w:tcPr>
                <w:p w14:paraId="5898DEA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7BA2386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 ei ole nõutav, kuid sellega ei piirata liikmesriikide õigust sätestada kohustuslikke eeskirju süsteemi talitluskindluse tagamiseks;</w:t>
                  </w:r>
                </w:p>
              </w:tc>
            </w:tr>
          </w:tbl>
          <w:p w14:paraId="702120D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6BBF5E95" w14:textId="77777777">
              <w:trPr>
                <w:tblCellSpacing w:w="0" w:type="dxa"/>
              </w:trPr>
              <w:tc>
                <w:tcPr>
                  <w:tcW w:w="0" w:type="auto"/>
                  <w:hideMark/>
                </w:tcPr>
                <w:p w14:paraId="41F6F8D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AB5CE7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omanikud peavad asjaomase põhivõrguettevõtja taotlusel esitama pakkumise isekäivitusvõime tagamise kohta. Asjaomane põhivõrguettevõtja võib teha sellise taotluse, kui ta leiab, et isekäivitusvõime puudumise tõttu on ohus süsteemi turvalisus tema juhtimispiirkonnas;</w:t>
                  </w:r>
                </w:p>
              </w:tc>
            </w:tr>
          </w:tbl>
          <w:p w14:paraId="279C7DC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31D9DA7B" w14:textId="77777777">
              <w:trPr>
                <w:tblCellSpacing w:w="0" w:type="dxa"/>
              </w:trPr>
              <w:tc>
                <w:tcPr>
                  <w:tcW w:w="0" w:type="auto"/>
                  <w:hideMark/>
                </w:tcPr>
                <w:p w14:paraId="39921A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3516417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isekäivitusvõimega tootmismoodul peab suutma tööle hakata pärast väljalülitumist ilma välise energiavarustuseta aja jooksul, mille kehtestab asjaomane võrguettevõtja koos asjaomase põhivõrguettevõtjaga;</w:t>
                  </w:r>
                </w:p>
              </w:tc>
            </w:tr>
          </w:tbl>
          <w:p w14:paraId="0D9F644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22EC43FF" w14:textId="77777777">
              <w:trPr>
                <w:tblCellSpacing w:w="0" w:type="dxa"/>
              </w:trPr>
              <w:tc>
                <w:tcPr>
                  <w:tcW w:w="0" w:type="auto"/>
                  <w:hideMark/>
                </w:tcPr>
                <w:p w14:paraId="36D67E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5DC9D48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isekäivitusvõimega tootmismoodul peab suutma sünkroniseerida oma talitlust sageduse piirides, mis on sätestatud artikli 13 lõike 1 punktis a, ja pinge piirides, mille on kindlaks määranud asjaomane võrguettevõtja või mis on sätestatud artikli 16 lõikes 2, nagu on asjakohane;</w:t>
                  </w:r>
                </w:p>
              </w:tc>
            </w:tr>
          </w:tbl>
          <w:p w14:paraId="5CF9638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3"/>
            </w:tblGrid>
            <w:tr w:rsidR="008E1A17" w:rsidRPr="00A2039D" w14:paraId="52A4F63C" w14:textId="77777777">
              <w:trPr>
                <w:tblCellSpacing w:w="0" w:type="dxa"/>
              </w:trPr>
              <w:tc>
                <w:tcPr>
                  <w:tcW w:w="0" w:type="auto"/>
                  <w:hideMark/>
                </w:tcPr>
                <w:p w14:paraId="666B2BD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387DF1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isekäivitusvõimega tootmismoodul peab suutma automaatselt reguleerida tarbija ühendamisest tingitud pingelohke;</w:t>
                  </w:r>
                </w:p>
              </w:tc>
            </w:tr>
          </w:tbl>
          <w:p w14:paraId="1D8748B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4C57243F" w14:textId="77777777">
              <w:trPr>
                <w:tblCellSpacing w:w="0" w:type="dxa"/>
              </w:trPr>
              <w:tc>
                <w:tcPr>
                  <w:tcW w:w="0" w:type="auto"/>
                  <w:hideMark/>
                </w:tcPr>
                <w:p w14:paraId="69FE7EE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w:t>
                  </w:r>
                </w:p>
              </w:tc>
              <w:tc>
                <w:tcPr>
                  <w:tcW w:w="0" w:type="auto"/>
                  <w:hideMark/>
                </w:tcPr>
                <w:p w14:paraId="63577AF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isekäivitusvõimega tootmismoodul peab suutma:</w:t>
                  </w:r>
                </w:p>
                <w:tbl>
                  <w:tblPr>
                    <w:tblW w:w="5000" w:type="pct"/>
                    <w:tblCellSpacing w:w="0" w:type="dxa"/>
                    <w:tblCellMar>
                      <w:left w:w="0" w:type="dxa"/>
                      <w:right w:w="0" w:type="dxa"/>
                    </w:tblCellMar>
                    <w:tblLook w:val="04A0" w:firstRow="1" w:lastRow="0" w:firstColumn="1" w:lastColumn="0" w:noHBand="0" w:noVBand="1"/>
                  </w:tblPr>
                  <w:tblGrid>
                    <w:gridCol w:w="450"/>
                    <w:gridCol w:w="8546"/>
                  </w:tblGrid>
                  <w:tr w:rsidR="008E1A17" w:rsidRPr="00A2039D" w14:paraId="7492F60C" w14:textId="77777777">
                    <w:trPr>
                      <w:tblCellSpacing w:w="0" w:type="dxa"/>
                    </w:trPr>
                    <w:tc>
                      <w:tcPr>
                        <w:tcW w:w="0" w:type="auto"/>
                        <w:hideMark/>
                      </w:tcPr>
                      <w:p w14:paraId="2E15837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A6234D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korraldada tarbija ploki koormuste ühendamisi;</w:t>
                        </w:r>
                      </w:p>
                    </w:tc>
                  </w:tr>
                </w:tbl>
                <w:p w14:paraId="44F61C8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56"/>
                  </w:tblGrid>
                  <w:tr w:rsidR="008E1A17" w:rsidRPr="00A2039D" w14:paraId="6C2DFA7E" w14:textId="77777777">
                    <w:trPr>
                      <w:tblCellSpacing w:w="0" w:type="dxa"/>
                    </w:trPr>
                    <w:tc>
                      <w:tcPr>
                        <w:tcW w:w="0" w:type="auto"/>
                        <w:hideMark/>
                      </w:tcPr>
                      <w:p w14:paraId="30B220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C88EE6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töötada nii alasagedusega kui ka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sagedustundlikus talitluses, nagu sätestatud lõike 2 punktis c ja artikli 13 lõikes 2;</w:t>
                        </w:r>
                      </w:p>
                    </w:tc>
                  </w:tr>
                </w:tbl>
                <w:p w14:paraId="3AEFAC4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56"/>
                  </w:tblGrid>
                  <w:tr w:rsidR="008E1A17" w:rsidRPr="00A2039D" w14:paraId="7CD0CA98" w14:textId="77777777">
                    <w:trPr>
                      <w:tblCellSpacing w:w="0" w:type="dxa"/>
                    </w:trPr>
                    <w:tc>
                      <w:tcPr>
                        <w:tcW w:w="0" w:type="auto"/>
                        <w:hideMark/>
                      </w:tcPr>
                      <w:p w14:paraId="17B03CD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w:t>
                        </w:r>
                      </w:p>
                    </w:tc>
                    <w:tc>
                      <w:tcPr>
                        <w:tcW w:w="0" w:type="auto"/>
                        <w:hideMark/>
                      </w:tcPr>
                      <w:p w14:paraId="5F19D36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juhtida sagedust nii alasageduse kui ka </w:t>
                        </w:r>
                        <w:proofErr w:type="spellStart"/>
                        <w:r w:rsidRPr="004D5219">
                          <w:rPr>
                            <w:rFonts w:ascii="inherit" w:eastAsia="Times New Roman" w:hAnsi="inherit" w:cs="Times New Roman"/>
                            <w:sz w:val="24"/>
                            <w:szCs w:val="24"/>
                            <w:lang w:val="et-EE" w:bidi="ar-SA"/>
                          </w:rPr>
                          <w:t>ülesageduse</w:t>
                        </w:r>
                        <w:proofErr w:type="spellEnd"/>
                        <w:r w:rsidRPr="004D5219">
                          <w:rPr>
                            <w:rFonts w:ascii="inherit" w:eastAsia="Times New Roman" w:hAnsi="inherit" w:cs="Times New Roman"/>
                            <w:sz w:val="24"/>
                            <w:szCs w:val="24"/>
                            <w:lang w:val="et-EE" w:bidi="ar-SA"/>
                          </w:rPr>
                          <w:t xml:space="preserve"> korral kogu väljundaktiivvõimsuse ulatuses madalaimast juhtimisvõimalusega tasemest kuni maksimumvõimsuseni ning ka omatarvet toitva talitluse korral;</w:t>
                        </w:r>
                      </w:p>
                    </w:tc>
                  </w:tr>
                </w:tbl>
                <w:p w14:paraId="70F92CC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71"/>
                    <w:gridCol w:w="8625"/>
                  </w:tblGrid>
                  <w:tr w:rsidR="008E1A17" w:rsidRPr="004D5219" w14:paraId="7BD863B4" w14:textId="77777777">
                    <w:trPr>
                      <w:tblCellSpacing w:w="0" w:type="dxa"/>
                    </w:trPr>
                    <w:tc>
                      <w:tcPr>
                        <w:tcW w:w="0" w:type="auto"/>
                        <w:hideMark/>
                      </w:tcPr>
                      <w:p w14:paraId="2238401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2FF6B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mitme tootmismooduliga saarel paralleelselt talitleda ning</w:t>
                        </w:r>
                      </w:p>
                    </w:tc>
                  </w:tr>
                </w:tbl>
                <w:p w14:paraId="3775D95E"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3"/>
                    <w:gridCol w:w="8593"/>
                  </w:tblGrid>
                  <w:tr w:rsidR="008E1A17" w:rsidRPr="00A2039D" w14:paraId="6C96F999" w14:textId="77777777">
                    <w:trPr>
                      <w:tblCellSpacing w:w="0" w:type="dxa"/>
                    </w:trPr>
                    <w:tc>
                      <w:tcPr>
                        <w:tcW w:w="0" w:type="auto"/>
                        <w:hideMark/>
                      </w:tcPr>
                      <w:p w14:paraId="3F20B10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43551F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süsteemi taastumisjärgus juhtida automaatselt pinget;</w:t>
                        </w:r>
                      </w:p>
                    </w:tc>
                  </w:tr>
                </w:tbl>
                <w:p w14:paraId="76F2669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61659EE"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E7FC5E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81C7C82" w14:textId="77777777" w:rsidTr="008E1A17">
        <w:trPr>
          <w:tblCellSpacing w:w="0" w:type="dxa"/>
        </w:trPr>
        <w:tc>
          <w:tcPr>
            <w:tcW w:w="0" w:type="auto"/>
            <w:hideMark/>
          </w:tcPr>
          <w:p w14:paraId="26D858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4BEA2E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saartalitluses osalemisega seoses:</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4263819B" w14:textId="77777777">
              <w:trPr>
                <w:tblCellSpacing w:w="0" w:type="dxa"/>
              </w:trPr>
              <w:tc>
                <w:tcPr>
                  <w:tcW w:w="0" w:type="auto"/>
                  <w:hideMark/>
                </w:tcPr>
                <w:p w14:paraId="307D853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5A6B5E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peavad tootmismoodulid suutma osaleda saartalitluses, kui seda nõuab asjaomane võrguettevõtja kooskõlastatult asjaomase põhivõrguettevõtjaga ja:</w:t>
                  </w:r>
                </w:p>
                <w:tbl>
                  <w:tblPr>
                    <w:tblW w:w="5000" w:type="pct"/>
                    <w:tblCellSpacing w:w="0" w:type="dxa"/>
                    <w:tblCellMar>
                      <w:left w:w="0" w:type="dxa"/>
                      <w:right w:w="0" w:type="dxa"/>
                    </w:tblCellMar>
                    <w:tblLook w:val="04A0" w:firstRow="1" w:lastRow="0" w:firstColumn="1" w:lastColumn="0" w:noHBand="0" w:noVBand="1"/>
                  </w:tblPr>
                  <w:tblGrid>
                    <w:gridCol w:w="240"/>
                    <w:gridCol w:w="8863"/>
                  </w:tblGrid>
                  <w:tr w:rsidR="008E1A17" w:rsidRPr="004D5219" w14:paraId="3FD3E712" w14:textId="77777777">
                    <w:trPr>
                      <w:tblCellSpacing w:w="0" w:type="dxa"/>
                    </w:trPr>
                    <w:tc>
                      <w:tcPr>
                        <w:tcW w:w="0" w:type="auto"/>
                        <w:hideMark/>
                      </w:tcPr>
                      <w:p w14:paraId="64161D9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F79D4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sageduse piirid peavad saartalitluses olema sellised, nagu sätestatud artikli 13 lõike 1 punktis a;</w:t>
                        </w:r>
                      </w:p>
                    </w:tc>
                  </w:tr>
                </w:tbl>
                <w:p w14:paraId="3F5472B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63"/>
                  </w:tblGrid>
                  <w:tr w:rsidR="008E1A17" w:rsidRPr="00A2039D" w14:paraId="348EEBED" w14:textId="77777777">
                    <w:trPr>
                      <w:tblCellSpacing w:w="0" w:type="dxa"/>
                    </w:trPr>
                    <w:tc>
                      <w:tcPr>
                        <w:tcW w:w="0" w:type="auto"/>
                        <w:hideMark/>
                      </w:tcPr>
                      <w:p w14:paraId="25C25D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C9A3FD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 piirid peavad saartalitluses olema sellised, nagu sätestatud artikli 15 lõikes 3 või artikli 16 lõikes 2, nagu see on asjakohane;</w:t>
                        </w:r>
                      </w:p>
                    </w:tc>
                  </w:tr>
                </w:tbl>
                <w:p w14:paraId="69FDA302"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E6FF72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1A4E9A06" w14:textId="77777777">
              <w:trPr>
                <w:tblCellSpacing w:w="0" w:type="dxa"/>
              </w:trPr>
              <w:tc>
                <w:tcPr>
                  <w:tcW w:w="0" w:type="auto"/>
                  <w:hideMark/>
                </w:tcPr>
                <w:p w14:paraId="2869062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01D09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tootmismoodulid peavad olema suutelised töötama saartalitluses sagedustundlikus talitluses, nagu on määratletud lõike 2 punktis </w:t>
                  </w:r>
                  <w:proofErr w:type="spellStart"/>
                  <w:r w:rsidRPr="004D5219">
                    <w:rPr>
                      <w:rFonts w:ascii="inherit" w:eastAsia="Times New Roman" w:hAnsi="inherit" w:cs="Times New Roman"/>
                      <w:sz w:val="24"/>
                      <w:szCs w:val="24"/>
                      <w:lang w:val="et-EE" w:bidi="ar-SA"/>
                    </w:rPr>
                    <w:t>d.</w:t>
                  </w:r>
                  <w:proofErr w:type="spellEnd"/>
                </w:p>
                <w:p w14:paraId="54F3714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Võimsuse ülejäägi korral peavad tootmismoodulid suutma vähendada väljundaktiivvõimsust liikumisel ühest talitluspunktist mis tahes teise talitluspunkti P-Q graafikul. Sellega seoses peab tootmismoodul suutma vähendada väljundaktiivvõimsust niipalju kui tehniliselt mõistlik, kuid vähemalt 55 % oma maksimumvõimsusest;</w:t>
                  </w:r>
                </w:p>
              </w:tc>
            </w:tr>
          </w:tbl>
          <w:p w14:paraId="5477A61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0"/>
            </w:tblGrid>
            <w:tr w:rsidR="008E1A17" w:rsidRPr="00A2039D" w14:paraId="6950CD75" w14:textId="77777777">
              <w:trPr>
                <w:tblCellSpacing w:w="0" w:type="dxa"/>
              </w:trPr>
              <w:tc>
                <w:tcPr>
                  <w:tcW w:w="0" w:type="auto"/>
                  <w:hideMark/>
                </w:tcPr>
                <w:p w14:paraId="0D2C30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733C3F2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viis, kuidas teha kindlaks üleminek ühendsüsteemi talitlusest saartalitlusse, tuleb määrata kokkuleppel tootmisüksuse omaniku ja asjaomase võrguettevõtja vahel ja kooskõlastatult asjaomase põhivõrguettevõtjaga. Selline kokkulepitud viis ei tohi tugineda üksnes võrguettevõtjale saabuvatele jaotlate asendisignaalidele;</w:t>
                  </w:r>
                </w:p>
              </w:tc>
            </w:tr>
          </w:tbl>
          <w:p w14:paraId="5BE6E42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3"/>
            </w:tblGrid>
            <w:tr w:rsidR="008E1A17" w:rsidRPr="00A2039D" w14:paraId="6BC13C3E" w14:textId="77777777">
              <w:trPr>
                <w:tblCellSpacing w:w="0" w:type="dxa"/>
              </w:trPr>
              <w:tc>
                <w:tcPr>
                  <w:tcW w:w="0" w:type="auto"/>
                  <w:hideMark/>
                </w:tcPr>
                <w:p w14:paraId="43CCC16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21238C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energiapargimoodulid peavad suutma saartalitluses töötada nii alasagedusega kui ka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sagedustundlikus talitluses, nagu sätestatud lõike 2 punktis c ja artikli 13 lõikes 2;</w:t>
                  </w:r>
                </w:p>
              </w:tc>
            </w:tr>
          </w:tbl>
          <w:p w14:paraId="6F310F1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7E1660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91E4CD0" w14:textId="77777777" w:rsidTr="008E1A17">
        <w:trPr>
          <w:tblCellSpacing w:w="0" w:type="dxa"/>
        </w:trPr>
        <w:tc>
          <w:tcPr>
            <w:tcW w:w="0" w:type="auto"/>
            <w:hideMark/>
          </w:tcPr>
          <w:p w14:paraId="6D1352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9499D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kiire </w:t>
            </w:r>
            <w:proofErr w:type="spellStart"/>
            <w:r w:rsidRPr="004D5219">
              <w:rPr>
                <w:rFonts w:ascii="inherit" w:eastAsia="Times New Roman" w:hAnsi="inherit" w:cs="Times New Roman"/>
                <w:sz w:val="24"/>
                <w:szCs w:val="24"/>
                <w:lang w:val="et-EE" w:bidi="ar-SA"/>
              </w:rPr>
              <w:t>taassünkroniseerimisvõimega</w:t>
            </w:r>
            <w:proofErr w:type="spellEnd"/>
            <w:r w:rsidRPr="004D5219">
              <w:rPr>
                <w:rFonts w:ascii="inherit" w:eastAsia="Times New Roman" w:hAnsi="inherit" w:cs="Times New Roman"/>
                <w:sz w:val="24"/>
                <w:szCs w:val="24"/>
                <w:lang w:val="et-EE" w:bidi="ar-SA"/>
              </w:rPr>
              <w:t>:</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0F7CF776" w14:textId="77777777">
              <w:trPr>
                <w:tblCellSpacing w:w="0" w:type="dxa"/>
              </w:trPr>
              <w:tc>
                <w:tcPr>
                  <w:tcW w:w="0" w:type="auto"/>
                  <w:hideMark/>
                </w:tcPr>
                <w:p w14:paraId="3819166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357CCAC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kui tootmismoodul eraldub võrgust, peab tootmismoodul olema suuteline kiireks </w:t>
                  </w:r>
                  <w:proofErr w:type="spellStart"/>
                  <w:r w:rsidRPr="004D5219">
                    <w:rPr>
                      <w:rFonts w:ascii="inherit" w:eastAsia="Times New Roman" w:hAnsi="inherit" w:cs="Times New Roman"/>
                      <w:sz w:val="24"/>
                      <w:szCs w:val="24"/>
                      <w:lang w:val="et-EE" w:bidi="ar-SA"/>
                    </w:rPr>
                    <w:t>taassünkroniseerimiseks</w:t>
                  </w:r>
                  <w:proofErr w:type="spellEnd"/>
                  <w:r w:rsidRPr="004D5219">
                    <w:rPr>
                      <w:rFonts w:ascii="inherit" w:eastAsia="Times New Roman" w:hAnsi="inherit" w:cs="Times New Roman"/>
                      <w:sz w:val="24"/>
                      <w:szCs w:val="24"/>
                      <w:lang w:val="et-EE" w:bidi="ar-SA"/>
                    </w:rPr>
                    <w:t xml:space="preserve"> vastavalt kaitsestrateegiale, mille on määratlenud asjaomane võrguettevõtja kokkuleppel asjaomase põhivõrguettevõtjaga ja tootmisüksuse omanikuga;</w:t>
                  </w:r>
                </w:p>
              </w:tc>
            </w:tr>
          </w:tbl>
          <w:p w14:paraId="482E2D4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54074982" w14:textId="77777777">
              <w:trPr>
                <w:tblCellSpacing w:w="0" w:type="dxa"/>
              </w:trPr>
              <w:tc>
                <w:tcPr>
                  <w:tcW w:w="0" w:type="auto"/>
                  <w:hideMark/>
                </w:tcPr>
                <w:p w14:paraId="2E8CCF1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AF1A9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mille vähim </w:t>
                  </w:r>
                  <w:proofErr w:type="spellStart"/>
                  <w:r w:rsidRPr="004D5219">
                    <w:rPr>
                      <w:rFonts w:ascii="inherit" w:eastAsia="Times New Roman" w:hAnsi="inherit" w:cs="Times New Roman"/>
                      <w:sz w:val="24"/>
                      <w:szCs w:val="24"/>
                      <w:lang w:val="et-EE" w:bidi="ar-SA"/>
                    </w:rPr>
                    <w:t>taassünkroniseerimisaeg</w:t>
                  </w:r>
                  <w:proofErr w:type="spellEnd"/>
                  <w:r w:rsidRPr="004D5219">
                    <w:rPr>
                      <w:rFonts w:ascii="inherit" w:eastAsia="Times New Roman" w:hAnsi="inherit" w:cs="Times New Roman"/>
                      <w:sz w:val="24"/>
                      <w:szCs w:val="24"/>
                      <w:lang w:val="et-EE" w:bidi="ar-SA"/>
                    </w:rPr>
                    <w:t xml:space="preserve"> pärast </w:t>
                  </w:r>
                  <w:proofErr w:type="spellStart"/>
                  <w:r w:rsidRPr="004D5219">
                    <w:rPr>
                      <w:rFonts w:ascii="inherit" w:eastAsia="Times New Roman" w:hAnsi="inherit" w:cs="Times New Roman"/>
                      <w:sz w:val="24"/>
                      <w:szCs w:val="24"/>
                      <w:lang w:val="et-EE" w:bidi="ar-SA"/>
                    </w:rPr>
                    <w:t>lahtiühendumist</w:t>
                  </w:r>
                  <w:proofErr w:type="spellEnd"/>
                  <w:r w:rsidRPr="004D5219">
                    <w:rPr>
                      <w:rFonts w:ascii="inherit" w:eastAsia="Times New Roman" w:hAnsi="inherit" w:cs="Times New Roman"/>
                      <w:sz w:val="24"/>
                      <w:szCs w:val="24"/>
                      <w:lang w:val="et-EE" w:bidi="ar-SA"/>
                    </w:rPr>
                    <w:t xml:space="preserve"> mis tahes välisest toiteallikast on pikem kui 15 minutit, peab olema niisuguse ehitusega, et see hakkab toitma omatarvet ükskõik millises oma P-Q graafiku talitluspunktis. Sellisel juhul ei tohi omatarvet toitva talitluse kindlakstegemine põhineda üksnes võrguettevõtjale saabuvatele jaotlate asendisignaalidele;</w:t>
                  </w:r>
                </w:p>
              </w:tc>
            </w:tr>
          </w:tbl>
          <w:p w14:paraId="369BDD3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3C1DEE73" w14:textId="77777777">
              <w:trPr>
                <w:tblCellSpacing w:w="0" w:type="dxa"/>
              </w:trPr>
              <w:tc>
                <w:tcPr>
                  <w:tcW w:w="0" w:type="auto"/>
                  <w:hideMark/>
                </w:tcPr>
                <w:p w14:paraId="14824A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34C25D33" w14:textId="77777777" w:rsidR="008E1A17" w:rsidRPr="004D5219" w:rsidRDefault="008E1A17" w:rsidP="005D3BAD">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olema suuteline pärast omatarvet toitvale talitlusele üleminekut jätkama tööd, sõltumata mis tahes abiühendusest </w:t>
                  </w:r>
                  <w:proofErr w:type="spellStart"/>
                  <w:r w:rsidRPr="004D5219">
                    <w:rPr>
                      <w:rFonts w:ascii="inherit" w:eastAsia="Times New Roman" w:hAnsi="inherit" w:cs="Times New Roman"/>
                      <w:sz w:val="24"/>
                      <w:szCs w:val="24"/>
                      <w:lang w:val="et-EE" w:bidi="ar-SA"/>
                    </w:rPr>
                    <w:t>välisvõrguga</w:t>
                  </w:r>
                  <w:proofErr w:type="spellEnd"/>
                  <w:r w:rsidR="005D3BAD" w:rsidRPr="004D5219">
                    <w:rPr>
                      <w:rFonts w:ascii="inherit" w:eastAsia="Times New Roman" w:hAnsi="inherit" w:cs="Times New Roman"/>
                      <w:sz w:val="24"/>
                      <w:szCs w:val="24"/>
                      <w:lang w:val="et-EE" w:bidi="ar-SA"/>
                    </w:rPr>
                    <w:t xml:space="preserve"> </w:t>
                  </w:r>
                  <w:r w:rsidR="005D3BAD" w:rsidRPr="004D5219">
                    <w:rPr>
                      <w:rFonts w:ascii="inherit" w:eastAsia="Times New Roman" w:hAnsi="inherit" w:cs="Times New Roman"/>
                      <w:sz w:val="24"/>
                      <w:szCs w:val="24"/>
                      <w:highlight w:val="cyan"/>
                      <w:lang w:val="et-EE" w:bidi="ar-SA"/>
                    </w:rPr>
                    <w:t>6h jooksul</w:t>
                  </w:r>
                  <w:r w:rsidR="005D3BAD" w:rsidRPr="004D5219">
                    <w:rPr>
                      <w:rFonts w:ascii="inherit" w:eastAsia="Times New Roman" w:hAnsi="inherit" w:cs="Times New Roman"/>
                      <w:sz w:val="24"/>
                      <w:szCs w:val="24"/>
                      <w:lang w:val="et-EE" w:bidi="ar-SA"/>
                    </w:rPr>
                    <w:t>.</w:t>
                  </w:r>
                </w:p>
                <w:p w14:paraId="4B5C491F" w14:textId="77777777" w:rsidR="005D3BAD" w:rsidRPr="004D5219" w:rsidRDefault="005D3BAD" w:rsidP="005D3BAD">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highlight w:val="cyan"/>
                      <w:lang w:val="et-EE" w:bidi="ar-SA"/>
                    </w:rPr>
                    <w:t xml:space="preserve">Selgitus: omatarbenõue kehtib ainult tootmismoodulitele mille käivitusaeg peale võrgust </w:t>
                  </w:r>
                  <w:proofErr w:type="spellStart"/>
                  <w:r w:rsidRPr="004D5219">
                    <w:rPr>
                      <w:rFonts w:ascii="inherit" w:eastAsia="Times New Roman" w:hAnsi="inherit" w:cs="Times New Roman"/>
                      <w:sz w:val="24"/>
                      <w:szCs w:val="24"/>
                      <w:highlight w:val="cyan"/>
                      <w:lang w:val="et-EE" w:bidi="ar-SA"/>
                    </w:rPr>
                    <w:t>lahtiühendamist</w:t>
                  </w:r>
                  <w:proofErr w:type="spellEnd"/>
                  <w:r w:rsidRPr="004D5219">
                    <w:rPr>
                      <w:rFonts w:ascii="inherit" w:eastAsia="Times New Roman" w:hAnsi="inherit" w:cs="Times New Roman"/>
                      <w:sz w:val="24"/>
                      <w:szCs w:val="24"/>
                      <w:highlight w:val="cyan"/>
                      <w:lang w:val="et-EE" w:bidi="ar-SA"/>
                    </w:rPr>
                    <w:t xml:space="preserve"> on pikem kui 15 min. 6 tunni nõue tuleneb Baltimaade juhtimiskeskuste maksimaalsest ajast, mille jooksul saab süsteemi kustumise korral tootmisseadmeid tagasi võrku ühendada</w:t>
                  </w:r>
                  <w:r w:rsidRPr="004D5219">
                    <w:rPr>
                      <w:rFonts w:ascii="inherit" w:eastAsia="Times New Roman" w:hAnsi="inherit" w:cs="Times New Roman"/>
                      <w:sz w:val="24"/>
                      <w:szCs w:val="24"/>
                      <w:lang w:val="et-EE" w:bidi="ar-SA"/>
                    </w:rPr>
                    <w:t>.</w:t>
                  </w:r>
                </w:p>
                <w:p w14:paraId="656DB0A1" w14:textId="5B1E4ED0" w:rsidR="005D3BAD" w:rsidRPr="004D5219" w:rsidRDefault="005D3BAD" w:rsidP="005D3BAD">
                  <w:pPr>
                    <w:widowControl/>
                    <w:autoSpaceDE/>
                    <w:autoSpaceDN/>
                    <w:spacing w:before="120"/>
                    <w:jc w:val="both"/>
                    <w:rPr>
                      <w:rFonts w:ascii="inherit" w:eastAsia="Times New Roman" w:hAnsi="inherit" w:cs="Times New Roman"/>
                      <w:sz w:val="24"/>
                      <w:szCs w:val="24"/>
                      <w:lang w:val="et-EE" w:bidi="ar-SA"/>
                    </w:rPr>
                  </w:pPr>
                </w:p>
              </w:tc>
            </w:tr>
          </w:tbl>
          <w:p w14:paraId="6351831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A75AA6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C-tüüpi tootmismoodulid peavad vastama järgmistele üldistele süsteemi haldamisega seotud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83C7304" w14:textId="77777777" w:rsidTr="008E1A17">
        <w:trPr>
          <w:tblCellSpacing w:w="0" w:type="dxa"/>
        </w:trPr>
        <w:tc>
          <w:tcPr>
            <w:tcW w:w="0" w:type="auto"/>
            <w:hideMark/>
          </w:tcPr>
          <w:p w14:paraId="7F16AE9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433F4A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sünkronismist väljalangemisel või kontrolli kaotamise korral peab tootmismoodul olema suuteline automaatselt võrgust lahti ühenduma, et aidata säilitada võrgu talitluskindlust ja vältida tootmismooduli kahjustumist. Tootmisüksuse omanik ja asjaomane võrguettevõtja koos </w:t>
            </w:r>
            <w:r w:rsidRPr="004D5219">
              <w:rPr>
                <w:rFonts w:ascii="inherit" w:eastAsia="Times New Roman" w:hAnsi="inherit" w:cs="Times New Roman"/>
                <w:sz w:val="24"/>
                <w:szCs w:val="24"/>
                <w:lang w:val="et-EE" w:bidi="ar-SA"/>
              </w:rPr>
              <w:lastRenderedPageBreak/>
              <w:t>asjaomase põhivõrguettevõtjaga peavad kokku leppima, milliste tingimuste järgi teha kindlaks nurgastabiilsuse kadumine ja kontrolli kaotamine;</w:t>
            </w:r>
          </w:p>
        </w:tc>
      </w:tr>
    </w:tbl>
    <w:p w14:paraId="421558F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150B9B3D" w14:textId="77777777" w:rsidTr="008E1A17">
        <w:trPr>
          <w:tblCellSpacing w:w="0" w:type="dxa"/>
        </w:trPr>
        <w:tc>
          <w:tcPr>
            <w:tcW w:w="0" w:type="auto"/>
            <w:hideMark/>
          </w:tcPr>
          <w:p w14:paraId="4801CC0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7FCDE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mõõteriistadega:</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6FC94004" w14:textId="77777777">
              <w:trPr>
                <w:tblCellSpacing w:w="0" w:type="dxa"/>
              </w:trPr>
              <w:tc>
                <w:tcPr>
                  <w:tcW w:w="0" w:type="auto"/>
                  <w:hideMark/>
                </w:tcPr>
                <w:p w14:paraId="0ADF1A0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BF528D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tootmisüksused peavad olema varustatud vahenditega, mis võimaldavad rikkeid registreerida ja jälgida süsteemi dünaamikat. Vahendid peavad salvestama järgmisi näitajaid:</w:t>
                  </w:r>
                </w:p>
                <w:tbl>
                  <w:tblPr>
                    <w:tblW w:w="5000" w:type="pct"/>
                    <w:tblCellSpacing w:w="0" w:type="dxa"/>
                    <w:tblCellMar>
                      <w:left w:w="0" w:type="dxa"/>
                      <w:right w:w="0" w:type="dxa"/>
                    </w:tblCellMar>
                    <w:tblLook w:val="04A0" w:firstRow="1" w:lastRow="0" w:firstColumn="1" w:lastColumn="0" w:noHBand="0" w:noVBand="1"/>
                  </w:tblPr>
                  <w:tblGrid>
                    <w:gridCol w:w="2601"/>
                    <w:gridCol w:w="6502"/>
                  </w:tblGrid>
                  <w:tr w:rsidR="008E1A17" w:rsidRPr="004D5219" w14:paraId="67366041" w14:textId="77777777">
                    <w:trPr>
                      <w:tblCellSpacing w:w="0" w:type="dxa"/>
                    </w:trPr>
                    <w:tc>
                      <w:tcPr>
                        <w:tcW w:w="0" w:type="auto"/>
                        <w:hideMark/>
                      </w:tcPr>
                      <w:p w14:paraId="772CE5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060A8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w:t>
                        </w:r>
                      </w:p>
                    </w:tc>
                  </w:tr>
                </w:tbl>
                <w:p w14:paraId="2C1798A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321"/>
                    <w:gridCol w:w="7782"/>
                  </w:tblGrid>
                  <w:tr w:rsidR="008E1A17" w:rsidRPr="004D5219" w14:paraId="219FFAB2" w14:textId="77777777">
                    <w:trPr>
                      <w:tblCellSpacing w:w="0" w:type="dxa"/>
                    </w:trPr>
                    <w:tc>
                      <w:tcPr>
                        <w:tcW w:w="0" w:type="auto"/>
                        <w:hideMark/>
                      </w:tcPr>
                      <w:p w14:paraId="2047D5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ED7388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w:t>
                        </w:r>
                      </w:p>
                    </w:tc>
                  </w:tr>
                </w:tbl>
                <w:p w14:paraId="116130F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089"/>
                    <w:gridCol w:w="8014"/>
                  </w:tblGrid>
                  <w:tr w:rsidR="008E1A17" w:rsidRPr="004D5219" w14:paraId="6B26530F" w14:textId="77777777">
                    <w:trPr>
                      <w:tblCellSpacing w:w="0" w:type="dxa"/>
                    </w:trPr>
                    <w:tc>
                      <w:tcPr>
                        <w:tcW w:w="0" w:type="auto"/>
                        <w:hideMark/>
                      </w:tcPr>
                      <w:p w14:paraId="589F62D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59EE0E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 ja</w:t>
                        </w:r>
                      </w:p>
                    </w:tc>
                  </w:tr>
                </w:tbl>
                <w:p w14:paraId="384D442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61"/>
                    <w:gridCol w:w="7042"/>
                  </w:tblGrid>
                  <w:tr w:rsidR="008E1A17" w:rsidRPr="00A2039D" w14:paraId="58AE017B" w14:textId="77777777">
                    <w:trPr>
                      <w:tblCellSpacing w:w="0" w:type="dxa"/>
                    </w:trPr>
                    <w:tc>
                      <w:tcPr>
                        <w:tcW w:w="0" w:type="auto"/>
                        <w:hideMark/>
                      </w:tcPr>
                      <w:p w14:paraId="073DA1E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2790B2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sagedus.</w:t>
                        </w:r>
                      </w:p>
                    </w:tc>
                  </w:tr>
                </w:tbl>
                <w:p w14:paraId="267BA08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Asjaomasel võrguettevõtjal peab olema õigus kindlaks määrata tarnekvaliteedi näitajate nõuded, mida tuleb täita tingimusel, et seda on mõistliku aja võrra ette teatatud;</w:t>
                  </w:r>
                </w:p>
              </w:tc>
            </w:tr>
          </w:tbl>
          <w:p w14:paraId="16A9BA6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3C3FEB1C" w14:textId="77777777">
              <w:trPr>
                <w:tblCellSpacing w:w="0" w:type="dxa"/>
              </w:trPr>
              <w:tc>
                <w:tcPr>
                  <w:tcW w:w="0" w:type="auto"/>
                  <w:hideMark/>
                </w:tcPr>
                <w:p w14:paraId="086129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28CBD1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kokkuleppel asjaomase võrguettevõtja ja põhivõrguettevõtjaga peab määrama kindlaks rikete registreerimise seadmete seadistuse, sealhulgas käivitumise nõuded ja registreerimissageduse;</w:t>
                  </w:r>
                </w:p>
              </w:tc>
            </w:tr>
          </w:tbl>
          <w:p w14:paraId="7B2B686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0"/>
            </w:tblGrid>
            <w:tr w:rsidR="008E1A17" w:rsidRPr="00A2039D" w14:paraId="0DAD9370" w14:textId="77777777">
              <w:trPr>
                <w:tblCellSpacing w:w="0" w:type="dxa"/>
              </w:trPr>
              <w:tc>
                <w:tcPr>
                  <w:tcW w:w="0" w:type="auto"/>
                  <w:hideMark/>
                </w:tcPr>
                <w:p w14:paraId="4B50884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6B894F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süsteemi dünaamika järelevalve peab sisaldama võimsuse halvasti summutatud võnkumise avastamiseks võnketrigerit, mille on määratlenud asjaomane võrguettevõtja koos asjaomase põhivõrguettevõtjaga;</w:t>
                  </w:r>
                </w:p>
              </w:tc>
            </w:tr>
          </w:tbl>
          <w:p w14:paraId="56FDD94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3"/>
            </w:tblGrid>
            <w:tr w:rsidR="008E1A17" w:rsidRPr="004D5219" w14:paraId="62E020A7" w14:textId="77777777">
              <w:trPr>
                <w:tblCellSpacing w:w="0" w:type="dxa"/>
              </w:trPr>
              <w:tc>
                <w:tcPr>
                  <w:tcW w:w="0" w:type="auto"/>
                  <w:hideMark/>
                </w:tcPr>
                <w:p w14:paraId="6385250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4D6DED95" w14:textId="68F9C64F"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vahendid tarnekvaliteedi ja süsteemi dünaamika jälgimiseks peavad hõlmama tootmisüksuse omaniku, asjaomase võrguettevõtja ja asjaomase põhivõrguettevõtja meetmeid teabe saamiseks. Tootmisüksuse omanik, asjaomane võrguettevõtja ja asjaomane põhivõrguettevõtja peavad kokku leppima, millist sideprotokolli salvestatud andmete edastamiseks kasutada;</w:t>
                  </w:r>
                </w:p>
                <w:p w14:paraId="5139C49A" w14:textId="77777777" w:rsidR="009511F8" w:rsidRPr="004D5219" w:rsidRDefault="009511F8" w:rsidP="008E1A17">
                  <w:pPr>
                    <w:widowControl/>
                    <w:autoSpaceDE/>
                    <w:autoSpaceDN/>
                    <w:spacing w:before="120"/>
                    <w:jc w:val="both"/>
                    <w:rPr>
                      <w:rFonts w:ascii="inherit" w:eastAsia="Times New Roman" w:hAnsi="inherit" w:cs="Times New Roman"/>
                      <w:sz w:val="24"/>
                      <w:szCs w:val="24"/>
                      <w:lang w:val="et-EE" w:bidi="ar-SA"/>
                    </w:rPr>
                  </w:pPr>
                </w:p>
                <w:p w14:paraId="7645A5E2" w14:textId="443C824D" w:rsidR="009511F8" w:rsidRPr="004D5219" w:rsidRDefault="009511F8" w:rsidP="009511F8">
                  <w:pPr>
                    <w:rPr>
                      <w:rFonts w:asciiTheme="minorHAnsi" w:hAnsiTheme="minorHAnsi"/>
                      <w:lang w:val="et-EE"/>
                    </w:rPr>
                  </w:pPr>
                  <w:r w:rsidRPr="004D5219">
                    <w:rPr>
                      <w:highlight w:val="cyan"/>
                      <w:lang w:val="et-EE"/>
                    </w:rPr>
                    <w:t>Määratakse kindlaks asjaomase võrguettevõtja liitumistingimustes. (15.6 b)</w:t>
                  </w:r>
                </w:p>
                <w:p w14:paraId="05E95149" w14:textId="10B6BC99" w:rsidR="009511F8" w:rsidRPr="004D5219" w:rsidRDefault="009511F8" w:rsidP="008E1A17">
                  <w:pPr>
                    <w:widowControl/>
                    <w:autoSpaceDE/>
                    <w:autoSpaceDN/>
                    <w:spacing w:before="120"/>
                    <w:jc w:val="both"/>
                    <w:rPr>
                      <w:rFonts w:ascii="inherit" w:eastAsia="Times New Roman" w:hAnsi="inherit" w:cs="Times New Roman"/>
                      <w:sz w:val="24"/>
                      <w:szCs w:val="24"/>
                      <w:lang w:val="et-EE" w:bidi="ar-SA"/>
                    </w:rPr>
                  </w:pPr>
                </w:p>
              </w:tc>
            </w:tr>
          </w:tbl>
          <w:p w14:paraId="4B519D47"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94F42F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4AE1080" w14:textId="77777777" w:rsidTr="008E1A17">
        <w:trPr>
          <w:tblCellSpacing w:w="0" w:type="dxa"/>
        </w:trPr>
        <w:tc>
          <w:tcPr>
            <w:tcW w:w="0" w:type="auto"/>
            <w:hideMark/>
          </w:tcPr>
          <w:p w14:paraId="70C89C0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5B1594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modelleerimismudelitega:</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4D5219" w14:paraId="0A9148C1" w14:textId="77777777">
              <w:trPr>
                <w:tblCellSpacing w:w="0" w:type="dxa"/>
              </w:trPr>
              <w:tc>
                <w:tcPr>
                  <w:tcW w:w="0" w:type="auto"/>
                  <w:hideMark/>
                </w:tcPr>
                <w:p w14:paraId="65EFC18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39DF50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 võrguettevõtja või asjaomase põhivõrguettevõtja taotlusel peab tootmisüksuse omanik esitama mudeli, mis kirjeldab õigesti tootmismooduli püsitalitlust ja dünaamilist talitlust (50 Hz komponent) või elektromagnetilist siirdeprotsessi.</w:t>
                  </w:r>
                </w:p>
                <w:p w14:paraId="4711A2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Tootmisüksuse omanik peab tagama, et esitatud mudelite sobivust kontrollitaks vastavuskatsetega, millele on osutatud IV jaotise 2., 3. ja 4. peatükis, ning teatama kontrolli tulemused asjaomasele võrguettevõtjale või põhivõrguettevõtjale. Liikmesriigid võivad nõuda, et sellist kontrolli teeks volitatud </w:t>
                  </w:r>
                  <w:proofErr w:type="spellStart"/>
                  <w:r w:rsidRPr="004D5219">
                    <w:rPr>
                      <w:rFonts w:ascii="inherit" w:eastAsia="Times New Roman" w:hAnsi="inherit" w:cs="Times New Roman"/>
                      <w:sz w:val="24"/>
                      <w:szCs w:val="24"/>
                      <w:lang w:val="et-EE" w:bidi="ar-SA"/>
                    </w:rPr>
                    <w:t>sertifitseerija</w:t>
                  </w:r>
                  <w:proofErr w:type="spellEnd"/>
                  <w:r w:rsidRPr="004D5219">
                    <w:rPr>
                      <w:rFonts w:ascii="inherit" w:eastAsia="Times New Roman" w:hAnsi="inherit" w:cs="Times New Roman"/>
                      <w:sz w:val="24"/>
                      <w:szCs w:val="24"/>
                      <w:lang w:val="et-EE" w:bidi="ar-SA"/>
                    </w:rPr>
                    <w:t>;</w:t>
                  </w:r>
                </w:p>
              </w:tc>
            </w:tr>
          </w:tbl>
          <w:p w14:paraId="02A0D21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4D5219" w14:paraId="23015E04" w14:textId="77777777">
              <w:trPr>
                <w:tblCellSpacing w:w="0" w:type="dxa"/>
              </w:trPr>
              <w:tc>
                <w:tcPr>
                  <w:tcW w:w="0" w:type="auto"/>
                  <w:hideMark/>
                </w:tcPr>
                <w:p w14:paraId="6EA82B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4496A6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omaniku esitatud mudelid peavad sisaldama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871"/>
                    <w:gridCol w:w="8178"/>
                  </w:tblGrid>
                  <w:tr w:rsidR="008E1A17" w:rsidRPr="004D5219" w14:paraId="34C73322" w14:textId="77777777">
                    <w:trPr>
                      <w:tblCellSpacing w:w="0" w:type="dxa"/>
                    </w:trPr>
                    <w:tc>
                      <w:tcPr>
                        <w:tcW w:w="0" w:type="auto"/>
                        <w:hideMark/>
                      </w:tcPr>
                      <w:p w14:paraId="62700C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FAD41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generaator ja jõumasin;</w:t>
                        </w:r>
                      </w:p>
                    </w:tc>
                  </w:tr>
                </w:tbl>
                <w:p w14:paraId="590179F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92"/>
                    <w:gridCol w:w="8357"/>
                  </w:tblGrid>
                  <w:tr w:rsidR="008E1A17" w:rsidRPr="004D5219" w14:paraId="0A410397" w14:textId="77777777">
                    <w:trPr>
                      <w:tblCellSpacing w:w="0" w:type="dxa"/>
                    </w:trPr>
                    <w:tc>
                      <w:tcPr>
                        <w:tcW w:w="0" w:type="auto"/>
                        <w:hideMark/>
                      </w:tcPr>
                      <w:p w14:paraId="28AFDD2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DC5044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kiiruse ja võimsuse juhtimine;</w:t>
                        </w:r>
                      </w:p>
                    </w:tc>
                  </w:tr>
                </w:tbl>
                <w:p w14:paraId="7B33608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02305EE2" w14:textId="77777777">
                    <w:trPr>
                      <w:tblCellSpacing w:w="0" w:type="dxa"/>
                    </w:trPr>
                    <w:tc>
                      <w:tcPr>
                        <w:tcW w:w="0" w:type="auto"/>
                        <w:hideMark/>
                      </w:tcPr>
                      <w:p w14:paraId="7D0B802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D4103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 juhtimine, sealhulgas vajaduse korral elektrisüsteemi stabilisaator ja ergutuse juhtimissüsteem;</w:t>
                        </w:r>
                      </w:p>
                    </w:tc>
                  </w:tr>
                </w:tbl>
                <w:p w14:paraId="14B4B09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7CD5C701" w14:textId="77777777">
                    <w:trPr>
                      <w:tblCellSpacing w:w="0" w:type="dxa"/>
                    </w:trPr>
                    <w:tc>
                      <w:tcPr>
                        <w:tcW w:w="0" w:type="auto"/>
                        <w:hideMark/>
                      </w:tcPr>
                      <w:p w14:paraId="72E8267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F1893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kaitsete mudelid, nagu asjaomane võrguettevõtja ja tootmisüksuse omanik on kokku leppinud, ja</w:t>
                        </w:r>
                      </w:p>
                    </w:tc>
                  </w:tr>
                </w:tbl>
                <w:p w14:paraId="3040598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83"/>
                    <w:gridCol w:w="8566"/>
                  </w:tblGrid>
                  <w:tr w:rsidR="008E1A17" w:rsidRPr="004D5219" w14:paraId="4087FE20" w14:textId="77777777">
                    <w:trPr>
                      <w:tblCellSpacing w:w="0" w:type="dxa"/>
                    </w:trPr>
                    <w:tc>
                      <w:tcPr>
                        <w:tcW w:w="0" w:type="auto"/>
                        <w:hideMark/>
                      </w:tcPr>
                      <w:p w14:paraId="2FB6E30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62FBD9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energiapargimoodulite muundurite mudelid;</w:t>
                        </w:r>
                      </w:p>
                    </w:tc>
                  </w:tr>
                </w:tbl>
                <w:p w14:paraId="3C2CF009"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68083A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3229B46D" w14:textId="77777777">
              <w:trPr>
                <w:tblCellSpacing w:w="0" w:type="dxa"/>
              </w:trPr>
              <w:tc>
                <w:tcPr>
                  <w:tcW w:w="0" w:type="auto"/>
                  <w:hideMark/>
                </w:tcPr>
                <w:p w14:paraId="0B46E9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3A70BD5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 võrguettevõtja taotlus, millele on osutatud punktis i, tuleb kooskõlastada asjaomase põhivõrguettevõtjaga. See peab sisaldama järgmist:</w:t>
                  </w:r>
                </w:p>
                <w:tbl>
                  <w:tblPr>
                    <w:tblW w:w="5000" w:type="pct"/>
                    <w:tblCellSpacing w:w="0" w:type="dxa"/>
                    <w:tblCellMar>
                      <w:left w:w="0" w:type="dxa"/>
                      <w:right w:w="0" w:type="dxa"/>
                    </w:tblCellMar>
                    <w:tblLook w:val="04A0" w:firstRow="1" w:lastRow="0" w:firstColumn="1" w:lastColumn="0" w:noHBand="0" w:noVBand="1"/>
                  </w:tblPr>
                  <w:tblGrid>
                    <w:gridCol w:w="547"/>
                    <w:gridCol w:w="8436"/>
                  </w:tblGrid>
                  <w:tr w:rsidR="008E1A17" w:rsidRPr="004D5219" w14:paraId="53856B7A" w14:textId="77777777">
                    <w:trPr>
                      <w:tblCellSpacing w:w="0" w:type="dxa"/>
                    </w:trPr>
                    <w:tc>
                      <w:tcPr>
                        <w:tcW w:w="0" w:type="auto"/>
                        <w:hideMark/>
                      </w:tcPr>
                      <w:p w14:paraId="121D47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84B80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vorming, milles tuleb mudelid esitada;</w:t>
                        </w:r>
                      </w:p>
                    </w:tc>
                  </w:tr>
                </w:tbl>
                <w:p w14:paraId="407903E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04"/>
                    <w:gridCol w:w="8579"/>
                  </w:tblGrid>
                  <w:tr w:rsidR="008E1A17" w:rsidRPr="00A2039D" w14:paraId="7C44E10D" w14:textId="77777777">
                    <w:trPr>
                      <w:tblCellSpacing w:w="0" w:type="dxa"/>
                    </w:trPr>
                    <w:tc>
                      <w:tcPr>
                        <w:tcW w:w="0" w:type="auto"/>
                        <w:hideMark/>
                      </w:tcPr>
                      <w:p w14:paraId="7D98AEC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w:t>
                        </w:r>
                      </w:p>
                    </w:tc>
                    <w:tc>
                      <w:tcPr>
                        <w:tcW w:w="0" w:type="auto"/>
                        <w:hideMark/>
                      </w:tcPr>
                      <w:p w14:paraId="6576090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dokumendid mudeli ülesehituse ja plokkskeemidega;</w:t>
                        </w:r>
                      </w:p>
                    </w:tc>
                  </w:tr>
                </w:tbl>
                <w:p w14:paraId="797AA09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43"/>
                  </w:tblGrid>
                  <w:tr w:rsidR="008E1A17" w:rsidRPr="00A2039D" w14:paraId="63CE4D63" w14:textId="77777777">
                    <w:trPr>
                      <w:tblCellSpacing w:w="0" w:type="dxa"/>
                    </w:trPr>
                    <w:tc>
                      <w:tcPr>
                        <w:tcW w:w="0" w:type="auto"/>
                        <w:hideMark/>
                      </w:tcPr>
                      <w:p w14:paraId="706EA36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93EFD8F" w14:textId="2D8786B4"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lühisvõimsuse miinimumi ja maksimumi hinnang [MVA] ühenduspunktis võrgu ekvivalendina;</w:t>
                        </w:r>
                      </w:p>
                      <w:p w14:paraId="43476522" w14:textId="77777777" w:rsidR="007075AD" w:rsidRPr="004D5219" w:rsidRDefault="007075AD" w:rsidP="008E1A17">
                        <w:pPr>
                          <w:widowControl/>
                          <w:autoSpaceDE/>
                          <w:autoSpaceDN/>
                          <w:spacing w:before="120"/>
                          <w:jc w:val="both"/>
                          <w:rPr>
                            <w:rFonts w:ascii="inherit" w:eastAsia="Times New Roman" w:hAnsi="inherit" w:cs="Times New Roman"/>
                            <w:sz w:val="24"/>
                            <w:szCs w:val="24"/>
                            <w:lang w:val="et-EE" w:bidi="ar-SA"/>
                          </w:rPr>
                        </w:pPr>
                      </w:p>
                      <w:p w14:paraId="224AE031" w14:textId="76605DB6" w:rsidR="007075AD" w:rsidRPr="004D5219" w:rsidRDefault="007075AD" w:rsidP="007075AD">
                        <w:pPr>
                          <w:rPr>
                            <w:rFonts w:asciiTheme="minorHAnsi" w:hAnsiTheme="minorHAnsi"/>
                            <w:lang w:val="et-EE"/>
                          </w:rPr>
                        </w:pPr>
                        <w:r w:rsidRPr="004D5219">
                          <w:rPr>
                            <w:highlight w:val="cyan"/>
                            <w:lang w:val="et-EE"/>
                          </w:rPr>
                          <w:t>Täpsemad selgitused ja juhised tootmismoodulite mudelite kohta antakse  asjaomase võrguettevõtja  liitumistingimustes.</w:t>
                        </w:r>
                      </w:p>
                      <w:p w14:paraId="5F809B2F" w14:textId="69F81191" w:rsidR="007075AD" w:rsidRPr="004D5219" w:rsidRDefault="007075AD" w:rsidP="008E1A17">
                        <w:pPr>
                          <w:widowControl/>
                          <w:autoSpaceDE/>
                          <w:autoSpaceDN/>
                          <w:spacing w:before="120"/>
                          <w:jc w:val="both"/>
                          <w:rPr>
                            <w:rFonts w:ascii="inherit" w:eastAsia="Times New Roman" w:hAnsi="inherit" w:cs="Times New Roman"/>
                            <w:sz w:val="24"/>
                            <w:szCs w:val="24"/>
                            <w:lang w:val="et-EE" w:bidi="ar-SA"/>
                          </w:rPr>
                        </w:pPr>
                      </w:p>
                    </w:tc>
                  </w:tr>
                </w:tbl>
                <w:p w14:paraId="7C7BBDB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4FB943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6091BED0" w14:textId="77777777">
              <w:trPr>
                <w:tblCellSpacing w:w="0" w:type="dxa"/>
              </w:trPr>
              <w:tc>
                <w:tcPr>
                  <w:tcW w:w="0" w:type="auto"/>
                  <w:hideMark/>
                </w:tcPr>
                <w:p w14:paraId="4270C0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7A8522B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peab taotluse korral esitama tootmismooduli näitajate salvestused asjaomasele võrguettevõtjale või asjaomasele põhivõrguettevõtjale. Sellise taotluse võib esitada nii asjaomane võrguettevõtja kui ka asjaomane põhivõrguettevõtja, et võrrelda mudeli reageeringut vastavate salvestustega;</w:t>
                  </w:r>
                </w:p>
              </w:tc>
            </w:tr>
          </w:tbl>
          <w:p w14:paraId="525226F9"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4BBC38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DB254EF" w14:textId="77777777" w:rsidTr="008E1A17">
        <w:trPr>
          <w:tblCellSpacing w:w="0" w:type="dxa"/>
        </w:trPr>
        <w:tc>
          <w:tcPr>
            <w:tcW w:w="0" w:type="auto"/>
            <w:hideMark/>
          </w:tcPr>
          <w:p w14:paraId="0248373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277BA694" w14:textId="41B31C76" w:rsidR="00CB59DC"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süsteemi põhiseadmete ja süsteemi talitluskindlust tagavate seadmetega, kui asjaomane võrguettevõtja või asjaomane põhivõrguettevõtja peab vajalikuks paigaldada täiendavaid seadmeid tootmisüksusesse, et säilitada või taastada süsteemi talitlus või talitluskindlus, peab kas asjaomane võrguettevõtja või asjaomane põhivõrguettevõtja arutama seda küsimust tootmisüksuse omanikuga ja leidma sobiva lahenduse;</w:t>
            </w:r>
          </w:p>
        </w:tc>
      </w:tr>
    </w:tbl>
    <w:p w14:paraId="4D71252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111A2B2C" w14:textId="77777777" w:rsidTr="008E1A17">
        <w:trPr>
          <w:tblCellSpacing w:w="0" w:type="dxa"/>
        </w:trPr>
        <w:tc>
          <w:tcPr>
            <w:tcW w:w="0" w:type="auto"/>
            <w:hideMark/>
          </w:tcPr>
          <w:p w14:paraId="08AAF1D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2C4D97ED" w14:textId="626D5293" w:rsidR="00CB59DC" w:rsidRPr="004D5219" w:rsidRDefault="008E1A17" w:rsidP="008E1A17">
            <w:pPr>
              <w:widowControl/>
              <w:autoSpaceDE/>
              <w:autoSpaceDN/>
              <w:spacing w:before="120"/>
              <w:jc w:val="both"/>
              <w:rPr>
                <w:highlight w:val="cyan"/>
                <w:lang w:val="et-EE"/>
              </w:rPr>
            </w:pPr>
            <w:r w:rsidRPr="004D5219">
              <w:rPr>
                <w:rFonts w:ascii="inherit" w:eastAsia="Times New Roman" w:hAnsi="inherit" w:cs="Times New Roman"/>
                <w:sz w:val="24"/>
                <w:szCs w:val="24"/>
                <w:lang w:val="et-EE" w:bidi="ar-SA"/>
              </w:rPr>
              <w:t>asjaomane võrguettevõtja peab kooskõlastatult asjaomase põhivõrguettevõtjaga kindlaks määrama, milline on tootmismooduli väljundaktiivvõimsuse muutumiskiiruse ülemine ja alumine piir nii võimsuse suurenemise kui ka vähenemise suunas, võttes arvesse jõumasina lahenduse iseloomulikke tehnilisi näitajaid;</w:t>
            </w:r>
          </w:p>
          <w:p w14:paraId="210D2A3D" w14:textId="2F863A6A" w:rsidR="00CB59DC" w:rsidRPr="004D5219" w:rsidRDefault="00CB59DC"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Ülemised piirid määratakse projektipõhiselt, arvestades tootmismooduli tehnilist võimekust. Minimaalsed reguleerimiskiirused toodud punktis 15.2.(a).</w:t>
            </w:r>
          </w:p>
        </w:tc>
      </w:tr>
    </w:tbl>
    <w:p w14:paraId="33F6F5A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A2039D" w14:paraId="73D8AE1D" w14:textId="77777777" w:rsidTr="008E1A17">
        <w:trPr>
          <w:tblCellSpacing w:w="0" w:type="dxa"/>
        </w:trPr>
        <w:tc>
          <w:tcPr>
            <w:tcW w:w="0" w:type="auto"/>
            <w:hideMark/>
          </w:tcPr>
          <w:p w14:paraId="2439CF4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58D163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pingekõrgendustrafo võrgupoolse </w:t>
            </w:r>
            <w:proofErr w:type="spellStart"/>
            <w:r w:rsidRPr="004D5219">
              <w:rPr>
                <w:rFonts w:ascii="inherit" w:eastAsia="Times New Roman" w:hAnsi="inherit" w:cs="Times New Roman"/>
                <w:sz w:val="24"/>
                <w:szCs w:val="24"/>
                <w:lang w:val="et-EE" w:bidi="ar-SA"/>
              </w:rPr>
              <w:t>neutraali</w:t>
            </w:r>
            <w:proofErr w:type="spellEnd"/>
            <w:r w:rsidRPr="004D5219">
              <w:rPr>
                <w:rFonts w:ascii="inherit" w:eastAsia="Times New Roman" w:hAnsi="inherit" w:cs="Times New Roman"/>
                <w:sz w:val="24"/>
                <w:szCs w:val="24"/>
                <w:lang w:val="et-EE" w:bidi="ar-SA"/>
              </w:rPr>
              <w:t xml:space="preserve"> maandus peab olema vastavuses asjaomase võrguettevõtja tehniliste näitajatega.</w:t>
            </w:r>
          </w:p>
        </w:tc>
      </w:tr>
    </w:tbl>
    <w:p w14:paraId="5A9C8D03"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16</w:t>
      </w:r>
    </w:p>
    <w:p w14:paraId="42DA9D4F"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Üldnõuded</w:t>
      </w:r>
      <w:proofErr w:type="spellEnd"/>
      <w:r w:rsidRPr="004D5219">
        <w:rPr>
          <w:rFonts w:ascii="inherit" w:eastAsia="Times New Roman" w:hAnsi="inherit" w:cs="Times New Roman"/>
          <w:b/>
          <w:bCs/>
          <w:color w:val="000000"/>
          <w:sz w:val="24"/>
          <w:szCs w:val="24"/>
          <w:lang w:val="et-EE" w:bidi="ar-SA"/>
        </w:rPr>
        <w:t xml:space="preserve"> D-tüüpi tootmismoodulite kohta</w:t>
      </w:r>
    </w:p>
    <w:p w14:paraId="57D1A4C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Lisaks nõuetele, mis on sätestatud artiklites 13, 14 ja 15, välja arvatud artikli 13 lõike 2 punkt b, artikli 13 lõiked 6 ja 7, artikli 14 lõige 2 ning artikli 15 lõige 3, peavad D-tüüpi tootmismoodulid vastama järgmistele käesolevas artiklis sätestatud nõuetele.</w:t>
      </w:r>
    </w:p>
    <w:p w14:paraId="20AB78A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D-tüüpi tootmismoodulid peavad pinge stabiilsuse osas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31495C9" w14:textId="77777777" w:rsidTr="008E1A17">
        <w:trPr>
          <w:tblCellSpacing w:w="0" w:type="dxa"/>
        </w:trPr>
        <w:tc>
          <w:tcPr>
            <w:tcW w:w="0" w:type="auto"/>
            <w:hideMark/>
          </w:tcPr>
          <w:p w14:paraId="6D3F88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964E3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pingevahemikuga:</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4392C5FA" w14:textId="77777777">
              <w:trPr>
                <w:tblCellSpacing w:w="0" w:type="dxa"/>
              </w:trPr>
              <w:tc>
                <w:tcPr>
                  <w:tcW w:w="0" w:type="auto"/>
                  <w:hideMark/>
                </w:tcPr>
                <w:p w14:paraId="6E6A453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7DEE8C8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ilma et sellega piirataks artikli 14 lõike 3 punkti a ja käesoleva artikli lõike 3 punkti a sätteid, peab tootmismoodul olema suuteline jääma võrku ühendatuks ja talitlema tabelites 6.1 ja 6.2 esitatud ühenduspunkti võrgupinge vahemikes, mis on väljendatud võrdlusväärtuse 1 suhtes (suhtelistes ühikutes), ning ajavahemikes;</w:t>
                  </w:r>
                </w:p>
              </w:tc>
            </w:tr>
          </w:tbl>
          <w:p w14:paraId="70C1F00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65CF9292" w14:textId="77777777">
              <w:trPr>
                <w:tblCellSpacing w:w="0" w:type="dxa"/>
              </w:trPr>
              <w:tc>
                <w:tcPr>
                  <w:tcW w:w="0" w:type="auto"/>
                  <w:hideMark/>
                </w:tcPr>
                <w:p w14:paraId="5B22C93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08EEAB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põhivõrguettevõtja võib määrata lühemad ajavahemikud, mille kestel peavad tootmismoodulid suutma jääda võrku ühendatuks, kui üheaegselt esineb nii </w:t>
                  </w:r>
                  <w:proofErr w:type="spellStart"/>
                  <w:r w:rsidRPr="004D5219">
                    <w:rPr>
                      <w:rFonts w:ascii="inherit" w:eastAsia="Times New Roman" w:hAnsi="inherit" w:cs="Times New Roman"/>
                      <w:sz w:val="24"/>
                      <w:szCs w:val="24"/>
                      <w:lang w:val="et-EE" w:bidi="ar-SA"/>
                    </w:rPr>
                    <w:t>ülepinge</w:t>
                  </w:r>
                  <w:proofErr w:type="spellEnd"/>
                  <w:r w:rsidRPr="004D5219">
                    <w:rPr>
                      <w:rFonts w:ascii="inherit" w:eastAsia="Times New Roman" w:hAnsi="inherit" w:cs="Times New Roman"/>
                      <w:sz w:val="24"/>
                      <w:szCs w:val="24"/>
                      <w:lang w:val="et-EE" w:bidi="ar-SA"/>
                    </w:rPr>
                    <w:t xml:space="preserve"> kui ka alasagedus või kui üheaegselt esineb nii alapinge kui ka </w:t>
                  </w:r>
                  <w:proofErr w:type="spellStart"/>
                  <w:r w:rsidRPr="004D5219">
                    <w:rPr>
                      <w:rFonts w:ascii="inherit" w:eastAsia="Times New Roman" w:hAnsi="inherit" w:cs="Times New Roman"/>
                      <w:sz w:val="24"/>
                      <w:szCs w:val="24"/>
                      <w:lang w:val="et-EE" w:bidi="ar-SA"/>
                    </w:rPr>
                    <w:t>ülesagedus</w:t>
                  </w:r>
                  <w:proofErr w:type="spellEnd"/>
                  <w:r w:rsidRPr="004D5219">
                    <w:rPr>
                      <w:rFonts w:ascii="inherit" w:eastAsia="Times New Roman" w:hAnsi="inherit" w:cs="Times New Roman"/>
                      <w:sz w:val="24"/>
                      <w:szCs w:val="24"/>
                      <w:lang w:val="et-EE" w:bidi="ar-SA"/>
                    </w:rPr>
                    <w:t>;</w:t>
                  </w:r>
                </w:p>
              </w:tc>
            </w:tr>
          </w:tbl>
          <w:p w14:paraId="6736E34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30890E52" w14:textId="77777777">
              <w:trPr>
                <w:tblCellSpacing w:w="0" w:type="dxa"/>
              </w:trPr>
              <w:tc>
                <w:tcPr>
                  <w:tcW w:w="0" w:type="auto"/>
                  <w:hideMark/>
                </w:tcPr>
                <w:p w14:paraId="3FBAC8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7BBA2E2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sõltumata punkti i sätetest võib asjaomane põhivõrguettevõtja Hispaanias nõuda, et tootmismoodulid peavad suutma jääda võrku piiramata ajaks ühendatuks, kui pinge on vahemikus 1,05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xml:space="preserve">. kuni 1,0875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w:t>
                  </w:r>
                </w:p>
              </w:tc>
            </w:tr>
          </w:tbl>
          <w:p w14:paraId="14F7215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4324A20C" w14:textId="77777777">
              <w:trPr>
                <w:tblCellSpacing w:w="0" w:type="dxa"/>
              </w:trPr>
              <w:tc>
                <w:tcPr>
                  <w:tcW w:w="0" w:type="auto"/>
                  <w:hideMark/>
                </w:tcPr>
                <w:p w14:paraId="67C7510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647DA4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400 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pingega võrgus (või ka võrgus, mida tavaliselt nimetatakse 380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võrguks) vastab pinge 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baasväärtusele 400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muude pingeastmetega võrkudes võib 1 suhtelise ühiku baasväärtusele vastata erinev pinge iga võrguettevõtja puhul ühel ja samal sünkroonalal;</w:t>
                  </w:r>
                </w:p>
              </w:tc>
            </w:tr>
          </w:tbl>
          <w:p w14:paraId="6F698E9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3"/>
            </w:tblGrid>
            <w:tr w:rsidR="008E1A17" w:rsidRPr="00A2039D" w14:paraId="32D047E9" w14:textId="77777777">
              <w:trPr>
                <w:tblCellSpacing w:w="0" w:type="dxa"/>
              </w:trPr>
              <w:tc>
                <w:tcPr>
                  <w:tcW w:w="0" w:type="auto"/>
                  <w:hideMark/>
                </w:tcPr>
                <w:p w14:paraId="3F8FDD5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v)</w:t>
                  </w:r>
                </w:p>
              </w:tc>
              <w:tc>
                <w:tcPr>
                  <w:tcW w:w="0" w:type="auto"/>
                  <w:hideMark/>
                </w:tcPr>
                <w:p w14:paraId="0D2C4714" w14:textId="4B7BC342" w:rsidR="008E1A17"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sõltumata punkti i sätetest võivad asjaomased põhivõrguettevõtjad Balti energiasüsteemi sünkroonalal nõuda, et tootmismoodulid jääksid 400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võrku ühendatuks pingevahemikus ja ajavahemikus, mis kehtivad Mandri-Euroopa sünkroonalal.</w:t>
                  </w:r>
                </w:p>
                <w:p w14:paraId="65FE9124" w14:textId="72130DEF" w:rsidR="00AF05C4" w:rsidRDefault="00AF05C4" w:rsidP="008E1A17">
                  <w:pPr>
                    <w:widowControl/>
                    <w:autoSpaceDE/>
                    <w:autoSpaceDN/>
                    <w:spacing w:before="120"/>
                    <w:jc w:val="both"/>
                    <w:rPr>
                      <w:rFonts w:ascii="inherit" w:eastAsia="Times New Roman" w:hAnsi="inherit" w:cs="Times New Roman"/>
                      <w:sz w:val="24"/>
                      <w:szCs w:val="24"/>
                      <w:lang w:val="et-EE" w:bidi="ar-SA"/>
                    </w:rPr>
                  </w:pPr>
                </w:p>
                <w:p w14:paraId="600A6D54" w14:textId="0B1111C0" w:rsidR="00AF05C4" w:rsidRDefault="00AF05C4" w:rsidP="008E1A17">
                  <w:pPr>
                    <w:widowControl/>
                    <w:autoSpaceDE/>
                    <w:autoSpaceDN/>
                    <w:spacing w:before="120"/>
                    <w:jc w:val="both"/>
                    <w:rPr>
                      <w:rFonts w:ascii="inherit" w:eastAsia="Times New Roman" w:hAnsi="inherit" w:cs="Times New Roman"/>
                      <w:sz w:val="24"/>
                      <w:szCs w:val="24"/>
                      <w:lang w:val="et-EE" w:bidi="ar-SA"/>
                    </w:rPr>
                  </w:pPr>
                </w:p>
                <w:p w14:paraId="28E2AB3F" w14:textId="77777777" w:rsidR="00AF05C4" w:rsidRPr="004D5219" w:rsidRDefault="00AF05C4" w:rsidP="008E1A17">
                  <w:pPr>
                    <w:widowControl/>
                    <w:autoSpaceDE/>
                    <w:autoSpaceDN/>
                    <w:spacing w:before="120"/>
                    <w:jc w:val="both"/>
                    <w:rPr>
                      <w:rFonts w:ascii="inherit" w:eastAsia="Times New Roman" w:hAnsi="inherit" w:cs="Times New Roman"/>
                      <w:sz w:val="24"/>
                      <w:szCs w:val="24"/>
                      <w:lang w:val="et-EE" w:bidi="ar-SA"/>
                    </w:rPr>
                  </w:pPr>
                </w:p>
                <w:p w14:paraId="76AF7B44"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6.1</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82"/>
                    <w:gridCol w:w="3005"/>
                    <w:gridCol w:w="2560"/>
                  </w:tblGrid>
                  <w:tr w:rsidR="008E1A17" w:rsidRPr="00A2039D" w14:paraId="1B7C0F8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518D7F7"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6521E6BC"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09DA97D"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Ajavahemik</w:t>
                        </w:r>
                      </w:p>
                    </w:tc>
                  </w:tr>
                  <w:tr w:rsidR="008E1A17" w:rsidRPr="00A2039D" w14:paraId="7F510D60"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D60D74E"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730C3E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0,85–0,90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4D80BF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30 minutit</w:t>
                        </w:r>
                      </w:p>
                    </w:tc>
                  </w:tr>
                  <w:tr w:rsidR="008E1A17" w:rsidRPr="00A2039D" w14:paraId="6DF14CC0"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7B109D"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033930E1"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0,90–1,118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4414D30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Piiramata</w:t>
                        </w:r>
                      </w:p>
                    </w:tc>
                  </w:tr>
                  <w:tr w:rsidR="008E1A17" w:rsidRPr="00A2039D" w14:paraId="3B496643"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1A46FA"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5421CDF2"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1,118–1,15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2FE690A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bl>
                <w:p w14:paraId="09E4E6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Lühimad</w:t>
                  </w:r>
                  <w:proofErr w:type="spellEnd"/>
                  <w:r w:rsidRPr="004D5219">
                    <w:rPr>
                      <w:rFonts w:ascii="inherit" w:eastAsia="Times New Roman" w:hAnsi="inherit" w:cs="Times New Roman"/>
                      <w:sz w:val="24"/>
                      <w:szCs w:val="24"/>
                      <w:lang w:val="et-EE" w:bidi="ar-SA"/>
                    </w:rPr>
                    <w:t xml:space="preserve"> ajavahemikud, mille jooksul tootmismoodul peab suutma talitleda ilma lahti ühendumata võrgust, kui ühenduspunktis on kõrvalekalded pinge võrdlusväärtusest 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pinge suhteliste ühikute arvutamise alusväärtus on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kuni 300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w:t>
                  </w:r>
                </w:p>
                <w:p w14:paraId="2D6294F2"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6.2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82"/>
                    <w:gridCol w:w="3005"/>
                    <w:gridCol w:w="2560"/>
                  </w:tblGrid>
                  <w:tr w:rsidR="008E1A17" w:rsidRPr="00A2039D" w14:paraId="79EA637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F8E460"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C5E1643"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6088C495"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Ajavahemik</w:t>
                        </w:r>
                      </w:p>
                    </w:tc>
                  </w:tr>
                  <w:tr w:rsidR="008E1A17" w:rsidRPr="00A2039D" w14:paraId="1CA03F2A" w14:textId="7777777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7C894A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04FCB93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0,88–0,90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E5A634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r w:rsidR="008E1A17" w:rsidRPr="00A2039D" w14:paraId="3E8A53C2"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A3FF1B"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107E884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0,90–1,097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13EBA9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Piiramata</w:t>
                        </w:r>
                      </w:p>
                    </w:tc>
                  </w:tr>
                  <w:tr w:rsidR="008E1A17" w:rsidRPr="00A2039D" w14:paraId="760B7FAE" w14:textId="7777777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BC05D4"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57387360"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1,097–1,15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2BAF102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bl>
                <w:p w14:paraId="322E3C6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Lühimad</w:t>
                  </w:r>
                  <w:proofErr w:type="spellEnd"/>
                  <w:r w:rsidRPr="004D5219">
                    <w:rPr>
                      <w:rFonts w:ascii="inherit" w:eastAsia="Times New Roman" w:hAnsi="inherit" w:cs="Times New Roman"/>
                      <w:sz w:val="24"/>
                      <w:szCs w:val="24"/>
                      <w:lang w:val="et-EE" w:bidi="ar-SA"/>
                    </w:rPr>
                    <w:t xml:space="preserve"> ajavahemikud, mille jooksul tootmismoodul peab suutma talitleda ilma lahti ühendumata võrgust, kui ühenduspunktis on kõrvalekalded pinge võrdlusväärtusest 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pinge suhteliste ühikute arvutamise alusväärtus on 300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 xml:space="preserve"> kuni 400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w:t>
                  </w:r>
                </w:p>
              </w:tc>
            </w:tr>
          </w:tbl>
          <w:p w14:paraId="7B637F39"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7C2FF0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CCC744E" w14:textId="77777777" w:rsidTr="008E1A17">
        <w:trPr>
          <w:tblCellSpacing w:w="0" w:type="dxa"/>
        </w:trPr>
        <w:tc>
          <w:tcPr>
            <w:tcW w:w="0" w:type="auto"/>
            <w:hideMark/>
          </w:tcPr>
          <w:p w14:paraId="4EBECCE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8C731C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võrguettevõtja kokkuleppel tootmisüksuse omanikuga võib kooskõlastatult asjaomase põhivõrguettevõtjaga määratleda suuremad pingevahemikud ja pikemad </w:t>
            </w:r>
            <w:proofErr w:type="spellStart"/>
            <w:r w:rsidRPr="004D5219">
              <w:rPr>
                <w:rFonts w:ascii="inherit" w:eastAsia="Times New Roman" w:hAnsi="inherit" w:cs="Times New Roman"/>
                <w:sz w:val="24"/>
                <w:szCs w:val="24"/>
                <w:lang w:val="et-EE" w:bidi="ar-SA"/>
              </w:rPr>
              <w:t>lühimad</w:t>
            </w:r>
            <w:proofErr w:type="spellEnd"/>
            <w:r w:rsidRPr="004D5219">
              <w:rPr>
                <w:rFonts w:ascii="inherit" w:eastAsia="Times New Roman" w:hAnsi="inherit" w:cs="Times New Roman"/>
                <w:sz w:val="24"/>
                <w:szCs w:val="24"/>
                <w:lang w:val="et-EE" w:bidi="ar-SA"/>
              </w:rPr>
              <w:t xml:space="preserve"> ajavahemikud. Kui suuremad pingevahemikud ja pikemad </w:t>
            </w:r>
            <w:proofErr w:type="spellStart"/>
            <w:r w:rsidRPr="004D5219">
              <w:rPr>
                <w:rFonts w:ascii="inherit" w:eastAsia="Times New Roman" w:hAnsi="inherit" w:cs="Times New Roman"/>
                <w:sz w:val="24"/>
                <w:szCs w:val="24"/>
                <w:lang w:val="et-EE" w:bidi="ar-SA"/>
              </w:rPr>
              <w:t>lühimad</w:t>
            </w:r>
            <w:proofErr w:type="spellEnd"/>
            <w:r w:rsidRPr="004D5219">
              <w:rPr>
                <w:rFonts w:ascii="inherit" w:eastAsia="Times New Roman" w:hAnsi="inherit" w:cs="Times New Roman"/>
                <w:sz w:val="24"/>
                <w:szCs w:val="24"/>
                <w:lang w:val="et-EE" w:bidi="ar-SA"/>
              </w:rPr>
              <w:t xml:space="preserve"> ajavahemikud on tehniliselt ja majanduslikult mõistlikud, ei tohi tootmisüksuse omanik kokkuleppest põhjendamatult keelduda;</w:t>
            </w:r>
          </w:p>
        </w:tc>
      </w:tr>
    </w:tbl>
    <w:p w14:paraId="2A96C13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4005E0E" w14:textId="77777777" w:rsidTr="008E1A17">
        <w:trPr>
          <w:tblCellSpacing w:w="0" w:type="dxa"/>
        </w:trPr>
        <w:tc>
          <w:tcPr>
            <w:tcW w:w="0" w:type="auto"/>
            <w:hideMark/>
          </w:tcPr>
          <w:p w14:paraId="747EE5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32A97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ilma et sellega piirataks punkti a kohaldamist, on asjaomasel võrguettevõtjal koos põhivõrguettevõtjaga õigus kehtestada ühenduspunkti pinged, mille korral tootmismoodul peab olema suuteline automaatselt lahti ühenduma. Asjaomane võrguettevõtja peab kokkuleppel tootmisüksuse omanikuga määrama automaatse </w:t>
            </w:r>
            <w:proofErr w:type="spellStart"/>
            <w:r w:rsidRPr="004D5219">
              <w:rPr>
                <w:rFonts w:ascii="inherit" w:eastAsia="Times New Roman" w:hAnsi="inherit" w:cs="Times New Roman"/>
                <w:sz w:val="24"/>
                <w:szCs w:val="24"/>
                <w:lang w:val="et-EE" w:bidi="ar-SA"/>
              </w:rPr>
              <w:t>lahtiühendumise</w:t>
            </w:r>
            <w:proofErr w:type="spellEnd"/>
            <w:r w:rsidRPr="004D5219">
              <w:rPr>
                <w:rFonts w:ascii="inherit" w:eastAsia="Times New Roman" w:hAnsi="inherit" w:cs="Times New Roman"/>
                <w:sz w:val="24"/>
                <w:szCs w:val="24"/>
                <w:lang w:val="et-EE" w:bidi="ar-SA"/>
              </w:rPr>
              <w:t xml:space="preserve"> seadistused ja tingimused.</w:t>
            </w:r>
          </w:p>
        </w:tc>
      </w:tr>
    </w:tbl>
    <w:p w14:paraId="2D252C0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D-tüüpi tootmismoodulid peavad töökindluse suhtes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34EB6B87" w14:textId="77777777" w:rsidTr="008E1A17">
        <w:trPr>
          <w:tblCellSpacing w:w="0" w:type="dxa"/>
        </w:trPr>
        <w:tc>
          <w:tcPr>
            <w:tcW w:w="0" w:type="auto"/>
            <w:hideMark/>
          </w:tcPr>
          <w:p w14:paraId="06170CC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D5292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w:t>
            </w:r>
            <w:proofErr w:type="spellStart"/>
            <w:r w:rsidRPr="004D5219">
              <w:rPr>
                <w:rFonts w:ascii="inherit" w:eastAsia="Times New Roman" w:hAnsi="inherit" w:cs="Times New Roman"/>
                <w:sz w:val="24"/>
                <w:szCs w:val="24"/>
                <w:lang w:val="et-EE" w:bidi="ar-SA"/>
              </w:rPr>
              <w:t>rikkeläbimisvõimega</w:t>
            </w:r>
            <w:proofErr w:type="spellEnd"/>
            <w:r w:rsidRPr="004D5219">
              <w:rPr>
                <w:rFonts w:ascii="inherit" w:eastAsia="Times New Roman" w:hAnsi="inherit" w:cs="Times New Roman"/>
                <w:sz w:val="24"/>
                <w:szCs w:val="24"/>
                <w:lang w:val="et-EE" w:bidi="ar-SA"/>
              </w:rPr>
              <w:t>:</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41554FEC" w14:textId="77777777">
              <w:trPr>
                <w:tblCellSpacing w:w="0" w:type="dxa"/>
              </w:trPr>
              <w:tc>
                <w:tcPr>
                  <w:tcW w:w="0" w:type="auto"/>
                  <w:hideMark/>
                </w:tcPr>
                <w:p w14:paraId="23BAC3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EFB8A4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 peab suutma võrguühenduse säilitada ja stabiilselt talitleda, kui võrgus on tekkinud turvatud rike. Selline suutlikkus peab olema kooskõlas pingelohu läbimise kõveraga ühenduspunktis põhivõrguettevõtja sätestatud rikketingimustel.</w:t>
                  </w:r>
                </w:p>
                <w:p w14:paraId="22F4B9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Pingelohu läbimise kõveral peab olema näidatud </w:t>
                  </w:r>
                  <w:proofErr w:type="spellStart"/>
                  <w:r w:rsidRPr="004D5219">
                    <w:rPr>
                      <w:rFonts w:ascii="inherit" w:eastAsia="Times New Roman" w:hAnsi="inherit" w:cs="Times New Roman"/>
                      <w:sz w:val="24"/>
                      <w:szCs w:val="24"/>
                      <w:lang w:val="et-EE" w:bidi="ar-SA"/>
                    </w:rPr>
                    <w:t>faasidevaheliste</w:t>
                  </w:r>
                  <w:proofErr w:type="spellEnd"/>
                  <w:r w:rsidRPr="004D5219">
                    <w:rPr>
                      <w:rFonts w:ascii="inherit" w:eastAsia="Times New Roman" w:hAnsi="inherit" w:cs="Times New Roman"/>
                      <w:sz w:val="24"/>
                      <w:szCs w:val="24"/>
                      <w:lang w:val="et-EE" w:bidi="ar-SA"/>
                    </w:rPr>
                    <w:t xml:space="preserve"> pingete tegeliku muutumise alampiir võrgupinge suhtes ühenduspunktis sümmeetrilise rikke korral aja funktsioonina rikke eel, rikke ajal ja rikke järel.</w:t>
                  </w:r>
                </w:p>
                <w:p w14:paraId="217F6EC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Sellise alampiiri peab määrama kindlaks asjaomane põhivõrguettevõtja, kasutades joonisel 3 osutatud näitajaid ja vahemikke, mis on esitatud tabelites 7.1 ja 7.2 D-tüüpi tootmismoodulite kohta, mis on ühendatud pingel vähemalt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w:t>
                  </w:r>
                </w:p>
                <w:p w14:paraId="30C99B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Sellise alampiiri peab määrama kindlaks ka asjaomane põhivõrguettevõtja, kasutades joonisel 3 osutatud näitajaid ja vahemikke, mis on esitatud tabelites 3.1 ja 3.2 D-tüüpi tootmismoodulite kohta, mis on ühendatud pingel kuni 110 </w:t>
                  </w:r>
                  <w:proofErr w:type="spellStart"/>
                  <w:r w:rsidRPr="004D5219">
                    <w:rPr>
                      <w:rFonts w:ascii="inherit" w:eastAsia="Times New Roman" w:hAnsi="inherit" w:cs="Times New Roman"/>
                      <w:sz w:val="24"/>
                      <w:szCs w:val="24"/>
                      <w:lang w:val="et-EE" w:bidi="ar-SA"/>
                    </w:rPr>
                    <w:t>kV</w:t>
                  </w:r>
                  <w:proofErr w:type="spellEnd"/>
                  <w:r w:rsidRPr="004D5219">
                    <w:rPr>
                      <w:rFonts w:ascii="inherit" w:eastAsia="Times New Roman" w:hAnsi="inherit" w:cs="Times New Roman"/>
                      <w:sz w:val="24"/>
                      <w:szCs w:val="24"/>
                      <w:lang w:val="et-EE" w:bidi="ar-SA"/>
                    </w:rPr>
                    <w:t>;</w:t>
                  </w:r>
                </w:p>
              </w:tc>
            </w:tr>
          </w:tbl>
          <w:p w14:paraId="00E7E5A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4D5219" w14:paraId="0DEA8E7F" w14:textId="77777777">
              <w:trPr>
                <w:tblCellSpacing w:w="0" w:type="dxa"/>
              </w:trPr>
              <w:tc>
                <w:tcPr>
                  <w:tcW w:w="0" w:type="auto"/>
                  <w:hideMark/>
                </w:tcPr>
                <w:p w14:paraId="5B61239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89FF483" w14:textId="48138103"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iga põhivõrguettevõtja peab määrama kindlaks artikli 14 lõike 3 punkti a alapunkti iv kohased rikke-eelsed ja rikkejärgsed tingimused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kohta. Kindlaksmääratud rikke-eelsed ja rikkejärgsed tingimused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kohta tuleb teha üldsusele kättesaadavaks;</w:t>
                  </w:r>
                </w:p>
                <w:p w14:paraId="2F4935C5" w14:textId="26A08CB3"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p w14:paraId="78428976" w14:textId="2BA07D4A"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p w14:paraId="403051A0" w14:textId="0DC8861B" w:rsidR="00031624" w:rsidRPr="004D5219" w:rsidRDefault="002B5FE5" w:rsidP="008E1A17">
                  <w:pPr>
                    <w:widowControl/>
                    <w:autoSpaceDE/>
                    <w:autoSpaceDN/>
                    <w:spacing w:before="120"/>
                    <w:jc w:val="both"/>
                    <w:rPr>
                      <w:rFonts w:ascii="inherit" w:eastAsia="Times New Roman" w:hAnsi="inherit" w:cs="Times New Roman"/>
                      <w:sz w:val="24"/>
                      <w:szCs w:val="24"/>
                      <w:lang w:val="et-EE" w:bidi="ar-SA"/>
                    </w:rPr>
                  </w:pPr>
                  <w:r w:rsidRPr="002E490E">
                    <w:rPr>
                      <w:rFonts w:ascii="inherit" w:eastAsia="Times New Roman" w:hAnsi="inherit" w:cs="Times New Roman"/>
                      <w:sz w:val="24"/>
                      <w:szCs w:val="24"/>
                      <w:highlight w:val="cyan"/>
                      <w:lang w:val="et-EE" w:bidi="ar-SA"/>
                    </w:rPr>
                    <w:t>Joonis</w:t>
                  </w:r>
                  <w:r w:rsidR="002E490E" w:rsidRPr="002E490E">
                    <w:rPr>
                      <w:rFonts w:ascii="inherit" w:eastAsia="Times New Roman" w:hAnsi="inherit" w:cs="Times New Roman"/>
                      <w:sz w:val="24"/>
                      <w:szCs w:val="24"/>
                      <w:highlight w:val="cyan"/>
                      <w:lang w:val="et-EE" w:bidi="ar-SA"/>
                    </w:rPr>
                    <w:t xml:space="preserve"> 3.1</w:t>
                  </w:r>
                </w:p>
                <w:p w14:paraId="3419425C" w14:textId="77777777" w:rsidR="00031624" w:rsidRPr="004D5219" w:rsidRDefault="008D709D" w:rsidP="008E1A17">
                  <w:pPr>
                    <w:widowControl/>
                    <w:autoSpaceDE/>
                    <w:autoSpaceDN/>
                    <w:spacing w:before="120"/>
                    <w:jc w:val="both"/>
                    <w:rPr>
                      <w:rStyle w:val="italic"/>
                      <w:rFonts w:ascii="inherit" w:hAnsi="inherit"/>
                      <w:i/>
                      <w:iCs/>
                      <w:lang w:val="et-EE"/>
                    </w:rPr>
                  </w:pPr>
                  <w:r w:rsidRPr="004D5219">
                    <w:rPr>
                      <w:rStyle w:val="italic"/>
                      <w:rFonts w:ascii="inherit" w:hAnsi="inherit"/>
                      <w:i/>
                      <w:iCs/>
                      <w:noProof/>
                      <w:lang w:val="et-EE"/>
                    </w:rPr>
                    <w:object w:dxaOrig="9319" w:dyaOrig="11860" w14:anchorId="27A08AA0">
                      <v:shape id="_x0000_i1032" type="#_x0000_t75" alt="" style="width:347.2pt;height:443pt;mso-width-percent:0;mso-height-percent:0;mso-width-percent:0;mso-height-percent:0" o:ole="">
                        <v:imagedata r:id="rId28" o:title=""/>
                      </v:shape>
                      <o:OLEObject Type="Embed" ProgID="Visio.Drawing.15" ShapeID="_x0000_i1032" DrawAspect="Content" ObjectID="_1633352380" r:id="rId29"/>
                    </w:object>
                  </w:r>
                </w:p>
                <w:p w14:paraId="380EB773" w14:textId="5B179E1A" w:rsidR="00031624" w:rsidRPr="004D5219" w:rsidRDefault="00031624" w:rsidP="008E1A17">
                  <w:pPr>
                    <w:widowControl/>
                    <w:autoSpaceDE/>
                    <w:autoSpaceDN/>
                    <w:spacing w:before="120"/>
                    <w:jc w:val="both"/>
                    <w:rPr>
                      <w:rStyle w:val="italic"/>
                      <w:rFonts w:ascii="inherit" w:hAnsi="inherit"/>
                      <w:i/>
                      <w:iCs/>
                      <w:lang w:val="et-EE"/>
                    </w:rPr>
                  </w:pPr>
                </w:p>
                <w:p w14:paraId="7B250B13" w14:textId="5BB5A31B" w:rsidR="00031624" w:rsidRPr="004D5219" w:rsidRDefault="00CD3E65" w:rsidP="00031624">
                  <w:pPr>
                    <w:spacing w:before="120"/>
                    <w:jc w:val="both"/>
                    <w:rPr>
                      <w:rFonts w:ascii="inherit" w:hAnsi="inherit"/>
                      <w:lang w:val="et-EE"/>
                    </w:rPr>
                  </w:pPr>
                  <w:r>
                    <w:rPr>
                      <w:rFonts w:ascii="inherit" w:hAnsi="inherit"/>
                      <w:highlight w:val="cyan"/>
                      <w:lang w:val="et-EE"/>
                    </w:rPr>
                    <w:t>Joonisel 3.1</w:t>
                  </w:r>
                  <w:r w:rsidR="00031624" w:rsidRPr="004D5219">
                    <w:rPr>
                      <w:rFonts w:ascii="inherit" w:hAnsi="inherit"/>
                      <w:highlight w:val="cyan"/>
                      <w:lang w:val="et-EE"/>
                    </w:rPr>
                    <w:t xml:space="preserve"> on näidatud pinge-aja kõveral pinge alumine piir ühenduspunktis; tegelik pinge on näidatud suhtena võrdlusväärtuse 1 (suhtelistes ühikutes) suhtes enne riket, rikke ajal ja pärast riket. </w:t>
                  </w:r>
                  <w:proofErr w:type="spellStart"/>
                  <w:r w:rsidR="00031624" w:rsidRPr="004D5219">
                    <w:rPr>
                      <w:rFonts w:ascii="inherit" w:hAnsi="inherit"/>
                      <w:highlight w:val="cyan"/>
                      <w:lang w:val="et-EE"/>
                    </w:rPr>
                    <w:t>U</w:t>
                  </w:r>
                  <w:r w:rsidR="00031624" w:rsidRPr="004D5219">
                    <w:rPr>
                      <w:rStyle w:val="sub"/>
                      <w:rFonts w:ascii="inherit" w:hAnsi="inherit"/>
                      <w:sz w:val="17"/>
                      <w:szCs w:val="17"/>
                      <w:highlight w:val="cyan"/>
                      <w:vertAlign w:val="subscript"/>
                      <w:lang w:val="et-EE"/>
                    </w:rPr>
                    <w:t>ret</w:t>
                  </w:r>
                  <w:proofErr w:type="spellEnd"/>
                  <w:r w:rsidR="00031624" w:rsidRPr="004D5219">
                    <w:rPr>
                      <w:rStyle w:val="apple-converted-space"/>
                      <w:rFonts w:ascii="inherit" w:hAnsi="inherit"/>
                      <w:highlight w:val="cyan"/>
                      <w:lang w:val="et-EE"/>
                    </w:rPr>
                    <w:t> </w:t>
                  </w:r>
                  <w:r w:rsidR="00031624" w:rsidRPr="004D5219">
                    <w:rPr>
                      <w:rFonts w:ascii="inherit" w:hAnsi="inherit"/>
                      <w:highlight w:val="cyan"/>
                      <w:lang w:val="et-EE"/>
                    </w:rPr>
                    <w:t xml:space="preserve">on jääkpinge rikke ajal ühenduspunktis, </w:t>
                  </w:r>
                  <w:proofErr w:type="spellStart"/>
                  <w:r w:rsidR="00031624" w:rsidRPr="004D5219">
                    <w:rPr>
                      <w:rFonts w:ascii="inherit" w:hAnsi="inherit"/>
                      <w:highlight w:val="cyan"/>
                      <w:lang w:val="et-EE"/>
                    </w:rPr>
                    <w:t>t</w:t>
                  </w:r>
                  <w:r w:rsidR="00031624" w:rsidRPr="004D5219">
                    <w:rPr>
                      <w:rStyle w:val="sub"/>
                      <w:rFonts w:ascii="inherit" w:hAnsi="inherit"/>
                      <w:sz w:val="17"/>
                      <w:szCs w:val="17"/>
                      <w:highlight w:val="cyan"/>
                      <w:vertAlign w:val="subscript"/>
                      <w:lang w:val="et-EE"/>
                    </w:rPr>
                    <w:t>clear</w:t>
                  </w:r>
                  <w:proofErr w:type="spellEnd"/>
                  <w:r w:rsidR="00031624" w:rsidRPr="004D5219">
                    <w:rPr>
                      <w:rStyle w:val="apple-converted-space"/>
                      <w:rFonts w:ascii="inherit" w:hAnsi="inherit"/>
                      <w:highlight w:val="cyan"/>
                      <w:lang w:val="et-EE"/>
                    </w:rPr>
                    <w:t> </w:t>
                  </w:r>
                  <w:r w:rsidR="00031624" w:rsidRPr="004D5219">
                    <w:rPr>
                      <w:rFonts w:ascii="inherit" w:hAnsi="inherit"/>
                      <w:highlight w:val="cyan"/>
                      <w:lang w:val="et-EE"/>
                    </w:rPr>
                    <w:t>on rikke eraldamise hetk. U</w:t>
                  </w:r>
                  <w:r w:rsidR="00031624" w:rsidRPr="004D5219">
                    <w:rPr>
                      <w:rStyle w:val="sub"/>
                      <w:rFonts w:ascii="inherit" w:hAnsi="inherit"/>
                      <w:sz w:val="17"/>
                      <w:szCs w:val="17"/>
                      <w:highlight w:val="cyan"/>
                      <w:vertAlign w:val="subscript"/>
                      <w:lang w:val="et-EE"/>
                    </w:rPr>
                    <w:t>rec1</w:t>
                  </w:r>
                  <w:r w:rsidR="00031624" w:rsidRPr="004D5219">
                    <w:rPr>
                      <w:rFonts w:ascii="inherit" w:hAnsi="inherit"/>
                      <w:highlight w:val="cyan"/>
                      <w:lang w:val="et-EE"/>
                    </w:rPr>
                    <w:t>, U</w:t>
                  </w:r>
                  <w:r w:rsidR="00031624" w:rsidRPr="004D5219">
                    <w:rPr>
                      <w:rStyle w:val="sub"/>
                      <w:rFonts w:ascii="inherit" w:hAnsi="inherit"/>
                      <w:sz w:val="17"/>
                      <w:szCs w:val="17"/>
                      <w:highlight w:val="cyan"/>
                      <w:vertAlign w:val="subscript"/>
                      <w:lang w:val="et-EE"/>
                    </w:rPr>
                    <w:t>rec2</w:t>
                  </w:r>
                  <w:r w:rsidR="00031624" w:rsidRPr="004D5219">
                    <w:rPr>
                      <w:rFonts w:ascii="inherit" w:hAnsi="inherit"/>
                      <w:highlight w:val="cyan"/>
                      <w:lang w:val="et-EE"/>
                    </w:rPr>
                    <w:t>, t</w:t>
                  </w:r>
                  <w:r w:rsidR="00031624" w:rsidRPr="004D5219">
                    <w:rPr>
                      <w:rStyle w:val="sub"/>
                      <w:rFonts w:ascii="inherit" w:hAnsi="inherit"/>
                      <w:sz w:val="17"/>
                      <w:szCs w:val="17"/>
                      <w:highlight w:val="cyan"/>
                      <w:vertAlign w:val="subscript"/>
                      <w:lang w:val="et-EE"/>
                    </w:rPr>
                    <w:t>rec1</w:t>
                  </w:r>
                  <w:r w:rsidR="00031624" w:rsidRPr="004D5219">
                    <w:rPr>
                      <w:rFonts w:ascii="inherit" w:hAnsi="inherit"/>
                      <w:highlight w:val="cyan"/>
                      <w:lang w:val="et-EE"/>
                    </w:rPr>
                    <w:t>, t</w:t>
                  </w:r>
                  <w:r w:rsidR="00031624" w:rsidRPr="004D5219">
                    <w:rPr>
                      <w:rStyle w:val="sub"/>
                      <w:rFonts w:ascii="inherit" w:hAnsi="inherit"/>
                      <w:sz w:val="17"/>
                      <w:szCs w:val="17"/>
                      <w:highlight w:val="cyan"/>
                      <w:vertAlign w:val="subscript"/>
                      <w:lang w:val="et-EE"/>
                    </w:rPr>
                    <w:t>rec2</w:t>
                  </w:r>
                  <w:r w:rsidR="00031624" w:rsidRPr="004D5219">
                    <w:rPr>
                      <w:rStyle w:val="apple-converted-space"/>
                      <w:rFonts w:ascii="inherit" w:hAnsi="inherit"/>
                      <w:highlight w:val="cyan"/>
                      <w:lang w:val="et-EE"/>
                    </w:rPr>
                    <w:t> </w:t>
                  </w:r>
                  <w:r w:rsidR="00031624" w:rsidRPr="004D5219">
                    <w:rPr>
                      <w:rFonts w:ascii="inherit" w:hAnsi="inherit"/>
                      <w:highlight w:val="cyan"/>
                      <w:lang w:val="et-EE"/>
                    </w:rPr>
                    <w:t>ja t</w:t>
                  </w:r>
                  <w:r w:rsidR="00031624" w:rsidRPr="004D5219">
                    <w:rPr>
                      <w:rStyle w:val="sub"/>
                      <w:rFonts w:ascii="inherit" w:hAnsi="inherit"/>
                      <w:sz w:val="17"/>
                      <w:szCs w:val="17"/>
                      <w:highlight w:val="cyan"/>
                      <w:vertAlign w:val="subscript"/>
                      <w:lang w:val="et-EE"/>
                    </w:rPr>
                    <w:t>rec3</w:t>
                  </w:r>
                  <w:r w:rsidR="00031624" w:rsidRPr="004D5219">
                    <w:rPr>
                      <w:rStyle w:val="apple-converted-space"/>
                      <w:rFonts w:ascii="inherit" w:hAnsi="inherit"/>
                      <w:highlight w:val="cyan"/>
                      <w:lang w:val="et-EE"/>
                    </w:rPr>
                    <w:t> </w:t>
                  </w:r>
                  <w:r w:rsidR="00031624" w:rsidRPr="004D5219">
                    <w:rPr>
                      <w:rFonts w:ascii="inherit" w:hAnsi="inherit"/>
                      <w:highlight w:val="cyan"/>
                      <w:lang w:val="et-EE"/>
                    </w:rPr>
                    <w:t>tähistavad teatavaid punkte, kus pinge taastamise alampiir muutub pärast rikke eraldamist.</w:t>
                  </w:r>
                </w:p>
                <w:p w14:paraId="07D11526" w14:textId="77777777"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p w14:paraId="6B74068D"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highlight w:val="cyan"/>
                      <w:lang w:val="et-EE" w:bidi="ar-SA"/>
                    </w:rPr>
                    <w:t>Tabel 7.1</w:t>
                  </w:r>
                </w:p>
                <w:p w14:paraId="5D2C3B91" w14:textId="09670336"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 xml:space="preserve">Suuruste väärtused </w:t>
                  </w:r>
                  <w:r w:rsidRPr="004D5219">
                    <w:rPr>
                      <w:rFonts w:ascii="inherit" w:eastAsia="Times New Roman" w:hAnsi="inherit" w:cs="Times New Roman"/>
                      <w:b/>
                      <w:bCs/>
                      <w:sz w:val="24"/>
                      <w:szCs w:val="24"/>
                      <w:highlight w:val="cyan"/>
                      <w:lang w:val="et-EE" w:bidi="ar-SA"/>
                    </w:rPr>
                    <w:t xml:space="preserve">joonisel </w:t>
                  </w:r>
                  <w:r w:rsidR="002E490E">
                    <w:rPr>
                      <w:rFonts w:ascii="inherit" w:eastAsia="Times New Roman" w:hAnsi="inherit" w:cs="Times New Roman"/>
                      <w:b/>
                      <w:bCs/>
                      <w:sz w:val="24"/>
                      <w:szCs w:val="24"/>
                      <w:highlight w:val="cyan"/>
                      <w:lang w:val="et-EE" w:bidi="ar-SA"/>
                    </w:rPr>
                    <w:t>3.1</w:t>
                  </w:r>
                  <w:r w:rsidR="00031624" w:rsidRPr="004D5219">
                    <w:rPr>
                      <w:rFonts w:ascii="inherit" w:eastAsia="Times New Roman" w:hAnsi="inherit" w:cs="Times New Roman"/>
                      <w:b/>
                      <w:bCs/>
                      <w:sz w:val="24"/>
                      <w:szCs w:val="24"/>
                      <w:highlight w:val="cyan"/>
                      <w:lang w:val="et-EE" w:bidi="ar-SA"/>
                    </w:rPr>
                    <w:t xml:space="preserve"> a</w:t>
                  </w:r>
                  <w:r w:rsidRPr="004D5219">
                    <w:rPr>
                      <w:rFonts w:ascii="inherit" w:eastAsia="Times New Roman" w:hAnsi="inherit" w:cs="Times New Roman"/>
                      <w:b/>
                      <w:bCs/>
                      <w:sz w:val="24"/>
                      <w:szCs w:val="24"/>
                      <w:lang w:val="et-EE" w:bidi="ar-SA"/>
                    </w:rPr>
                    <w:t xml:space="preserve"> sünkroonmoodulite </w:t>
                  </w:r>
                  <w:proofErr w:type="spellStart"/>
                  <w:r w:rsidRPr="004D5219">
                    <w:rPr>
                      <w:rFonts w:ascii="inherit" w:eastAsia="Times New Roman" w:hAnsi="inherit" w:cs="Times New Roman"/>
                      <w:b/>
                      <w:bCs/>
                      <w:sz w:val="24"/>
                      <w:szCs w:val="24"/>
                      <w:lang w:val="et-EE" w:bidi="ar-SA"/>
                    </w:rPr>
                    <w:t>rikkeläbimisvõime</w:t>
                  </w:r>
                  <w:proofErr w:type="spellEnd"/>
                  <w:r w:rsidRPr="004D5219">
                    <w:rPr>
                      <w:rFonts w:ascii="inherit" w:eastAsia="Times New Roman" w:hAnsi="inherit" w:cs="Times New Roman"/>
                      <w:b/>
                      <w:bCs/>
                      <w:sz w:val="24"/>
                      <w:szCs w:val="24"/>
                      <w:lang w:val="et-EE" w:bidi="ar-SA"/>
                    </w:rPr>
                    <w:t xml:space="preserve">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3"/>
                    <w:gridCol w:w="2625"/>
                    <w:gridCol w:w="1638"/>
                    <w:gridCol w:w="1957"/>
                  </w:tblGrid>
                  <w:tr w:rsidR="008E1A17" w:rsidRPr="004D5219" w14:paraId="4B7CBEC7"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04F61CB2"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lastRenderedPageBreak/>
                          <w:t>Pinge väärtused [</w:t>
                        </w:r>
                        <w:proofErr w:type="spellStart"/>
                        <w:r w:rsidRPr="004D5219">
                          <w:rPr>
                            <w:rFonts w:ascii="inherit" w:eastAsia="Times New Roman" w:hAnsi="inherit" w:cs="Times New Roman"/>
                            <w:b/>
                            <w:bCs/>
                            <w:lang w:val="et-EE" w:bidi="ar-SA"/>
                          </w:rPr>
                          <w:t>s.ü</w:t>
                        </w:r>
                        <w:proofErr w:type="spellEnd"/>
                        <w:r w:rsidRPr="004D5219">
                          <w:rPr>
                            <w:rFonts w:ascii="inherit" w:eastAsia="Times New Roman" w:hAnsi="inherit" w:cs="Times New Roman"/>
                            <w:b/>
                            <w:bCs/>
                            <w:lang w:val="et-EE" w:bidi="ar-SA"/>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70B7852B"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Ajahetked [s]</w:t>
                        </w:r>
                      </w:p>
                    </w:tc>
                  </w:tr>
                  <w:tr w:rsidR="008E1A17" w:rsidRPr="004D5219" w14:paraId="1E6AE0B7"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BAFB16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ret</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E34D550"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w:t>
                        </w:r>
                      </w:p>
                    </w:tc>
                    <w:tc>
                      <w:tcPr>
                        <w:tcW w:w="0" w:type="auto"/>
                        <w:tcBorders>
                          <w:top w:val="single" w:sz="6" w:space="0" w:color="000000"/>
                          <w:left w:val="single" w:sz="6" w:space="0" w:color="000000"/>
                          <w:bottom w:val="single" w:sz="6" w:space="0" w:color="000000"/>
                          <w:right w:val="single" w:sz="6" w:space="0" w:color="000000"/>
                        </w:tcBorders>
                        <w:hideMark/>
                      </w:tcPr>
                      <w:p w14:paraId="7BE860A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CD12450" w14:textId="66B440CD" w:rsidR="008E1A17" w:rsidRPr="004D5219" w:rsidRDefault="00A52F53"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0,25</w:t>
                        </w:r>
                      </w:p>
                    </w:tc>
                  </w:tr>
                  <w:tr w:rsidR="008E1A17" w:rsidRPr="004D5219" w14:paraId="64878595"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3B832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724461D"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0,25</w:t>
                        </w:r>
                      </w:p>
                    </w:tc>
                    <w:tc>
                      <w:tcPr>
                        <w:tcW w:w="0" w:type="auto"/>
                        <w:tcBorders>
                          <w:top w:val="single" w:sz="6" w:space="0" w:color="000000"/>
                          <w:left w:val="single" w:sz="6" w:space="0" w:color="000000"/>
                          <w:bottom w:val="single" w:sz="6" w:space="0" w:color="000000"/>
                          <w:right w:val="single" w:sz="6" w:space="0" w:color="000000"/>
                        </w:tcBorders>
                        <w:hideMark/>
                      </w:tcPr>
                      <w:p w14:paraId="25A2AE8A"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D0E9C1A" w14:textId="0D7F253D" w:rsidR="008E1A17" w:rsidRPr="004D5219" w:rsidRDefault="008E1A17" w:rsidP="00A52F53">
                        <w:pPr>
                          <w:widowControl/>
                          <w:autoSpaceDE/>
                          <w:autoSpaceDN/>
                          <w:spacing w:before="60" w:after="60"/>
                          <w:rPr>
                            <w:rFonts w:ascii="inherit" w:eastAsia="Times New Roman" w:hAnsi="inherit" w:cs="Times New Roman"/>
                            <w:highlight w:val="cyan"/>
                            <w:lang w:val="et-EE" w:bidi="ar-SA"/>
                          </w:rPr>
                        </w:pPr>
                        <w:proofErr w:type="spellStart"/>
                        <w:r w:rsidRPr="004D5219">
                          <w:rPr>
                            <w:rFonts w:ascii="inherit" w:eastAsia="Times New Roman" w:hAnsi="inherit" w:cs="Times New Roman"/>
                            <w:highlight w:val="cyan"/>
                            <w:lang w:val="et-EE" w:bidi="ar-SA"/>
                          </w:rPr>
                          <w:t>t</w:t>
                        </w:r>
                        <w:r w:rsidRPr="004D5219">
                          <w:rPr>
                            <w:rFonts w:ascii="inherit" w:eastAsia="Times New Roman" w:hAnsi="inherit" w:cs="Times New Roman"/>
                            <w:sz w:val="15"/>
                            <w:szCs w:val="15"/>
                            <w:highlight w:val="cyan"/>
                            <w:vertAlign w:val="subscript"/>
                            <w:lang w:val="et-EE" w:bidi="ar-SA"/>
                          </w:rPr>
                          <w:t>clear</w:t>
                        </w:r>
                        <w:proofErr w:type="spellEnd"/>
                      </w:p>
                    </w:tc>
                  </w:tr>
                  <w:tr w:rsidR="008E1A17" w:rsidRPr="004D5219" w14:paraId="27994E7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E1C93F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9649D8D" w14:textId="4B06F6A6" w:rsidR="008E1A17" w:rsidRPr="004D5219" w:rsidRDefault="00A52F53"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0,51</w:t>
                        </w:r>
                      </w:p>
                    </w:tc>
                    <w:tc>
                      <w:tcPr>
                        <w:tcW w:w="0" w:type="auto"/>
                        <w:tcBorders>
                          <w:top w:val="single" w:sz="6" w:space="0" w:color="000000"/>
                          <w:left w:val="single" w:sz="6" w:space="0" w:color="000000"/>
                          <w:bottom w:val="single" w:sz="6" w:space="0" w:color="000000"/>
                          <w:right w:val="single" w:sz="6" w:space="0" w:color="000000"/>
                        </w:tcBorders>
                        <w:hideMark/>
                      </w:tcPr>
                      <w:p w14:paraId="53FD26FA"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1CD2F38" w14:textId="6D8EF4A2" w:rsidR="008E1A17" w:rsidRPr="004D5219" w:rsidRDefault="00A52F53"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0,45</w:t>
                        </w:r>
                      </w:p>
                    </w:tc>
                  </w:tr>
                  <w:tr w:rsidR="008E1A17" w:rsidRPr="004D5219" w14:paraId="0C7B38E3"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64CE6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94F19B7" w14:textId="5F217ECF"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0,9</w:t>
                        </w:r>
                      </w:p>
                    </w:tc>
                    <w:tc>
                      <w:tcPr>
                        <w:tcW w:w="0" w:type="auto"/>
                        <w:tcBorders>
                          <w:top w:val="single" w:sz="6" w:space="0" w:color="000000"/>
                          <w:left w:val="single" w:sz="6" w:space="0" w:color="000000"/>
                          <w:bottom w:val="single" w:sz="6" w:space="0" w:color="000000"/>
                          <w:right w:val="single" w:sz="6" w:space="0" w:color="000000"/>
                        </w:tcBorders>
                        <w:hideMark/>
                      </w:tcPr>
                      <w:p w14:paraId="0A9A423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rec3</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AEB35C9" w14:textId="5CF47B8D" w:rsidR="008E1A17" w:rsidRPr="004D5219" w:rsidRDefault="00A52F53" w:rsidP="008E1A17">
                        <w:pPr>
                          <w:widowControl/>
                          <w:autoSpaceDE/>
                          <w:autoSpaceDN/>
                          <w:spacing w:before="60" w:after="60"/>
                          <w:rPr>
                            <w:rFonts w:ascii="inherit" w:eastAsia="Times New Roman" w:hAnsi="inherit" w:cs="Times New Roman"/>
                            <w:highlight w:val="cyan"/>
                            <w:lang w:val="et-EE" w:bidi="ar-SA"/>
                          </w:rPr>
                        </w:pPr>
                        <w:r w:rsidRPr="004D5219">
                          <w:rPr>
                            <w:rFonts w:ascii="inherit" w:eastAsia="Times New Roman" w:hAnsi="inherit" w:cs="Times New Roman"/>
                            <w:highlight w:val="cyan"/>
                            <w:lang w:val="et-EE" w:bidi="ar-SA"/>
                          </w:rPr>
                          <w:t>0,75</w:t>
                        </w:r>
                      </w:p>
                    </w:tc>
                  </w:tr>
                </w:tbl>
                <w:p w14:paraId="79DD0607"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7.2</w:t>
                  </w:r>
                </w:p>
                <w:p w14:paraId="2F3D2A43" w14:textId="005F15E6" w:rsidR="008E1A17" w:rsidRPr="004D5219" w:rsidRDefault="00031624"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 xml:space="preserve">Suuruste väärtused </w:t>
                  </w:r>
                  <w:r w:rsidR="002E490E">
                    <w:rPr>
                      <w:rFonts w:ascii="inherit" w:eastAsia="Times New Roman" w:hAnsi="inherit" w:cs="Times New Roman"/>
                      <w:b/>
                      <w:bCs/>
                      <w:sz w:val="24"/>
                      <w:szCs w:val="24"/>
                      <w:highlight w:val="cyan"/>
                      <w:lang w:val="et-EE" w:bidi="ar-SA"/>
                    </w:rPr>
                    <w:t>joonisel 3.1</w:t>
                  </w:r>
                  <w:r w:rsidRPr="004D5219">
                    <w:rPr>
                      <w:rFonts w:ascii="inherit" w:eastAsia="Times New Roman" w:hAnsi="inherit" w:cs="Times New Roman"/>
                      <w:b/>
                      <w:bCs/>
                      <w:sz w:val="24"/>
                      <w:szCs w:val="24"/>
                      <w:highlight w:val="cyan"/>
                      <w:lang w:val="et-EE" w:bidi="ar-SA"/>
                    </w:rPr>
                    <w:t xml:space="preserve"> b</w:t>
                  </w:r>
                  <w:r w:rsidR="008E1A17" w:rsidRPr="004D5219">
                    <w:rPr>
                      <w:rFonts w:ascii="inherit" w:eastAsia="Times New Roman" w:hAnsi="inherit" w:cs="Times New Roman"/>
                      <w:b/>
                      <w:bCs/>
                      <w:sz w:val="24"/>
                      <w:szCs w:val="24"/>
                      <w:lang w:val="et-EE" w:bidi="ar-SA"/>
                    </w:rPr>
                    <w:t xml:space="preserve"> energiapargimoodulite </w:t>
                  </w:r>
                  <w:proofErr w:type="spellStart"/>
                  <w:r w:rsidR="008E1A17" w:rsidRPr="004D5219">
                    <w:rPr>
                      <w:rFonts w:ascii="inherit" w:eastAsia="Times New Roman" w:hAnsi="inherit" w:cs="Times New Roman"/>
                      <w:b/>
                      <w:bCs/>
                      <w:sz w:val="24"/>
                      <w:szCs w:val="24"/>
                      <w:lang w:val="et-EE" w:bidi="ar-SA"/>
                    </w:rPr>
                    <w:t>rikkeläbimisvõime</w:t>
                  </w:r>
                  <w:proofErr w:type="spellEnd"/>
                  <w:r w:rsidR="008E1A17" w:rsidRPr="004D5219">
                    <w:rPr>
                      <w:rFonts w:ascii="inherit" w:eastAsia="Times New Roman" w:hAnsi="inherit" w:cs="Times New Roman"/>
                      <w:b/>
                      <w:bCs/>
                      <w:sz w:val="24"/>
                      <w:szCs w:val="24"/>
                      <w:lang w:val="et-EE" w:bidi="ar-SA"/>
                    </w:rPr>
                    <w:t xml:space="preserve">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13"/>
                    <w:gridCol w:w="2625"/>
                    <w:gridCol w:w="1638"/>
                    <w:gridCol w:w="1957"/>
                  </w:tblGrid>
                  <w:tr w:rsidR="008E1A17" w:rsidRPr="004D5219" w14:paraId="1063169E" w14:textId="77777777">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588B1F96"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väärtused [</w:t>
                        </w:r>
                        <w:proofErr w:type="spellStart"/>
                        <w:r w:rsidRPr="004D5219">
                          <w:rPr>
                            <w:rFonts w:ascii="inherit" w:eastAsia="Times New Roman" w:hAnsi="inherit" w:cs="Times New Roman"/>
                            <w:b/>
                            <w:bCs/>
                            <w:lang w:val="et-EE" w:bidi="ar-SA"/>
                          </w:rPr>
                          <w:t>s.ü</w:t>
                        </w:r>
                        <w:proofErr w:type="spellEnd"/>
                        <w:r w:rsidRPr="004D5219">
                          <w:rPr>
                            <w:rFonts w:ascii="inherit" w:eastAsia="Times New Roman" w:hAnsi="inherit" w:cs="Times New Roman"/>
                            <w:b/>
                            <w:bCs/>
                            <w:lang w:val="et-EE" w:bidi="ar-SA"/>
                          </w:rPr>
                          <w:t>.]</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6C478FC3"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Ajahetked [s]</w:t>
                        </w:r>
                      </w:p>
                    </w:tc>
                  </w:tr>
                  <w:tr w:rsidR="008E1A17" w:rsidRPr="004D5219" w14:paraId="3C5FE751"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6758B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ret</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4BC3D3A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w:t>
                        </w:r>
                      </w:p>
                    </w:tc>
                    <w:tc>
                      <w:tcPr>
                        <w:tcW w:w="0" w:type="auto"/>
                        <w:tcBorders>
                          <w:top w:val="single" w:sz="6" w:space="0" w:color="000000"/>
                          <w:left w:val="single" w:sz="6" w:space="0" w:color="000000"/>
                          <w:bottom w:val="single" w:sz="6" w:space="0" w:color="000000"/>
                          <w:right w:val="single" w:sz="6" w:space="0" w:color="000000"/>
                        </w:tcBorders>
                        <w:hideMark/>
                      </w:tcPr>
                      <w:p w14:paraId="329B7FB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27F655A" w14:textId="69535CC3" w:rsidR="008E1A17" w:rsidRPr="004D5219" w:rsidRDefault="00A52F53"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0,25</w:t>
                        </w:r>
                      </w:p>
                    </w:tc>
                  </w:tr>
                  <w:tr w:rsidR="008E1A17" w:rsidRPr="004D5219" w14:paraId="14252912"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639DC0D"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clear</w:t>
                        </w:r>
                        <w:proofErr w:type="spellEnd"/>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34BBBF75" w14:textId="1F29645F" w:rsidR="008E1A17" w:rsidRPr="004D5219" w:rsidRDefault="00F93113" w:rsidP="00F93113">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highlight w:val="cyan"/>
                            <w:lang w:val="et-EE" w:bidi="ar-SA"/>
                          </w:rPr>
                          <w:t>U</w:t>
                        </w:r>
                        <w:r w:rsidRPr="004D5219">
                          <w:rPr>
                            <w:rFonts w:ascii="inherit" w:eastAsia="Times New Roman" w:hAnsi="inherit" w:cs="Times New Roman"/>
                            <w:sz w:val="15"/>
                            <w:szCs w:val="15"/>
                            <w:highlight w:val="cyan"/>
                            <w:vertAlign w:val="subscript"/>
                            <w:lang w:val="et-EE" w:bidi="ar-SA"/>
                          </w:rPr>
                          <w:t>ret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1ACB21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7938D3E0"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clear</w:t>
                        </w:r>
                        <w:proofErr w:type="spellEnd"/>
                      </w:p>
                    </w:tc>
                  </w:tr>
                  <w:tr w:rsidR="008E1A17" w:rsidRPr="004D5219" w14:paraId="33D2C02B"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0A5523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rec1</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114F9DB6"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proofErr w:type="spellStart"/>
                        <w:r w:rsidRPr="004D5219">
                          <w:rPr>
                            <w:rFonts w:ascii="inherit" w:eastAsia="Times New Roman" w:hAnsi="inherit" w:cs="Times New Roman"/>
                            <w:highlight w:val="cyan"/>
                            <w:lang w:val="et-EE" w:bidi="ar-SA"/>
                          </w:rPr>
                          <w:t>U</w:t>
                        </w:r>
                        <w:r w:rsidRPr="004D5219">
                          <w:rPr>
                            <w:rFonts w:ascii="inherit" w:eastAsia="Times New Roman" w:hAnsi="inherit" w:cs="Times New Roman"/>
                            <w:sz w:val="15"/>
                            <w:szCs w:val="15"/>
                            <w:highlight w:val="cyan"/>
                            <w:vertAlign w:val="subscript"/>
                            <w:lang w:val="et-EE" w:bidi="ar-SA"/>
                          </w:rPr>
                          <w:t>clear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6621CAB"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CF2A5E2"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rec1</w:t>
                        </w:r>
                      </w:p>
                    </w:tc>
                  </w:tr>
                  <w:tr w:rsidR="008E1A17" w:rsidRPr="004D5219" w14:paraId="42B7347C"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7230F3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U</w:t>
                        </w:r>
                        <w:r w:rsidRPr="004D5219">
                          <w:rPr>
                            <w:rFonts w:ascii="inherit" w:eastAsia="Times New Roman" w:hAnsi="inherit" w:cs="Times New Roman"/>
                            <w:sz w:val="15"/>
                            <w:szCs w:val="15"/>
                            <w:vertAlign w:val="subscript"/>
                            <w:lang w:val="et-EE" w:bidi="ar-SA"/>
                          </w:rPr>
                          <w:t>rec2</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570B3912"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0,85</w:t>
                        </w:r>
                      </w:p>
                    </w:tc>
                    <w:tc>
                      <w:tcPr>
                        <w:tcW w:w="0" w:type="auto"/>
                        <w:tcBorders>
                          <w:top w:val="single" w:sz="6" w:space="0" w:color="000000"/>
                          <w:left w:val="single" w:sz="6" w:space="0" w:color="000000"/>
                          <w:bottom w:val="single" w:sz="6" w:space="0" w:color="000000"/>
                          <w:right w:val="single" w:sz="6" w:space="0" w:color="000000"/>
                        </w:tcBorders>
                        <w:hideMark/>
                      </w:tcPr>
                      <w:p w14:paraId="6499590E"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t</w:t>
                        </w:r>
                        <w:r w:rsidRPr="004D5219">
                          <w:rPr>
                            <w:rFonts w:ascii="inherit" w:eastAsia="Times New Roman" w:hAnsi="inherit" w:cs="Times New Roman"/>
                            <w:sz w:val="15"/>
                            <w:szCs w:val="15"/>
                            <w:vertAlign w:val="subscript"/>
                            <w:lang w:val="et-EE" w:bidi="ar-SA"/>
                          </w:rPr>
                          <w:t>rec3</w:t>
                        </w:r>
                        <w:r w:rsidRPr="004D5219">
                          <w:rPr>
                            <w:rFonts w:ascii="inherit" w:eastAsia="Times New Roman" w:hAnsi="inherit" w:cs="Times New Roman"/>
                            <w:lang w:val="et-EE" w:bidi="ar-SA"/>
                          </w:rPr>
                          <w:t>:</w:t>
                        </w:r>
                      </w:p>
                    </w:tc>
                    <w:tc>
                      <w:tcPr>
                        <w:tcW w:w="0" w:type="auto"/>
                        <w:tcBorders>
                          <w:top w:val="single" w:sz="6" w:space="0" w:color="000000"/>
                          <w:left w:val="single" w:sz="6" w:space="0" w:color="000000"/>
                          <w:bottom w:val="single" w:sz="6" w:space="0" w:color="000000"/>
                          <w:right w:val="single" w:sz="6" w:space="0" w:color="000000"/>
                        </w:tcBorders>
                        <w:hideMark/>
                      </w:tcPr>
                      <w:p w14:paraId="69FA4F0A" w14:textId="11FC414B" w:rsidR="008E1A17" w:rsidRPr="004D5219" w:rsidRDefault="008E1A17" w:rsidP="00F93113">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highlight w:val="cyan"/>
                            <w:lang w:val="et-EE" w:bidi="ar-SA"/>
                          </w:rPr>
                          <w:t>1,5</w:t>
                        </w:r>
                      </w:p>
                    </w:tc>
                  </w:tr>
                </w:tbl>
                <w:p w14:paraId="09654A9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A694E3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r w:rsidR="00031624" w:rsidRPr="004D5219" w14:paraId="120B6B14" w14:textId="77777777" w:rsidTr="008E1A17">
        <w:trPr>
          <w:tblCellSpacing w:w="0" w:type="dxa"/>
        </w:trPr>
        <w:tc>
          <w:tcPr>
            <w:tcW w:w="0" w:type="auto"/>
          </w:tcPr>
          <w:p w14:paraId="3D64DDE7" w14:textId="77777777"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tc>
        <w:tc>
          <w:tcPr>
            <w:tcW w:w="0" w:type="auto"/>
          </w:tcPr>
          <w:p w14:paraId="61A1AA34" w14:textId="77777777"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tc>
      </w:tr>
    </w:tbl>
    <w:p w14:paraId="4688ED2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99C7339" w14:textId="77777777" w:rsidTr="008E1A17">
        <w:trPr>
          <w:tblCellSpacing w:w="0" w:type="dxa"/>
        </w:trPr>
        <w:tc>
          <w:tcPr>
            <w:tcW w:w="0" w:type="auto"/>
            <w:hideMark/>
          </w:tcPr>
          <w:p w14:paraId="29F90ABA" w14:textId="77777777"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p w14:paraId="0DFE426B" w14:textId="2417392C"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965B28B" w14:textId="77777777" w:rsidR="00031624" w:rsidRPr="004D5219" w:rsidRDefault="00031624" w:rsidP="008E1A17">
            <w:pPr>
              <w:widowControl/>
              <w:autoSpaceDE/>
              <w:autoSpaceDN/>
              <w:spacing w:before="120"/>
              <w:jc w:val="both"/>
              <w:rPr>
                <w:rFonts w:ascii="inherit" w:eastAsia="Times New Roman" w:hAnsi="inherit" w:cs="Times New Roman"/>
                <w:sz w:val="24"/>
                <w:szCs w:val="24"/>
                <w:lang w:val="et-EE" w:bidi="ar-SA"/>
              </w:rPr>
            </w:pPr>
          </w:p>
          <w:p w14:paraId="6E46A928" w14:textId="521D4ED2"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tootmisüksuse omaniku taotlusel peab asjaomane võrguettevõtja esitama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xml:space="preserve"> puhul </w:t>
            </w:r>
            <w:proofErr w:type="spellStart"/>
            <w:r w:rsidRPr="004D5219">
              <w:rPr>
                <w:rFonts w:ascii="inherit" w:eastAsia="Times New Roman" w:hAnsi="inherit" w:cs="Times New Roman"/>
                <w:sz w:val="24"/>
                <w:szCs w:val="24"/>
                <w:lang w:val="et-EE" w:bidi="ar-SA"/>
              </w:rPr>
              <w:t>arvessevõetavad</w:t>
            </w:r>
            <w:proofErr w:type="spellEnd"/>
            <w:r w:rsidRPr="004D5219">
              <w:rPr>
                <w:rFonts w:ascii="inherit" w:eastAsia="Times New Roman" w:hAnsi="inherit" w:cs="Times New Roman"/>
                <w:sz w:val="24"/>
                <w:szCs w:val="24"/>
                <w:lang w:val="et-EE" w:bidi="ar-SA"/>
              </w:rPr>
              <w:t xml:space="preserve"> järgmised rikke-eelsed ja rikkejärgsed tingimused, mis on saadud artikli 14 lõike 3 punkti a alapunktis iv osutatud arvutuste teel ühenduspunkti kohta:</w:t>
            </w:r>
          </w:p>
          <w:tbl>
            <w:tblPr>
              <w:tblW w:w="5000" w:type="pct"/>
              <w:tblCellSpacing w:w="0" w:type="dxa"/>
              <w:tblCellMar>
                <w:left w:w="0" w:type="dxa"/>
                <w:right w:w="0" w:type="dxa"/>
              </w:tblCellMar>
              <w:tblLook w:val="04A0" w:firstRow="1" w:lastRow="0" w:firstColumn="1" w:lastColumn="0" w:noHBand="0" w:noVBand="1"/>
            </w:tblPr>
            <w:tblGrid>
              <w:gridCol w:w="224"/>
              <w:gridCol w:w="9026"/>
            </w:tblGrid>
            <w:tr w:rsidR="008E1A17" w:rsidRPr="00A2039D" w14:paraId="6EEDEF64" w14:textId="77777777">
              <w:trPr>
                <w:tblCellSpacing w:w="0" w:type="dxa"/>
              </w:trPr>
              <w:tc>
                <w:tcPr>
                  <w:tcW w:w="0" w:type="auto"/>
                  <w:hideMark/>
                </w:tcPr>
                <w:p w14:paraId="27D45C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18F7A12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rikke-eelne vähim lühisvõimsus igas ühenduspunktis [MVA];</w:t>
                  </w:r>
                </w:p>
              </w:tc>
            </w:tr>
          </w:tbl>
          <w:p w14:paraId="3905BF3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09CEA6F3" w14:textId="77777777">
              <w:trPr>
                <w:tblCellSpacing w:w="0" w:type="dxa"/>
              </w:trPr>
              <w:tc>
                <w:tcPr>
                  <w:tcW w:w="0" w:type="auto"/>
                  <w:hideMark/>
                </w:tcPr>
                <w:p w14:paraId="2C84C2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7C209A5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rikke-eelne talitluspunkt, mis on väljendatud ühenduspunkti väljundaktiivvõimsuse ja väljundreaktiivvõimsuse ning pinge kaudu, ning</w:t>
                  </w:r>
                </w:p>
              </w:tc>
            </w:tr>
          </w:tbl>
          <w:p w14:paraId="57E75E9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16"/>
              <w:gridCol w:w="8834"/>
            </w:tblGrid>
            <w:tr w:rsidR="008E1A17" w:rsidRPr="00A2039D" w14:paraId="717CFAAE" w14:textId="77777777">
              <w:trPr>
                <w:tblCellSpacing w:w="0" w:type="dxa"/>
              </w:trPr>
              <w:tc>
                <w:tcPr>
                  <w:tcW w:w="0" w:type="auto"/>
                  <w:hideMark/>
                </w:tcPr>
                <w:p w14:paraId="6223B38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0EABD7A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rikkejärgne vähim lühisvõimsus igas ühenduspunktis [MVA];</w:t>
                  </w:r>
                </w:p>
              </w:tc>
            </w:tr>
          </w:tbl>
          <w:p w14:paraId="62A9DD52"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1FD22C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6"/>
        <w:gridCol w:w="9234"/>
      </w:tblGrid>
      <w:tr w:rsidR="008E1A17" w:rsidRPr="00A2039D" w14:paraId="4CAAAD7B" w14:textId="77777777" w:rsidTr="008E1A17">
        <w:trPr>
          <w:tblCellSpacing w:w="0" w:type="dxa"/>
        </w:trPr>
        <w:tc>
          <w:tcPr>
            <w:tcW w:w="0" w:type="auto"/>
            <w:hideMark/>
          </w:tcPr>
          <w:p w14:paraId="172C1AA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207B4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asümmeetrilise rikke läbimisvõime peab määrama kindlaks iga põhivõrguettevõtja.</w:t>
            </w:r>
          </w:p>
        </w:tc>
      </w:tr>
    </w:tbl>
    <w:p w14:paraId="4ACE2BB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D-tüüpi tootmismoodulite üldiste süsteemi haldamise nõuete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0612ECC" w14:textId="77777777" w:rsidTr="008E1A17">
        <w:trPr>
          <w:tblCellSpacing w:w="0" w:type="dxa"/>
        </w:trPr>
        <w:tc>
          <w:tcPr>
            <w:tcW w:w="0" w:type="auto"/>
            <w:hideMark/>
          </w:tcPr>
          <w:p w14:paraId="626FD1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6CF0E3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sünkroniseerimisega: käivitamisel sünkroniseerib tootmismooduli tootmisüksuse omanik pärast asjaomase võrguettevõtja loa saamist;</w:t>
            </w:r>
          </w:p>
        </w:tc>
      </w:tr>
    </w:tbl>
    <w:p w14:paraId="2B4D014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9"/>
        <w:gridCol w:w="9171"/>
      </w:tblGrid>
      <w:tr w:rsidR="008E1A17" w:rsidRPr="00A2039D" w14:paraId="34AD0C1C" w14:textId="77777777" w:rsidTr="008E1A17">
        <w:trPr>
          <w:tblCellSpacing w:w="0" w:type="dxa"/>
        </w:trPr>
        <w:tc>
          <w:tcPr>
            <w:tcW w:w="0" w:type="auto"/>
            <w:hideMark/>
          </w:tcPr>
          <w:p w14:paraId="4436F1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AD551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tootmismoodulil peavad olema vajalikud sünkroniseerimisvahendid;</w:t>
            </w:r>
          </w:p>
        </w:tc>
      </w:tr>
    </w:tbl>
    <w:p w14:paraId="6DB6693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F435EA6" w14:textId="77777777" w:rsidTr="008E1A17">
        <w:trPr>
          <w:tblCellSpacing w:w="0" w:type="dxa"/>
        </w:trPr>
        <w:tc>
          <w:tcPr>
            <w:tcW w:w="0" w:type="auto"/>
            <w:hideMark/>
          </w:tcPr>
          <w:p w14:paraId="09EF0AB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27A0CA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tootmismooduleid peab saama sünkroniseerida sageduste vahemikus, mis on sätestatud tabelis 2;</w:t>
            </w:r>
          </w:p>
        </w:tc>
      </w:tr>
    </w:tbl>
    <w:p w14:paraId="2692B7D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F6AE404" w14:textId="77777777" w:rsidTr="008E1A17">
        <w:trPr>
          <w:tblCellSpacing w:w="0" w:type="dxa"/>
        </w:trPr>
        <w:tc>
          <w:tcPr>
            <w:tcW w:w="0" w:type="auto"/>
            <w:hideMark/>
          </w:tcPr>
          <w:p w14:paraId="65A342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434251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ja tootmisüksuse omanik peavad enne tootmismooduli talitlust leppima kokku, millised on sünkroniseerimisseadmete seadistused. Kokkuleppes tuleb täpsustada järgmine:</w:t>
            </w:r>
          </w:p>
          <w:tbl>
            <w:tblPr>
              <w:tblW w:w="4951" w:type="pct"/>
              <w:tblCellSpacing w:w="0" w:type="dxa"/>
              <w:tblCellMar>
                <w:left w:w="0" w:type="dxa"/>
                <w:right w:w="0" w:type="dxa"/>
              </w:tblCellMar>
              <w:tblLook w:val="04A0" w:firstRow="1" w:lastRow="0" w:firstColumn="1" w:lastColumn="0" w:noHBand="0" w:noVBand="1"/>
            </w:tblPr>
            <w:tblGrid>
              <w:gridCol w:w="602"/>
              <w:gridCol w:w="8557"/>
            </w:tblGrid>
            <w:tr w:rsidR="00CA7F67" w:rsidRPr="004D5219" w14:paraId="15731D38" w14:textId="77777777" w:rsidTr="00CA7F67">
              <w:trPr>
                <w:tblCellSpacing w:w="0" w:type="dxa"/>
              </w:trPr>
              <w:tc>
                <w:tcPr>
                  <w:tcW w:w="0" w:type="auto"/>
                  <w:hideMark/>
                </w:tcPr>
                <w:p w14:paraId="33E680C1" w14:textId="77777777" w:rsidR="00CA7F67" w:rsidRPr="004D5219" w:rsidRDefault="00CA7F67" w:rsidP="00CA7F67">
                  <w:pPr>
                    <w:spacing w:before="120"/>
                    <w:jc w:val="both"/>
                    <w:rPr>
                      <w:rFonts w:ascii="inherit" w:hAnsi="inherit"/>
                      <w:lang w:val="et-EE"/>
                    </w:rPr>
                  </w:pPr>
                  <w:r w:rsidRPr="004D5219">
                    <w:rPr>
                      <w:rFonts w:ascii="inherit" w:hAnsi="inherit"/>
                      <w:lang w:val="et-EE"/>
                    </w:rPr>
                    <w:t>i)</w:t>
                  </w:r>
                </w:p>
              </w:tc>
              <w:tc>
                <w:tcPr>
                  <w:tcW w:w="0" w:type="auto"/>
                  <w:hideMark/>
                </w:tcPr>
                <w:p w14:paraId="2CE62DAD" w14:textId="77777777" w:rsidR="00CA7F67" w:rsidRPr="004D5219" w:rsidRDefault="00CA7F67" w:rsidP="00CA7F67">
                  <w:pPr>
                    <w:spacing w:before="120"/>
                    <w:jc w:val="both"/>
                    <w:rPr>
                      <w:rFonts w:ascii="inherit" w:hAnsi="inherit"/>
                      <w:lang w:val="et-EE"/>
                    </w:rPr>
                  </w:pPr>
                  <w:r w:rsidRPr="004D5219">
                    <w:rPr>
                      <w:rFonts w:ascii="inherit" w:hAnsi="inherit"/>
                      <w:lang w:val="et-EE"/>
                    </w:rPr>
                    <w:t xml:space="preserve">pinge; </w:t>
                  </w:r>
                  <w:r w:rsidRPr="004D5219">
                    <w:rPr>
                      <w:rFonts w:ascii="inherit" w:hAnsi="inherit"/>
                      <w:highlight w:val="cyan"/>
                      <w:lang w:val="et-EE"/>
                    </w:rPr>
                    <w:t xml:space="preserve">0,85…1,15 </w:t>
                  </w:r>
                  <w:proofErr w:type="spellStart"/>
                  <w:r w:rsidRPr="004D5219">
                    <w:rPr>
                      <w:rFonts w:ascii="inherit" w:hAnsi="inherit"/>
                      <w:highlight w:val="cyan"/>
                      <w:lang w:val="et-EE"/>
                    </w:rPr>
                    <w:t>Un</w:t>
                  </w:r>
                  <w:proofErr w:type="spellEnd"/>
                </w:p>
              </w:tc>
            </w:tr>
          </w:tbl>
          <w:p w14:paraId="7C3498E0" w14:textId="77777777" w:rsidR="00CA7F67" w:rsidRPr="004D5219" w:rsidRDefault="00CA7F67" w:rsidP="00CA7F67">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66"/>
              <w:gridCol w:w="8484"/>
            </w:tblGrid>
            <w:tr w:rsidR="00CA7F67" w:rsidRPr="004D5219" w14:paraId="68553A35" w14:textId="77777777" w:rsidTr="00D5205A">
              <w:trPr>
                <w:tblCellSpacing w:w="0" w:type="dxa"/>
              </w:trPr>
              <w:tc>
                <w:tcPr>
                  <w:tcW w:w="0" w:type="auto"/>
                  <w:hideMark/>
                </w:tcPr>
                <w:p w14:paraId="08D9B7AC" w14:textId="77777777" w:rsidR="00CA7F67" w:rsidRPr="004D5219" w:rsidRDefault="00CA7F67" w:rsidP="00CA7F67">
                  <w:pPr>
                    <w:spacing w:before="120"/>
                    <w:jc w:val="both"/>
                    <w:rPr>
                      <w:rFonts w:ascii="inherit" w:hAnsi="inherit"/>
                      <w:lang w:val="et-EE"/>
                    </w:rPr>
                  </w:pPr>
                  <w:r w:rsidRPr="004D5219">
                    <w:rPr>
                      <w:rFonts w:ascii="inherit" w:hAnsi="inherit"/>
                      <w:lang w:val="et-EE"/>
                    </w:rPr>
                    <w:t>ii)</w:t>
                  </w:r>
                </w:p>
              </w:tc>
              <w:tc>
                <w:tcPr>
                  <w:tcW w:w="0" w:type="auto"/>
                  <w:hideMark/>
                </w:tcPr>
                <w:p w14:paraId="23680359" w14:textId="77777777" w:rsidR="00CA7F67" w:rsidRPr="004D5219" w:rsidRDefault="00CA7F67" w:rsidP="00CA7F67">
                  <w:pPr>
                    <w:spacing w:before="120"/>
                    <w:jc w:val="both"/>
                    <w:rPr>
                      <w:rFonts w:ascii="inherit" w:hAnsi="inherit"/>
                      <w:lang w:val="et-EE"/>
                    </w:rPr>
                  </w:pPr>
                  <w:r w:rsidRPr="004D5219">
                    <w:rPr>
                      <w:rFonts w:ascii="inherit" w:hAnsi="inherit"/>
                      <w:lang w:val="et-EE"/>
                    </w:rPr>
                    <w:t xml:space="preserve">sagedus; </w:t>
                  </w:r>
                  <w:r w:rsidRPr="004D5219">
                    <w:rPr>
                      <w:rFonts w:ascii="inherit" w:hAnsi="inherit"/>
                      <w:highlight w:val="cyan"/>
                      <w:lang w:val="et-EE"/>
                    </w:rPr>
                    <w:t>47,5 …51,5 Hz</w:t>
                  </w:r>
                </w:p>
              </w:tc>
            </w:tr>
          </w:tbl>
          <w:p w14:paraId="28A6EB08" w14:textId="77777777" w:rsidR="00CA7F67" w:rsidRPr="004D5219" w:rsidRDefault="00CA7F67" w:rsidP="00CA7F67">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745"/>
              <w:gridCol w:w="8505"/>
            </w:tblGrid>
            <w:tr w:rsidR="00CA7F67" w:rsidRPr="004D5219" w14:paraId="3E6492C9" w14:textId="77777777" w:rsidTr="00D5205A">
              <w:trPr>
                <w:tblCellSpacing w:w="0" w:type="dxa"/>
              </w:trPr>
              <w:tc>
                <w:tcPr>
                  <w:tcW w:w="0" w:type="auto"/>
                  <w:hideMark/>
                </w:tcPr>
                <w:p w14:paraId="26935B56" w14:textId="77777777" w:rsidR="00CA7F67" w:rsidRPr="004D5219" w:rsidRDefault="00CA7F67" w:rsidP="00CA7F67">
                  <w:pPr>
                    <w:spacing w:before="120"/>
                    <w:jc w:val="both"/>
                    <w:rPr>
                      <w:rFonts w:ascii="inherit" w:hAnsi="inherit"/>
                      <w:lang w:val="et-EE"/>
                    </w:rPr>
                  </w:pPr>
                  <w:r w:rsidRPr="004D5219">
                    <w:rPr>
                      <w:rFonts w:ascii="inherit" w:hAnsi="inherit"/>
                      <w:lang w:val="et-EE"/>
                    </w:rPr>
                    <w:t>iii)</w:t>
                  </w:r>
                </w:p>
              </w:tc>
              <w:tc>
                <w:tcPr>
                  <w:tcW w:w="0" w:type="auto"/>
                  <w:hideMark/>
                </w:tcPr>
                <w:p w14:paraId="7E23CC61" w14:textId="77777777" w:rsidR="00CA7F67" w:rsidRPr="004D5219" w:rsidRDefault="00CA7F67" w:rsidP="00CA7F67">
                  <w:pPr>
                    <w:spacing w:before="120"/>
                    <w:jc w:val="both"/>
                    <w:rPr>
                      <w:rFonts w:ascii="inherit" w:hAnsi="inherit"/>
                      <w:lang w:val="et-EE"/>
                    </w:rPr>
                  </w:pPr>
                  <w:r w:rsidRPr="004D5219">
                    <w:rPr>
                      <w:rFonts w:ascii="inherit" w:hAnsi="inherit"/>
                      <w:lang w:val="et-EE"/>
                    </w:rPr>
                    <w:t xml:space="preserve">faasinurkade vahemik; </w:t>
                  </w:r>
                  <w:r w:rsidRPr="004D5219">
                    <w:rPr>
                      <w:rFonts w:ascii="inherit" w:hAnsi="inherit"/>
                      <w:highlight w:val="cyan"/>
                      <w:lang w:val="et-EE"/>
                    </w:rPr>
                    <w:t>60  kraadi</w:t>
                  </w:r>
                </w:p>
              </w:tc>
            </w:tr>
          </w:tbl>
          <w:p w14:paraId="335FF213" w14:textId="77777777" w:rsidR="00CA7F67" w:rsidRPr="004D5219" w:rsidRDefault="00CA7F67" w:rsidP="00CA7F67">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633"/>
              <w:gridCol w:w="8617"/>
            </w:tblGrid>
            <w:tr w:rsidR="00CA7F67" w:rsidRPr="004D5219" w14:paraId="21D6FC7B" w14:textId="77777777" w:rsidTr="00D5205A">
              <w:trPr>
                <w:tblCellSpacing w:w="0" w:type="dxa"/>
              </w:trPr>
              <w:tc>
                <w:tcPr>
                  <w:tcW w:w="0" w:type="auto"/>
                  <w:hideMark/>
                </w:tcPr>
                <w:p w14:paraId="02D6A091" w14:textId="77777777" w:rsidR="00CA7F67" w:rsidRPr="004D5219" w:rsidRDefault="00CA7F67" w:rsidP="00CA7F67">
                  <w:pPr>
                    <w:spacing w:before="120"/>
                    <w:jc w:val="both"/>
                    <w:rPr>
                      <w:rFonts w:ascii="inherit" w:hAnsi="inherit"/>
                      <w:lang w:val="et-EE"/>
                    </w:rPr>
                  </w:pPr>
                  <w:r w:rsidRPr="004D5219">
                    <w:rPr>
                      <w:rFonts w:ascii="inherit" w:hAnsi="inherit"/>
                      <w:lang w:val="et-EE"/>
                    </w:rPr>
                    <w:t>iv)</w:t>
                  </w:r>
                </w:p>
              </w:tc>
              <w:tc>
                <w:tcPr>
                  <w:tcW w:w="0" w:type="auto"/>
                  <w:hideMark/>
                </w:tcPr>
                <w:p w14:paraId="7EDA9019" w14:textId="77777777" w:rsidR="00CA7F67" w:rsidRPr="004D5219" w:rsidRDefault="00CA7F67" w:rsidP="00CA7F67">
                  <w:pPr>
                    <w:spacing w:before="120"/>
                    <w:jc w:val="both"/>
                    <w:rPr>
                      <w:rFonts w:ascii="inherit" w:hAnsi="inherit"/>
                      <w:lang w:val="et-EE"/>
                    </w:rPr>
                  </w:pPr>
                  <w:r w:rsidRPr="004D5219">
                    <w:rPr>
                      <w:rFonts w:ascii="inherit" w:hAnsi="inherit"/>
                      <w:lang w:val="et-EE"/>
                    </w:rPr>
                    <w:t xml:space="preserve">faasijärgnevus; </w:t>
                  </w:r>
                  <w:proofErr w:type="spellStart"/>
                  <w:r w:rsidRPr="004D5219">
                    <w:rPr>
                      <w:rFonts w:ascii="inherit" w:hAnsi="inherit"/>
                      <w:highlight w:val="cyan"/>
                      <w:lang w:val="et-EE"/>
                    </w:rPr>
                    <w:t>faasijägnevus</w:t>
                  </w:r>
                  <w:proofErr w:type="spellEnd"/>
                  <w:r w:rsidRPr="004D5219">
                    <w:rPr>
                      <w:rFonts w:ascii="inherit" w:hAnsi="inherit"/>
                      <w:highlight w:val="cyan"/>
                      <w:lang w:val="et-EE"/>
                    </w:rPr>
                    <w:t xml:space="preserve"> kontroll</w:t>
                  </w:r>
                  <w:r w:rsidRPr="004D5219">
                    <w:rPr>
                      <w:rFonts w:ascii="inherit" w:hAnsi="inherit"/>
                      <w:lang w:val="et-EE"/>
                    </w:rPr>
                    <w:t xml:space="preserve"> </w:t>
                  </w:r>
                </w:p>
              </w:tc>
            </w:tr>
          </w:tbl>
          <w:p w14:paraId="4FA0CCBB" w14:textId="77777777" w:rsidR="00CA7F67" w:rsidRPr="004D5219" w:rsidRDefault="00CA7F67" w:rsidP="00CA7F67">
            <w:pPr>
              <w:rPr>
                <w:rFonts w:ascii="inherit" w:eastAsia="Times New Roman" w:hAnsi="inherit"/>
                <w:vanish/>
                <w:lang w:val="et-EE"/>
              </w:rPr>
            </w:pPr>
          </w:p>
          <w:tbl>
            <w:tblPr>
              <w:tblW w:w="5000" w:type="pct"/>
              <w:tblCellSpacing w:w="0" w:type="dxa"/>
              <w:tblCellMar>
                <w:left w:w="0" w:type="dxa"/>
                <w:right w:w="0" w:type="dxa"/>
              </w:tblCellMar>
              <w:tblLook w:val="04A0" w:firstRow="1" w:lastRow="0" w:firstColumn="1" w:lastColumn="0" w:noHBand="0" w:noVBand="1"/>
            </w:tblPr>
            <w:tblGrid>
              <w:gridCol w:w="355"/>
              <w:gridCol w:w="8895"/>
            </w:tblGrid>
            <w:tr w:rsidR="00CA7F67" w:rsidRPr="00A2039D" w14:paraId="25CB7D22" w14:textId="77777777" w:rsidTr="00D5205A">
              <w:trPr>
                <w:tblCellSpacing w:w="0" w:type="dxa"/>
              </w:trPr>
              <w:tc>
                <w:tcPr>
                  <w:tcW w:w="0" w:type="auto"/>
                  <w:hideMark/>
                </w:tcPr>
                <w:p w14:paraId="66DAF7CD" w14:textId="77777777" w:rsidR="00CA7F67" w:rsidRPr="004D5219" w:rsidRDefault="00CA7F67" w:rsidP="00CA7F67">
                  <w:pPr>
                    <w:spacing w:before="120"/>
                    <w:jc w:val="both"/>
                    <w:rPr>
                      <w:rFonts w:ascii="inherit" w:hAnsi="inherit"/>
                      <w:lang w:val="et-EE"/>
                    </w:rPr>
                  </w:pPr>
                  <w:r w:rsidRPr="004D5219">
                    <w:rPr>
                      <w:rFonts w:ascii="inherit" w:hAnsi="inherit"/>
                      <w:lang w:val="et-EE"/>
                    </w:rPr>
                    <w:t>v)</w:t>
                  </w:r>
                </w:p>
              </w:tc>
              <w:tc>
                <w:tcPr>
                  <w:tcW w:w="0" w:type="auto"/>
                  <w:hideMark/>
                </w:tcPr>
                <w:p w14:paraId="79615374" w14:textId="77777777" w:rsidR="00CA7F67" w:rsidRPr="004D5219" w:rsidRDefault="00CA7F67" w:rsidP="00CA7F67">
                  <w:pPr>
                    <w:spacing w:before="120"/>
                    <w:jc w:val="both"/>
                    <w:rPr>
                      <w:rFonts w:ascii="inherit" w:hAnsi="inherit"/>
                      <w:lang w:val="et-EE"/>
                    </w:rPr>
                  </w:pPr>
                  <w:r w:rsidRPr="004D5219">
                    <w:rPr>
                      <w:rFonts w:ascii="inherit" w:hAnsi="inherit"/>
                      <w:lang w:val="et-EE"/>
                    </w:rPr>
                    <w:t xml:space="preserve">pinge ja sageduse kõrvalekalle. </w:t>
                  </w:r>
                  <w:r w:rsidRPr="004D5219">
                    <w:rPr>
                      <w:rFonts w:ascii="inherit" w:hAnsi="inherit"/>
                      <w:highlight w:val="cyan"/>
                      <w:lang w:val="et-EE"/>
                    </w:rPr>
                    <w:t xml:space="preserve">15% </w:t>
                  </w:r>
                  <w:proofErr w:type="spellStart"/>
                  <w:r w:rsidRPr="004D5219">
                    <w:rPr>
                      <w:rFonts w:ascii="inherit" w:hAnsi="inherit"/>
                      <w:highlight w:val="cyan"/>
                      <w:lang w:val="et-EE"/>
                    </w:rPr>
                    <w:t>Un</w:t>
                  </w:r>
                  <w:proofErr w:type="spellEnd"/>
                  <w:r w:rsidRPr="004D5219">
                    <w:rPr>
                      <w:rFonts w:ascii="inherit" w:hAnsi="inherit"/>
                      <w:highlight w:val="cyan"/>
                      <w:lang w:val="et-EE"/>
                    </w:rPr>
                    <w:t xml:space="preserve"> ja 100 </w:t>
                  </w:r>
                  <w:proofErr w:type="spellStart"/>
                  <w:r w:rsidRPr="004D5219">
                    <w:rPr>
                      <w:rFonts w:ascii="inherit" w:hAnsi="inherit"/>
                      <w:highlight w:val="cyan"/>
                      <w:lang w:val="et-EE"/>
                    </w:rPr>
                    <w:t>mHz</w:t>
                  </w:r>
                  <w:proofErr w:type="spellEnd"/>
                </w:p>
              </w:tc>
            </w:tr>
          </w:tbl>
          <w:p w14:paraId="66C6B06B"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25922A8"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3CD64C47"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1AD60D57"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148239E3"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30E35CFF"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72BA63E9" w14:textId="62F3752E"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2. PEATÜKK</w:t>
      </w:r>
    </w:p>
    <w:p w14:paraId="7397E896"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Nõuded sünkroonmoodulite kohta</w:t>
      </w:r>
    </w:p>
    <w:p w14:paraId="25C2C7F1"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17</w:t>
      </w:r>
    </w:p>
    <w:p w14:paraId="3C7D2F5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B-tüüpi sünkroonmoodulite kohta</w:t>
      </w:r>
    </w:p>
    <w:p w14:paraId="298EA8D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B-tüüpi sünkroonmoodulid peavad vastama artiklites 13 ja 14 sätestatud nõuetele, välja arvatud artikli 13 lõike 2 punkti b nõuded.</w:t>
      </w:r>
    </w:p>
    <w:p w14:paraId="60F0712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B-tüüpi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895795A" w14:textId="77777777" w:rsidTr="008E1A17">
        <w:trPr>
          <w:tblCellSpacing w:w="0" w:type="dxa"/>
        </w:trPr>
        <w:tc>
          <w:tcPr>
            <w:tcW w:w="0" w:type="auto"/>
            <w:hideMark/>
          </w:tcPr>
          <w:p w14:paraId="033214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024839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peab asjaomasel võrguettevõtjal olema õigus määrata kindlaks sünkroonmooduli reaktiivvõimsuse tootmise suutlikkus;</w:t>
            </w:r>
          </w:p>
          <w:p w14:paraId="1D8F99FB" w14:textId="77777777" w:rsidR="00A4394C" w:rsidRPr="004D5219" w:rsidRDefault="00A4394C" w:rsidP="008E1A17">
            <w:pPr>
              <w:widowControl/>
              <w:autoSpaceDE/>
              <w:autoSpaceDN/>
              <w:spacing w:before="120"/>
              <w:jc w:val="both"/>
              <w:rPr>
                <w:lang w:val="et-EE"/>
              </w:rPr>
            </w:pPr>
            <w:r w:rsidRPr="004D5219">
              <w:rPr>
                <w:highlight w:val="cyan"/>
                <w:lang w:val="et-EE"/>
              </w:rPr>
              <w:t>B-tüüpi sünkroonmoodulid peavad olema suutelised reguleerima reaktiivvõimsust tehniliselt võimaliku reguleerimisvõimekuse ulatuses asjaomase võrguettevõtja nõudmisel.</w:t>
            </w:r>
          </w:p>
          <w:p w14:paraId="33380E9D" w14:textId="3AB06E98" w:rsidR="00A4394C" w:rsidRPr="004D5219" w:rsidRDefault="00A4394C" w:rsidP="008E1A17">
            <w:pPr>
              <w:widowControl/>
              <w:autoSpaceDE/>
              <w:autoSpaceDN/>
              <w:spacing w:before="120"/>
              <w:jc w:val="both"/>
              <w:rPr>
                <w:rFonts w:ascii="inherit" w:eastAsia="Times New Roman" w:hAnsi="inherit" w:cs="Times New Roman"/>
                <w:sz w:val="24"/>
                <w:szCs w:val="24"/>
                <w:lang w:val="et-EE" w:bidi="ar-SA"/>
              </w:rPr>
            </w:pPr>
          </w:p>
        </w:tc>
      </w:tr>
    </w:tbl>
    <w:p w14:paraId="695D33C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06E6CFF" w14:textId="77777777" w:rsidTr="008E1A17">
        <w:trPr>
          <w:tblCellSpacing w:w="0" w:type="dxa"/>
        </w:trPr>
        <w:tc>
          <w:tcPr>
            <w:tcW w:w="0" w:type="auto"/>
            <w:hideMark/>
          </w:tcPr>
          <w:p w14:paraId="379861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BDEE11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pinge juhtimissüsteemiga peab sünkroonmoodul olema varustatud ergutuse pideva automaatjuhtimissüsteemiga, millega tekitatakse püsipinge generaatori klemmidel valitava seadeväärtuse korral, nii et ebastabiilsust ei tekiks mitte kusagil kogu sünkroonmooduli talitlusvahemikus.</w:t>
            </w:r>
          </w:p>
        </w:tc>
      </w:tr>
    </w:tbl>
    <w:p w14:paraId="50F87342" w14:textId="026347A0" w:rsidR="000D21E9" w:rsidRPr="004D5219" w:rsidRDefault="008E1A17" w:rsidP="000D21E9">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color w:val="000000"/>
          <w:sz w:val="24"/>
          <w:szCs w:val="24"/>
          <w:lang w:val="et-EE" w:bidi="ar-SA"/>
        </w:rPr>
        <w:t>3.   </w:t>
      </w:r>
      <w:r w:rsidR="000D21E9" w:rsidRPr="004D5219">
        <w:rPr>
          <w:rFonts w:ascii="inherit" w:eastAsia="Times New Roman" w:hAnsi="inherit" w:cs="Times New Roman"/>
          <w:sz w:val="24"/>
          <w:szCs w:val="24"/>
          <w:lang w:val="et-EE" w:bidi="ar-SA"/>
        </w:rPr>
        <w:t xml:space="preserve">Talitluskindluse poolest peavad B-tüüpi sünkroonmoodulid olema suutelised tagama rikkejärgselt aktiivvõimsuse taastamise, </w:t>
      </w:r>
      <w:r w:rsidR="000D21E9" w:rsidRPr="004D5219">
        <w:rPr>
          <w:rFonts w:ascii="inherit" w:eastAsia="Times New Roman" w:hAnsi="inherit" w:cs="Times New Roman"/>
          <w:sz w:val="24"/>
          <w:szCs w:val="24"/>
          <w:highlight w:val="cyan"/>
          <w:lang w:val="et-EE" w:bidi="ar-SA"/>
        </w:rPr>
        <w:t xml:space="preserve">mille korral peab aktiivvõimsus taastuma ilma viivituseta nii kiiresti kui tehniliselt võimalik, kuid mitte kauem kui 1s peale võrgupinge taastumist ning peale rikke kõrvaldamist ei tohi väljundvõimsus võrreldes </w:t>
      </w:r>
      <w:proofErr w:type="spellStart"/>
      <w:r w:rsidR="000D21E9" w:rsidRPr="004D5219">
        <w:rPr>
          <w:rFonts w:ascii="inherit" w:eastAsia="Times New Roman" w:hAnsi="inherit" w:cs="Times New Roman"/>
          <w:sz w:val="24"/>
          <w:szCs w:val="24"/>
          <w:highlight w:val="cyan"/>
          <w:lang w:val="et-EE" w:bidi="ar-SA"/>
        </w:rPr>
        <w:t>rikkeeelse</w:t>
      </w:r>
      <w:proofErr w:type="spellEnd"/>
      <w:r w:rsidR="000D21E9" w:rsidRPr="004D5219">
        <w:rPr>
          <w:rFonts w:ascii="inherit" w:eastAsia="Times New Roman" w:hAnsi="inherit" w:cs="Times New Roman"/>
          <w:sz w:val="24"/>
          <w:szCs w:val="24"/>
          <w:highlight w:val="cyan"/>
          <w:lang w:val="et-EE" w:bidi="ar-SA"/>
        </w:rPr>
        <w:t xml:space="preserve"> tasemega väheneda rohkem kui 10% nimiaktiivvõimsusest.</w:t>
      </w:r>
    </w:p>
    <w:p w14:paraId="65B3855D" w14:textId="73850407" w:rsidR="008E1A17" w:rsidRPr="004D5219" w:rsidRDefault="008E1A17" w:rsidP="000D21E9">
      <w:pPr>
        <w:widowControl/>
        <w:autoSpaceDE/>
        <w:autoSpaceDN/>
        <w:spacing w:before="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18</w:t>
      </w:r>
    </w:p>
    <w:p w14:paraId="3310318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C-tüüpi sünkroonmoodulite kohta</w:t>
      </w:r>
    </w:p>
    <w:p w14:paraId="0F49D63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C-tüüpi sünkroonmoodulid peavad vastama artiklites 13, 14, 15 ja 17 sätestatud nõuetele, välja arvatud artikli 13 lõike 2 punkti b ja artikli 13 lõike 6, artikli 14 lõike 2 ja artikli 17 lõike 2 punkti a nõuded.</w:t>
      </w:r>
    </w:p>
    <w:p w14:paraId="1EAC270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C-tüüpi sünkroonmoodulid peavad pinge stabiilsuse osas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9CE1480" w14:textId="77777777" w:rsidTr="008E1A17">
        <w:trPr>
          <w:tblCellSpacing w:w="0" w:type="dxa"/>
        </w:trPr>
        <w:tc>
          <w:tcPr>
            <w:tcW w:w="0" w:type="auto"/>
            <w:hideMark/>
          </w:tcPr>
          <w:p w14:paraId="4D629EC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8893EB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võib asjaomane võrguettevõtja nõuda täiendavat reaktiivvõimsust, kui sünkroonmooduli ühenduspunkt ei ole pinget ühenduspunkti pingele tõstva pingekõrgendustrafo ülempingeklemmidel ega generaatori klemmidel pingekõrgendustrafo puudumisel. Selline täiendav reaktiivvõimsus peab kompenseerima sünkroonmooduli pingekõrgendustrafo ülempingeklemmide (või trafo puudumisel generaatori klemmide) ja ühenduspunkti vahelise kõrgepingeliini või kõrgepingekaabli reaktiivvõimsuse tarbe ning selle peab tagama nimetatud liini või kaabli vastutav omanik;</w:t>
            </w:r>
          </w:p>
          <w:p w14:paraId="382B6EF9" w14:textId="77777777" w:rsidR="00FB5C35" w:rsidRPr="004D5219" w:rsidRDefault="00FB5C35" w:rsidP="008E1A17">
            <w:pPr>
              <w:widowControl/>
              <w:autoSpaceDE/>
              <w:autoSpaceDN/>
              <w:spacing w:before="120"/>
              <w:jc w:val="both"/>
              <w:rPr>
                <w:rFonts w:ascii="inherit" w:eastAsia="Times New Roman" w:hAnsi="inherit" w:cs="Times New Roman"/>
                <w:sz w:val="24"/>
                <w:szCs w:val="24"/>
                <w:lang w:val="et-EE" w:bidi="ar-SA"/>
              </w:rPr>
            </w:pPr>
          </w:p>
          <w:p w14:paraId="7593A73E" w14:textId="77777777" w:rsidR="00FB5C35" w:rsidRPr="004D5219" w:rsidRDefault="00FB5C35" w:rsidP="00FB5C35">
            <w:pPr>
              <w:rPr>
                <w:highlight w:val="cyan"/>
                <w:lang w:val="et-EE"/>
              </w:rPr>
            </w:pPr>
            <w:r w:rsidRPr="004D5219">
              <w:rPr>
                <w:highlight w:val="cyan"/>
                <w:lang w:val="et-EE"/>
              </w:rPr>
              <w:t>Reaktiivvõimsuse reguleerimise võimekus tuleb tagada liitumispunkti suhtes</w:t>
            </w:r>
            <w:r w:rsidRPr="004D5219">
              <w:rPr>
                <w:b/>
                <w:highlight w:val="cyan"/>
                <w:lang w:val="et-EE"/>
              </w:rPr>
              <w:t xml:space="preserve"> </w:t>
            </w:r>
            <w:r w:rsidRPr="004D5219">
              <w:rPr>
                <w:highlight w:val="cyan"/>
                <w:lang w:val="et-EE"/>
              </w:rPr>
              <w:t>vastavalt artikli 18.2.b nõuetele, kuid mitte rohkem kui punktis 18.2.b toodud nõuded.</w:t>
            </w:r>
          </w:p>
          <w:p w14:paraId="3C83DCDA" w14:textId="77777777" w:rsidR="00FB5C35" w:rsidRPr="004D5219" w:rsidRDefault="00FB5C35" w:rsidP="00FB5C35">
            <w:pPr>
              <w:rPr>
                <w:highlight w:val="cyan"/>
                <w:lang w:val="et-EE"/>
              </w:rPr>
            </w:pPr>
          </w:p>
          <w:p w14:paraId="29BC5D41" w14:textId="77777777" w:rsidR="00FB5C35" w:rsidRPr="004D5219" w:rsidRDefault="00FB5C35" w:rsidP="00FB5C35">
            <w:pPr>
              <w:rPr>
                <w:rFonts w:cs="Times New Roman"/>
                <w:lang w:val="et-EE" w:eastAsia="et-EE"/>
              </w:rPr>
            </w:pPr>
            <w:r w:rsidRPr="004D5219">
              <w:rPr>
                <w:highlight w:val="cyan"/>
                <w:lang w:val="et-EE"/>
              </w:rPr>
              <w:t xml:space="preserve">Selgitus : </w:t>
            </w:r>
            <w:proofErr w:type="spellStart"/>
            <w:r w:rsidRPr="004D5219">
              <w:rPr>
                <w:highlight w:val="cyan"/>
                <w:lang w:val="et-EE"/>
              </w:rPr>
              <w:t>Segapaigaldise</w:t>
            </w:r>
            <w:proofErr w:type="spellEnd"/>
            <w:r w:rsidRPr="004D5219">
              <w:rPr>
                <w:highlight w:val="cyan"/>
                <w:lang w:val="et-EE"/>
              </w:rPr>
              <w:t xml:space="preserve"> puhul vaadelakse ainult sünkroonmoodulit, mitte liitumispunkti.</w:t>
            </w:r>
          </w:p>
          <w:p w14:paraId="5B71DA3C" w14:textId="74388AA2" w:rsidR="00FB5C35" w:rsidRPr="004D5219" w:rsidRDefault="00FB5C35" w:rsidP="008E1A17">
            <w:pPr>
              <w:widowControl/>
              <w:autoSpaceDE/>
              <w:autoSpaceDN/>
              <w:spacing w:before="120"/>
              <w:jc w:val="both"/>
              <w:rPr>
                <w:rFonts w:ascii="inherit" w:eastAsia="Times New Roman" w:hAnsi="inherit" w:cs="Times New Roman"/>
                <w:sz w:val="24"/>
                <w:szCs w:val="24"/>
                <w:lang w:val="et-EE" w:bidi="ar-SA"/>
              </w:rPr>
            </w:pPr>
          </w:p>
        </w:tc>
      </w:tr>
    </w:tbl>
    <w:p w14:paraId="31F5512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9"/>
        <w:gridCol w:w="9251"/>
      </w:tblGrid>
      <w:tr w:rsidR="008E1A17" w:rsidRPr="00A2039D" w14:paraId="5941AA99" w14:textId="77777777" w:rsidTr="008E1A17">
        <w:trPr>
          <w:tblCellSpacing w:w="0" w:type="dxa"/>
        </w:trPr>
        <w:tc>
          <w:tcPr>
            <w:tcW w:w="0" w:type="auto"/>
            <w:hideMark/>
          </w:tcPr>
          <w:p w14:paraId="2B366F0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24D31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9104"/>
            </w:tblGrid>
            <w:tr w:rsidR="008E1A17" w:rsidRPr="00A2039D" w14:paraId="55363F8F" w14:textId="77777777">
              <w:trPr>
                <w:tblCellSpacing w:w="0" w:type="dxa"/>
              </w:trPr>
              <w:tc>
                <w:tcPr>
                  <w:tcW w:w="0" w:type="auto"/>
                  <w:hideMark/>
                </w:tcPr>
                <w:p w14:paraId="4664BE4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1E47A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peab kooskõlastatult asjaomase põhivõrguettevõtjaga määrama kindlaks reaktiivvõimsussuutlikkuse nõuded muutuva pinge tingimustes. Selleks peab asjaomane võrguettevõtja koostama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mille piires peab sünkroonmoodul suutma toota reaktiivvõimsust enda maksimumvõimsusel. Selline kindlaksmääratud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võib olla mis tahes kujuga, sõltuvalt sellest, milline on kulu, et tagada reaktiivvõimsuse tootmine kõrgel pingel ja reaktiivvõimsuse tarbimine madalal pingel;</w:t>
                  </w:r>
                </w:p>
              </w:tc>
            </w:tr>
          </w:tbl>
          <w:p w14:paraId="1D3136A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3"/>
              <w:gridCol w:w="9038"/>
            </w:tblGrid>
            <w:tr w:rsidR="008E1A17" w:rsidRPr="004D5219" w14:paraId="5387C302" w14:textId="77777777">
              <w:trPr>
                <w:tblCellSpacing w:w="0" w:type="dxa"/>
              </w:trPr>
              <w:tc>
                <w:tcPr>
                  <w:tcW w:w="0" w:type="auto"/>
                  <w:hideMark/>
                </w:tcPr>
                <w:p w14:paraId="040984A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7C31A2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peab koostama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40"/>
                    <w:gridCol w:w="8798"/>
                  </w:tblGrid>
                  <w:tr w:rsidR="008E1A17" w:rsidRPr="00A2039D" w14:paraId="0DBBF4FA" w14:textId="77777777">
                    <w:trPr>
                      <w:tblCellSpacing w:w="0" w:type="dxa"/>
                    </w:trPr>
                    <w:tc>
                      <w:tcPr>
                        <w:tcW w:w="0" w:type="auto"/>
                        <w:hideMark/>
                      </w:tcPr>
                      <w:p w14:paraId="172861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33470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peab jääma joonisel 7 näidatud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sisemise ristküliku piiresse;</w:t>
                        </w:r>
                      </w:p>
                    </w:tc>
                  </w:tr>
                </w:tbl>
                <w:p w14:paraId="7EB1C22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98"/>
                  </w:tblGrid>
                  <w:tr w:rsidR="008E1A17" w:rsidRPr="00A2039D" w14:paraId="799EBE8A" w14:textId="77777777">
                    <w:trPr>
                      <w:tblCellSpacing w:w="0" w:type="dxa"/>
                    </w:trPr>
                    <w:tc>
                      <w:tcPr>
                        <w:tcW w:w="0" w:type="auto"/>
                        <w:hideMark/>
                      </w:tcPr>
                      <w:p w14:paraId="047277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65518A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ristküliku ulatus (suuruse 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väärtuste vahemik ja pinge vahemik) peab olema iga sünkroonala jaoks tabelis 8 sätestatud vahemikus ning</w:t>
                        </w:r>
                      </w:p>
                    </w:tc>
                  </w:tr>
                </w:tbl>
                <w:p w14:paraId="5A009D1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98"/>
                  </w:tblGrid>
                  <w:tr w:rsidR="008E1A17" w:rsidRPr="00A2039D" w14:paraId="3FD33C50" w14:textId="77777777">
                    <w:trPr>
                      <w:tblCellSpacing w:w="0" w:type="dxa"/>
                    </w:trPr>
                    <w:tc>
                      <w:tcPr>
                        <w:tcW w:w="0" w:type="auto"/>
                        <w:hideMark/>
                      </w:tcPr>
                      <w:p w14:paraId="649801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66E482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graafiku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ristkülik peab paiknema joonisel 7 näidatud kindlaksmääratud välimise ristküliku piirides.</w:t>
                        </w:r>
                      </w:p>
                    </w:tc>
                  </w:tr>
                </w:tbl>
                <w:p w14:paraId="25BDA6BA"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7</w:t>
                  </w:r>
                </w:p>
                <w:p w14:paraId="77B1E2FE"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Sünkroonmooduli U-Q/</w:t>
                  </w:r>
                  <w:proofErr w:type="spellStart"/>
                  <w:r w:rsidRPr="004D5219">
                    <w:rPr>
                      <w:rFonts w:ascii="inherit" w:eastAsia="Times New Roman" w:hAnsi="inherit" w:cs="Times New Roman"/>
                      <w:b/>
                      <w:bCs/>
                      <w:sz w:val="24"/>
                      <w:szCs w:val="24"/>
                      <w:lang w:val="et-EE" w:bidi="ar-SA"/>
                    </w:rPr>
                    <w:t>P</w:t>
                  </w:r>
                  <w:r w:rsidRPr="004D5219">
                    <w:rPr>
                      <w:rFonts w:ascii="inherit" w:eastAsia="Times New Roman" w:hAnsi="inherit" w:cs="Times New Roman"/>
                      <w:b/>
                      <w:bCs/>
                      <w:sz w:val="17"/>
                      <w:szCs w:val="17"/>
                      <w:vertAlign w:val="subscript"/>
                      <w:lang w:val="et-EE" w:bidi="ar-SA"/>
                    </w:rPr>
                    <w:t>max</w:t>
                  </w:r>
                  <w:proofErr w:type="spellEnd"/>
                  <w:r w:rsidRPr="004D5219">
                    <w:rPr>
                      <w:rFonts w:ascii="inherit" w:eastAsia="Times New Roman" w:hAnsi="inherit" w:cs="Times New Roman"/>
                      <w:b/>
                      <w:bCs/>
                      <w:sz w:val="24"/>
                      <w:szCs w:val="24"/>
                      <w:lang w:val="et-EE" w:bidi="ar-SA"/>
                    </w:rPr>
                    <w:t> graafik</w:t>
                  </w:r>
                </w:p>
                <w:p w14:paraId="7E5E17AA" w14:textId="1517B2A8" w:rsidR="008E1A17" w:rsidRPr="004D5219" w:rsidRDefault="008D709D" w:rsidP="008E1A17">
                  <w:pPr>
                    <w:widowControl/>
                    <w:autoSpaceDE/>
                    <w:autoSpaceDN/>
                    <w:rPr>
                      <w:rFonts w:ascii="inherit" w:eastAsia="Times New Roman" w:hAnsi="inherit" w:cs="Times New Roman"/>
                      <w:sz w:val="24"/>
                      <w:szCs w:val="24"/>
                      <w:lang w:val="et-EE" w:bidi="ar-SA"/>
                    </w:rPr>
                  </w:pPr>
                  <w:r w:rsidRPr="004D5219">
                    <w:rPr>
                      <w:rFonts w:ascii="inherit" w:eastAsia="Times New Roman" w:hAnsi="inherit"/>
                      <w:noProof/>
                      <w:lang w:val="et-EE"/>
                    </w:rPr>
                    <w:object w:dxaOrig="9088" w:dyaOrig="6928" w14:anchorId="79A048D9">
                      <v:shape id="_x0000_i1033" type="#_x0000_t75" alt="" style="width:454.25pt;height:346.25pt;mso-width-percent:0;mso-height-percent:0;mso-width-percent:0;mso-height-percent:0" o:ole="">
                        <v:imagedata r:id="rId30" o:title=""/>
                      </v:shape>
                      <o:OLEObject Type="Embed" ProgID="Visio.Drawing.11" ShapeID="_x0000_i1033" DrawAspect="Content" ObjectID="_1633352381" r:id="rId31"/>
                    </w:object>
                  </w:r>
                  <w:r w:rsidR="008E1A17" w:rsidRPr="004D5219">
                    <w:rPr>
                      <w:rFonts w:ascii="inherit" w:eastAsia="Times New Roman" w:hAnsi="inherit" w:cs="Times New Roman"/>
                      <w:sz w:val="24"/>
                      <w:szCs w:val="24"/>
                      <w:lang w:val="et-EE" w:bidi="ar-SA"/>
                    </w:rPr>
                    <w:fldChar w:fldCharType="begin"/>
                  </w:r>
                  <w:r w:rsidR="008E1A17" w:rsidRPr="004D5219">
                    <w:rPr>
                      <w:rFonts w:ascii="inherit" w:eastAsia="Times New Roman" w:hAnsi="inherit" w:cs="Times New Roman"/>
                      <w:sz w:val="24"/>
                      <w:szCs w:val="24"/>
                      <w:lang w:val="et-EE" w:bidi="ar-SA"/>
                    </w:rPr>
                    <w:instrText xml:space="preserve"> INCLUDEPICTURE "https://eur-lex.europa.eu/resource.html?uri=uriserv:OJ.L_.2016.112.FULL.EST.xhtml.L_2016112ET.01003301.tif.jpg" \* MERGEFORMATINET </w:instrText>
                  </w:r>
                  <w:r w:rsidR="008E1A17" w:rsidRPr="004D5219">
                    <w:rPr>
                      <w:rFonts w:ascii="inherit" w:eastAsia="Times New Roman" w:hAnsi="inherit" w:cs="Times New Roman"/>
                      <w:sz w:val="24"/>
                      <w:szCs w:val="24"/>
                      <w:lang w:val="et-EE" w:bidi="ar-SA"/>
                    </w:rPr>
                    <w:fldChar w:fldCharType="end"/>
                  </w:r>
                </w:p>
                <w:p w14:paraId="7ABEDC7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Joonisel on kujutatud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graafikule vastavate suuruste piirid; U on ühenduspunkti pinge, esitatud võrdlusväärtuse 1 suhtes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xml:space="preserve">.), Q on reaktiivvõimsus ja </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maksimumvõimsus. Sisemise ristküliku paiknemine, mõõtmed ja kuju on näitlikud.</w:t>
                  </w:r>
                </w:p>
                <w:p w14:paraId="071C262F"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lastRenderedPageBreak/>
                    <w:t>Tabel 8</w:t>
                  </w:r>
                </w:p>
                <w:p w14:paraId="5DF19D08"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Joonisel 7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18"/>
                    <w:gridCol w:w="2264"/>
                    <w:gridCol w:w="4940"/>
                  </w:tblGrid>
                  <w:tr w:rsidR="008E1A17" w:rsidRPr="00A2039D" w14:paraId="446DDDFD"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9223272"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FF60087"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Q/</w:t>
                        </w:r>
                        <w:proofErr w:type="spellStart"/>
                        <w:r w:rsidRPr="004D5219">
                          <w:rPr>
                            <w:rFonts w:ascii="inherit" w:eastAsia="Times New Roman" w:hAnsi="inherit" w:cs="Times New Roman"/>
                            <w:b/>
                            <w:bCs/>
                            <w:lang w:val="et-EE" w:bidi="ar-SA"/>
                          </w:rPr>
                          <w:t>P</w:t>
                        </w:r>
                        <w:r w:rsidRPr="004D5219">
                          <w:rPr>
                            <w:rFonts w:ascii="inherit" w:eastAsia="Times New Roman" w:hAnsi="inherit" w:cs="Times New Roman"/>
                            <w:b/>
                            <w:bCs/>
                            <w:sz w:val="15"/>
                            <w:szCs w:val="15"/>
                            <w:vertAlign w:val="subscript"/>
                            <w:lang w:val="et-EE" w:bidi="ar-SA"/>
                          </w:rPr>
                          <w:t>max</w:t>
                        </w:r>
                        <w:proofErr w:type="spellEnd"/>
                        <w:r w:rsidRPr="004D5219">
                          <w:rPr>
                            <w:rFonts w:ascii="inherit" w:eastAsia="Times New Roman" w:hAnsi="inherit" w:cs="Times New Roman"/>
                            <w:b/>
                            <w:bCs/>
                            <w:lang w:val="et-EE" w:bidi="ar-SA"/>
                          </w:rPr>
                          <w:t> 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2B7F0EF7"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Püsitalitluse pinge suurim vahemik suhtelistes ühikutes</w:t>
                        </w:r>
                      </w:p>
                    </w:tc>
                  </w:tr>
                  <w:tr w:rsidR="008E1A17" w:rsidRPr="004D5219" w14:paraId="0A617496"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C024E70"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5F88087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1,0</w:t>
                        </w:r>
                      </w:p>
                    </w:tc>
                    <w:tc>
                      <w:tcPr>
                        <w:tcW w:w="0" w:type="auto"/>
                        <w:tcBorders>
                          <w:top w:val="single" w:sz="6" w:space="0" w:color="000000"/>
                          <w:left w:val="single" w:sz="6" w:space="0" w:color="000000"/>
                          <w:bottom w:val="single" w:sz="6" w:space="0" w:color="000000"/>
                          <w:right w:val="single" w:sz="6" w:space="0" w:color="000000"/>
                        </w:tcBorders>
                        <w:hideMark/>
                      </w:tcPr>
                      <w:p w14:paraId="00BA692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0,220</w:t>
                        </w:r>
                      </w:p>
                    </w:tc>
                  </w:tr>
                </w:tbl>
                <w:p w14:paraId="57C2496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A51152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1"/>
            </w:tblGrid>
            <w:tr w:rsidR="008E1A17" w:rsidRPr="00A2039D" w14:paraId="7945274D" w14:textId="77777777">
              <w:trPr>
                <w:tblCellSpacing w:w="0" w:type="dxa"/>
              </w:trPr>
              <w:tc>
                <w:tcPr>
                  <w:tcW w:w="0" w:type="auto"/>
                  <w:hideMark/>
                </w:tcPr>
                <w:p w14:paraId="33A5EC9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7F72FC4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ühenduspunktis kehtib reaktiivvõimsuse tootmise suutlikkuse nõue. Täisnurksest erineva kujuga profiili korral esitatakse pingevahemiku suurim ja väikseim väärtus. Seega ei eeldata, et kogu reaktiivvõimsuse vahemik oleks püsitalitluse pingete kogu vahemikus kasutatav;</w:t>
                  </w:r>
                </w:p>
              </w:tc>
            </w:tr>
          </w:tbl>
          <w:p w14:paraId="6D01AA6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4"/>
            </w:tblGrid>
            <w:tr w:rsidR="008E1A17" w:rsidRPr="00A2039D" w14:paraId="50341A1E" w14:textId="77777777">
              <w:trPr>
                <w:tblCellSpacing w:w="0" w:type="dxa"/>
              </w:trPr>
              <w:tc>
                <w:tcPr>
                  <w:tcW w:w="0" w:type="auto"/>
                  <w:hideMark/>
                </w:tcPr>
                <w:p w14:paraId="73F263B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34E855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sünkroonmoodul peab vastavalt asjaomase võrguettevõtja taotletud sihtväärtuste piires olema suuteline minema igasse oma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talitluspunkti asjakohase ajaga;</w:t>
                  </w:r>
                </w:p>
              </w:tc>
            </w:tr>
          </w:tbl>
          <w:p w14:paraId="79DAC84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73A9DF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1602244" w14:textId="77777777" w:rsidTr="008E1A17">
        <w:trPr>
          <w:tblCellSpacing w:w="0" w:type="dxa"/>
        </w:trPr>
        <w:tc>
          <w:tcPr>
            <w:tcW w:w="0" w:type="auto"/>
            <w:hideMark/>
          </w:tcPr>
          <w:p w14:paraId="2ECA627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53084B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reaktiivvõimsussuutlikkusega maksimumvõimsusest väiksematel väärtustel: kui väljundaktiivvõimsus on väiksem maksimumvõimsusest (P &lt; </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peavad sünkroonmoodulid suutma töötada igas kõnealuse sünkroonmooduli generaatori P-Q graafiku talitluspunktis vähemalt kuni stabiilse talitluse miinimumtasemeni. Isegi vähendatud väljundaktiivvõimsuse korral peab reaktiivvõimsuse tootmine ühenduspunktis täielikult vastama sünkroonmooduli generaatori P-Q graafikule, võttes arvesse omatarvet ning pingekõrgendustrafo olemasolu korral pingekõrgendustrafo tõttu tekkivat aktiiv- ja reaktiivvõimsuse kadu.</w:t>
            </w:r>
          </w:p>
        </w:tc>
      </w:tr>
    </w:tbl>
    <w:p w14:paraId="700F76F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19</w:t>
      </w:r>
    </w:p>
    <w:p w14:paraId="1C541A5B"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D-tüüpi sünkroonmoodulite kohta</w:t>
      </w:r>
    </w:p>
    <w:p w14:paraId="6183DE1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D-tüüpi sünkroonmoodulid peavad vastama artiklites 13–18 sätestatud nõuetele, välja arvatud artikli 13 lõike 2 punkti b, artikli 13 lõigete 6 ja 7, artikli 14 lõike 2, artikli 15 lõike 3 ja artikli 17 lõike 2 nõuded.</w:t>
      </w:r>
    </w:p>
    <w:p w14:paraId="1AECDC3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D-tüüpi sünkroonmoodulid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52C6FD0" w14:textId="77777777" w:rsidTr="008E1A17">
        <w:trPr>
          <w:tblCellSpacing w:w="0" w:type="dxa"/>
        </w:trPr>
        <w:tc>
          <w:tcPr>
            <w:tcW w:w="0" w:type="auto"/>
            <w:hideMark/>
          </w:tcPr>
          <w:p w14:paraId="0BC845F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D3068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 juhtimissüsteemi komponentide näitajad ja seaded tuleb määrata tootmisüksuse omaniku ja asjaomase võrguettevõtja kokkuleppel kooskõlastatult asjaomase põhivõrguettevõtjaga;</w:t>
            </w:r>
          </w:p>
        </w:tc>
      </w:tr>
    </w:tbl>
    <w:p w14:paraId="74CA7CE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34ACC48" w14:textId="77777777" w:rsidTr="008E1A17">
        <w:trPr>
          <w:tblCellSpacing w:w="0" w:type="dxa"/>
        </w:trPr>
        <w:tc>
          <w:tcPr>
            <w:tcW w:w="0" w:type="auto"/>
            <w:hideMark/>
          </w:tcPr>
          <w:p w14:paraId="17261A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2BC4719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punktis a osutatud kokkulepe peab sisaldama püsitalitluse pinge ja </w:t>
            </w:r>
            <w:proofErr w:type="spellStart"/>
            <w:r w:rsidRPr="004D5219">
              <w:rPr>
                <w:rFonts w:ascii="inherit" w:eastAsia="Times New Roman" w:hAnsi="inherit" w:cs="Times New Roman"/>
                <w:sz w:val="24"/>
                <w:szCs w:val="24"/>
                <w:lang w:val="et-EE" w:bidi="ar-SA"/>
              </w:rPr>
              <w:t>transientpingete</w:t>
            </w:r>
            <w:proofErr w:type="spellEnd"/>
            <w:r w:rsidRPr="004D5219">
              <w:rPr>
                <w:rFonts w:ascii="inherit" w:eastAsia="Times New Roman" w:hAnsi="inherit" w:cs="Times New Roman"/>
                <w:sz w:val="24"/>
                <w:szCs w:val="24"/>
                <w:lang w:val="et-EE" w:bidi="ar-SA"/>
              </w:rPr>
              <w:t xml:space="preserve"> (siirdepingete) juhtimisega seotud automaatpingeregulaatori tehnilist kirjeldust ja näitajaid ning ergutuse juhtimissüsteemi tehnilist kirjeldust ja näitajaid. Ergutuse juhtimissüsteem peab sisaldama järgmist:</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10730801" w14:textId="77777777">
              <w:trPr>
                <w:tblCellSpacing w:w="0" w:type="dxa"/>
              </w:trPr>
              <w:tc>
                <w:tcPr>
                  <w:tcW w:w="0" w:type="auto"/>
                  <w:hideMark/>
                </w:tcPr>
                <w:p w14:paraId="2A45E0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55B80A6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väljundsignaali ribalaiuse piirangut, millega tagatakse, et kaja kõrgeim sagedus ei tekitaks väändevõnkumisi muudes võrku ühendatud tootmismoodulites;</w:t>
                  </w:r>
                </w:p>
              </w:tc>
            </w:tr>
          </w:tbl>
          <w:p w14:paraId="2806BCE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64474F6A" w14:textId="77777777">
              <w:trPr>
                <w:tblCellSpacing w:w="0" w:type="dxa"/>
              </w:trPr>
              <w:tc>
                <w:tcPr>
                  <w:tcW w:w="0" w:type="auto"/>
                  <w:hideMark/>
                </w:tcPr>
                <w:p w14:paraId="25896F5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4802C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alaergutuspiiraja</w:t>
                  </w:r>
                  <w:proofErr w:type="spellEnd"/>
                  <w:r w:rsidRPr="004D5219">
                    <w:rPr>
                      <w:rFonts w:ascii="inherit" w:eastAsia="Times New Roman" w:hAnsi="inherit" w:cs="Times New Roman"/>
                      <w:sz w:val="24"/>
                      <w:szCs w:val="24"/>
                      <w:lang w:val="et-EE" w:bidi="ar-SA"/>
                    </w:rPr>
                    <w:t>, millega tagatakse, et automaatpingeregulaator ei vähendaks generaatori ergutust tasemeni, mis seaks ohtu sünkronismis püsimise;</w:t>
                  </w:r>
                </w:p>
              </w:tc>
            </w:tr>
          </w:tbl>
          <w:p w14:paraId="1EBE89E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0"/>
            </w:tblGrid>
            <w:tr w:rsidR="008E1A17" w:rsidRPr="00A2039D" w14:paraId="38C4D81E" w14:textId="77777777">
              <w:trPr>
                <w:tblCellSpacing w:w="0" w:type="dxa"/>
              </w:trPr>
              <w:tc>
                <w:tcPr>
                  <w:tcW w:w="0" w:type="auto"/>
                  <w:hideMark/>
                </w:tcPr>
                <w:p w14:paraId="0EBC0D3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5F541C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üleergutuspiiraja</w:t>
                  </w:r>
                  <w:proofErr w:type="spellEnd"/>
                  <w:r w:rsidRPr="004D5219">
                    <w:rPr>
                      <w:rFonts w:ascii="inherit" w:eastAsia="Times New Roman" w:hAnsi="inherit" w:cs="Times New Roman"/>
                      <w:sz w:val="24"/>
                      <w:szCs w:val="24"/>
                      <w:lang w:val="et-EE" w:bidi="ar-SA"/>
                    </w:rPr>
                    <w:t>, millega tagatakse, et generaatori ergutust ei piirataks väiksema väärtusega kui suurim väärtus, mille korral on tagatav sünkroonmooduli talitlus oma ehitusega ettenähtud piirides;</w:t>
                  </w:r>
                </w:p>
              </w:tc>
            </w:tr>
          </w:tbl>
          <w:p w14:paraId="72A3D5F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901"/>
              <w:gridCol w:w="8349"/>
            </w:tblGrid>
            <w:tr w:rsidR="008E1A17" w:rsidRPr="004D5219" w14:paraId="5D18E57C" w14:textId="77777777">
              <w:trPr>
                <w:tblCellSpacing w:w="0" w:type="dxa"/>
              </w:trPr>
              <w:tc>
                <w:tcPr>
                  <w:tcW w:w="0" w:type="auto"/>
                  <w:hideMark/>
                </w:tcPr>
                <w:p w14:paraId="1254EB4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5ED2EE9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staatori voolu piiraja ning</w:t>
                  </w:r>
                </w:p>
              </w:tc>
            </w:tr>
          </w:tbl>
          <w:p w14:paraId="1F28A7D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50"/>
            </w:tblGrid>
            <w:tr w:rsidR="008E1A17" w:rsidRPr="00A2039D" w14:paraId="7893E899" w14:textId="77777777">
              <w:trPr>
                <w:tblCellSpacing w:w="0" w:type="dxa"/>
              </w:trPr>
              <w:tc>
                <w:tcPr>
                  <w:tcW w:w="0" w:type="auto"/>
                  <w:hideMark/>
                </w:tcPr>
                <w:p w14:paraId="75BB4B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67A0B4A1" w14:textId="74F1E2AB"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elektrisüsteemi stabilisaatori funktsioon võimsuse võnkumise su</w:t>
                  </w:r>
                  <w:r w:rsidR="0025549E" w:rsidRPr="004D5219">
                    <w:rPr>
                      <w:rFonts w:ascii="inherit" w:eastAsia="Times New Roman" w:hAnsi="inherit" w:cs="Times New Roman"/>
                      <w:sz w:val="24"/>
                      <w:szCs w:val="24"/>
                      <w:lang w:val="et-EE" w:bidi="ar-SA"/>
                    </w:rPr>
                    <w:t xml:space="preserve">mmutamiseks, kui sünkroonmoodul </w:t>
                  </w:r>
                  <w:r w:rsidR="0025549E" w:rsidRPr="004D5219">
                    <w:rPr>
                      <w:rFonts w:ascii="inherit" w:eastAsia="Times New Roman" w:hAnsi="inherit" w:cs="Times New Roman"/>
                      <w:sz w:val="24"/>
                      <w:szCs w:val="24"/>
                      <w:highlight w:val="cyan"/>
                      <w:lang w:val="et-EE" w:bidi="ar-SA"/>
                    </w:rPr>
                    <w:t>kuulub tüüp D kategooriasse</w:t>
                  </w:r>
                  <w:r w:rsidR="0025549E" w:rsidRPr="004D5219">
                    <w:rPr>
                      <w:rFonts w:ascii="inherit" w:eastAsia="Times New Roman" w:hAnsi="inherit" w:cs="Times New Roman"/>
                      <w:sz w:val="24"/>
                      <w:szCs w:val="24"/>
                      <w:lang w:val="et-EE" w:bidi="ar-SA"/>
                    </w:rPr>
                    <w:t>.</w:t>
                  </w:r>
                </w:p>
                <w:p w14:paraId="2D498584" w14:textId="11D9B27A" w:rsidR="0025549E" w:rsidRPr="004D5219" w:rsidRDefault="0025549E" w:rsidP="008E1A17">
                  <w:pPr>
                    <w:widowControl/>
                    <w:autoSpaceDE/>
                    <w:autoSpaceDN/>
                    <w:spacing w:before="120"/>
                    <w:jc w:val="both"/>
                    <w:rPr>
                      <w:rFonts w:ascii="inherit" w:eastAsia="Times New Roman" w:hAnsi="inherit" w:cs="Times New Roman"/>
                      <w:sz w:val="24"/>
                      <w:szCs w:val="24"/>
                      <w:lang w:val="et-EE" w:bidi="ar-SA"/>
                    </w:rPr>
                  </w:pPr>
                </w:p>
              </w:tc>
            </w:tr>
          </w:tbl>
          <w:p w14:paraId="5D4F3901"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78BB5B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Asjaomane põhivõrguettevõtja ja tootmisüksuse omanik peavad sõlmima lepingu tootmismooduli tehnilise suutlikkuse kohta, et tagada nurgastabiilsus rikke tingimustes.</w:t>
      </w:r>
    </w:p>
    <w:p w14:paraId="73781A9C"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15778BE7"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5709339B"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35C79D07" w14:textId="263EECA5"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3. PEATÜKK</w:t>
      </w:r>
    </w:p>
    <w:p w14:paraId="45DFE411"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Energiapargimoodulite nõuded</w:t>
      </w:r>
    </w:p>
    <w:p w14:paraId="393D47CD"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20</w:t>
      </w:r>
    </w:p>
    <w:p w14:paraId="7EF8655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B-tüüpi energiapargimoodulite kohta</w:t>
      </w:r>
    </w:p>
    <w:p w14:paraId="1A5429E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B-tüüpi energiapargimoodulid peavad vastama artiklites 13 ja 14 sätestatud nõuetele, välja arvatud artikli 13 lõike 2 punkti b nõuded.</w:t>
      </w:r>
    </w:p>
    <w:p w14:paraId="29D8231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B-tüüpi energiapargimoodulid peavad seoses pinge stabiilsusega vastama järgmistele täiendavatele nõuetele: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03B5F42" w14:textId="77777777" w:rsidTr="008E1A17">
        <w:trPr>
          <w:tblCellSpacing w:w="0" w:type="dxa"/>
        </w:trPr>
        <w:tc>
          <w:tcPr>
            <w:tcW w:w="0" w:type="auto"/>
            <w:hideMark/>
          </w:tcPr>
          <w:p w14:paraId="63C5F3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410B0E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peab asjaomasel võrguettevõtjal olema õigus määrata kindlaks energiapargimooduli reaktiivvõimsuse tootmise suutlikkus;</w:t>
            </w:r>
          </w:p>
          <w:p w14:paraId="3C241B62" w14:textId="78C2B6A0" w:rsidR="001406A3" w:rsidRPr="004D5219" w:rsidRDefault="001406A3"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 xml:space="preserve">B-tüüpi </w:t>
            </w:r>
            <w:proofErr w:type="spellStart"/>
            <w:r w:rsidRPr="004D5219">
              <w:rPr>
                <w:highlight w:val="cyan"/>
                <w:lang w:val="et-EE"/>
              </w:rPr>
              <w:t>enegiapargimoodulid</w:t>
            </w:r>
            <w:proofErr w:type="spellEnd"/>
            <w:r w:rsidRPr="004D5219">
              <w:rPr>
                <w:highlight w:val="cyan"/>
                <w:lang w:val="et-EE"/>
              </w:rPr>
              <w:t xml:space="preserve"> peavad olema suutelised reguleerima reaktiivvõimsust tehniliselt võimaliku reguleerimisvõimekuse ulatuses asjaomase võrguettevõtja nõudmisel.</w:t>
            </w:r>
          </w:p>
        </w:tc>
      </w:tr>
    </w:tbl>
    <w:p w14:paraId="10C24CF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1837CAF" w14:textId="77777777" w:rsidTr="008E1A17">
        <w:trPr>
          <w:tblCellSpacing w:w="0" w:type="dxa"/>
        </w:trPr>
        <w:tc>
          <w:tcPr>
            <w:tcW w:w="0" w:type="auto"/>
            <w:hideMark/>
          </w:tcPr>
          <w:p w14:paraId="090F0E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21B1C04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asjaomasel võrguettevõtjal on kooskõlastatult asjaomase põhivõrguettevõtjaga õigus nõuda järgmist seoses energiapargimooduli suutlikkusega tekitada ühenduspunktis sümmeetrilise (3-faasilise) rikke korral kiire rikkevool:</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7EF0C097" w14:textId="77777777">
              <w:trPr>
                <w:tblCellSpacing w:w="0" w:type="dxa"/>
              </w:trPr>
              <w:tc>
                <w:tcPr>
                  <w:tcW w:w="0" w:type="auto"/>
                  <w:hideMark/>
                </w:tcPr>
                <w:p w14:paraId="3B29888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3679A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 peab suutma tekitada kiire rikkevoolu:</w:t>
                  </w:r>
                </w:p>
                <w:tbl>
                  <w:tblPr>
                    <w:tblW w:w="5000" w:type="pct"/>
                    <w:tblCellSpacing w:w="0" w:type="dxa"/>
                    <w:tblCellMar>
                      <w:left w:w="0" w:type="dxa"/>
                      <w:right w:w="0" w:type="dxa"/>
                    </w:tblCellMar>
                    <w:tblLook w:val="04A0" w:firstRow="1" w:lastRow="0" w:firstColumn="1" w:lastColumn="0" w:noHBand="0" w:noVBand="1"/>
                  </w:tblPr>
                  <w:tblGrid>
                    <w:gridCol w:w="351"/>
                    <w:gridCol w:w="8752"/>
                  </w:tblGrid>
                  <w:tr w:rsidR="008E1A17" w:rsidRPr="00A2039D" w14:paraId="0D4B6B2C" w14:textId="77777777">
                    <w:trPr>
                      <w:tblCellSpacing w:w="0" w:type="dxa"/>
                    </w:trPr>
                    <w:tc>
                      <w:tcPr>
                        <w:tcW w:w="0" w:type="auto"/>
                        <w:hideMark/>
                      </w:tcPr>
                      <w:p w14:paraId="788FC95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F2BC5A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kas tagades kiire rikkevoolu aktiveerimise ühenduspunktis või</w:t>
                        </w:r>
                      </w:p>
                    </w:tc>
                  </w:tr>
                </w:tbl>
                <w:p w14:paraId="215B2AF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63"/>
                  </w:tblGrid>
                  <w:tr w:rsidR="008E1A17" w:rsidRPr="00A2039D" w14:paraId="54797153" w14:textId="77777777">
                    <w:trPr>
                      <w:tblCellSpacing w:w="0" w:type="dxa"/>
                    </w:trPr>
                    <w:tc>
                      <w:tcPr>
                        <w:tcW w:w="0" w:type="auto"/>
                        <w:hideMark/>
                      </w:tcPr>
                      <w:p w14:paraId="418CE1A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4B8E6C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mõõtes pinge kõrvalekaldeid üksikute energiapargimooduli üksuste klemmidel ja tekitades kiire rikkevoolu vastavate üksuste klemmidel;</w:t>
                        </w:r>
                      </w:p>
                    </w:tc>
                  </w:tr>
                </w:tbl>
                <w:p w14:paraId="51FD569E"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5194ED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432B838E" w14:textId="77777777">
              <w:trPr>
                <w:tblCellSpacing w:w="0" w:type="dxa"/>
              </w:trPr>
              <w:tc>
                <w:tcPr>
                  <w:tcW w:w="0" w:type="auto"/>
                  <w:hideMark/>
                </w:tcPr>
                <w:p w14:paraId="66F2CD8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0BC4514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kooskõlas asjaomase põhivõrguettevõtjaga peab täpsustama:</w:t>
                  </w:r>
                </w:p>
                <w:tbl>
                  <w:tblPr>
                    <w:tblW w:w="5000" w:type="pct"/>
                    <w:tblCellSpacing w:w="0" w:type="dxa"/>
                    <w:tblCellMar>
                      <w:left w:w="0" w:type="dxa"/>
                      <w:right w:w="0" w:type="dxa"/>
                    </w:tblCellMar>
                    <w:tblLook w:val="04A0" w:firstRow="1" w:lastRow="0" w:firstColumn="1" w:lastColumn="0" w:noHBand="0" w:noVBand="1"/>
                  </w:tblPr>
                  <w:tblGrid>
                    <w:gridCol w:w="281"/>
                    <w:gridCol w:w="8755"/>
                  </w:tblGrid>
                  <w:tr w:rsidR="008E1A17" w:rsidRPr="00A2039D" w14:paraId="7A8EA1D3" w14:textId="77777777">
                    <w:trPr>
                      <w:tblCellSpacing w:w="0" w:type="dxa"/>
                    </w:trPr>
                    <w:tc>
                      <w:tcPr>
                        <w:tcW w:w="0" w:type="auto"/>
                        <w:hideMark/>
                      </w:tcPr>
                      <w:p w14:paraId="056F977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513902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kuidas ja millal tuleb kindlaks teha pinge kõrvalekallet ja kõrvalekalde lõppu;</w:t>
                        </w:r>
                      </w:p>
                    </w:tc>
                  </w:tr>
                </w:tbl>
                <w:p w14:paraId="4CE3248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96"/>
                  </w:tblGrid>
                  <w:tr w:rsidR="008E1A17" w:rsidRPr="00A2039D" w14:paraId="6ABBA049" w14:textId="77777777">
                    <w:trPr>
                      <w:tblCellSpacing w:w="0" w:type="dxa"/>
                    </w:trPr>
                    <w:tc>
                      <w:tcPr>
                        <w:tcW w:w="0" w:type="auto"/>
                        <w:hideMark/>
                      </w:tcPr>
                      <w:p w14:paraId="40FDE34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6705F6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millised on kiire rikkevoolu näitajad, sealhulgas ajaraamistik, mil pinge kõrvalekallet ja kiiret rikkevoolu võib mõõta artiklis 2 sätestatud meetodist erinevalt;</w:t>
                        </w:r>
                      </w:p>
                    </w:tc>
                  </w:tr>
                </w:tbl>
                <w:p w14:paraId="3B01107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796"/>
                  </w:tblGrid>
                  <w:tr w:rsidR="008E1A17" w:rsidRPr="00A2039D" w14:paraId="3CD9269B" w14:textId="77777777">
                    <w:trPr>
                      <w:tblCellSpacing w:w="0" w:type="dxa"/>
                    </w:trPr>
                    <w:tc>
                      <w:tcPr>
                        <w:tcW w:w="0" w:type="auto"/>
                        <w:hideMark/>
                      </w:tcPr>
                      <w:p w14:paraId="32E2BB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F3705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kiire rikkevoolu ajastamine ja täpsus, seejuures võib kiirel rikkevoolul olla mitu astet rikke ajal ja pärast rikke eraldamist;</w:t>
                        </w:r>
                      </w:p>
                    </w:tc>
                  </w:tr>
                </w:tbl>
                <w:p w14:paraId="71AADEA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762B9EC"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C53196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8DC9874" w14:textId="77777777" w:rsidTr="008E1A17">
        <w:trPr>
          <w:tblCellSpacing w:w="0" w:type="dxa"/>
        </w:trPr>
        <w:tc>
          <w:tcPr>
            <w:tcW w:w="0" w:type="auto"/>
            <w:hideMark/>
          </w:tcPr>
          <w:p w14:paraId="2B03018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C81215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asümmeetrilise (1-faasilise või 2-faasilise) rikke korral on asjaomasel võrguettevõtjal kooskõlastatult põhivõrguettevõtjaga õigus kehtestada kiire asümmeetrilise rikkevoolu tekitamise nõue.</w:t>
            </w:r>
          </w:p>
          <w:p w14:paraId="2D5E61D9" w14:textId="40E7C78A" w:rsidR="00247EEE" w:rsidRPr="004D5219" w:rsidRDefault="00247EEE"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Käesolevas Võrgueeskirjas mitte nõudena rakendada. Tulevikus võib suure tõenäosusega vajalikuks osutuda ning täpsemad asjaolud selguvad peale sünkroniseerimise uuringute valmimist 2018.a teises pooles. Juhul kui energiapargimoodulil on võimekus olemas, lepitakse toimine projektipõhiselt tootja ja võrguettevõtja vahel kokku.</w:t>
            </w:r>
          </w:p>
        </w:tc>
      </w:tr>
    </w:tbl>
    <w:p w14:paraId="61D14CB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B-tüüpi energiapargimoodulite talitluskindluse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A1255F9" w14:textId="77777777" w:rsidTr="008E1A17">
        <w:trPr>
          <w:tblCellSpacing w:w="0" w:type="dxa"/>
        </w:trPr>
        <w:tc>
          <w:tcPr>
            <w:tcW w:w="0" w:type="auto"/>
            <w:hideMark/>
          </w:tcPr>
          <w:p w14:paraId="3578F9A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D0D2D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peab täpsustama energiapargimooduli osa rikkejärgse aktiivvõimsuse taastamisel ning määrama kindlaks järgmise:</w:t>
            </w:r>
          </w:p>
          <w:tbl>
            <w:tblPr>
              <w:tblW w:w="4951" w:type="pct"/>
              <w:tblCellSpacing w:w="0" w:type="dxa"/>
              <w:tblCellMar>
                <w:left w:w="0" w:type="dxa"/>
                <w:right w:w="0" w:type="dxa"/>
              </w:tblCellMar>
              <w:tblLook w:val="04A0" w:firstRow="1" w:lastRow="0" w:firstColumn="1" w:lastColumn="0" w:noHBand="0" w:noVBand="1"/>
            </w:tblPr>
            <w:tblGrid>
              <w:gridCol w:w="147"/>
              <w:gridCol w:w="9025"/>
            </w:tblGrid>
            <w:tr w:rsidR="00255C38" w:rsidRPr="00A2039D" w14:paraId="3CDBF652" w14:textId="77777777" w:rsidTr="00255C38">
              <w:trPr>
                <w:tblCellSpacing w:w="0" w:type="dxa"/>
              </w:trPr>
              <w:tc>
                <w:tcPr>
                  <w:tcW w:w="0" w:type="auto"/>
                  <w:hideMark/>
                </w:tcPr>
                <w:p w14:paraId="499F08E8"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i)</w:t>
                  </w:r>
                </w:p>
              </w:tc>
              <w:tc>
                <w:tcPr>
                  <w:tcW w:w="0" w:type="auto"/>
                  <w:hideMark/>
                </w:tcPr>
                <w:p w14:paraId="75258E96"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Rikkejärgne aktiivvõimsuse taastamine peab algama mitte hiljem, kui võrgupinge saavutab taseme 0,85 </w:t>
                  </w:r>
                  <w:proofErr w:type="spellStart"/>
                  <w:r w:rsidRPr="004D5219">
                    <w:rPr>
                      <w:rFonts w:ascii="inherit" w:eastAsia="Times New Roman" w:hAnsi="inherit" w:cs="Times New Roman"/>
                      <w:sz w:val="24"/>
                      <w:szCs w:val="24"/>
                      <w:highlight w:val="cyan"/>
                      <w:lang w:val="et-EE" w:bidi="ar-SA"/>
                    </w:rPr>
                    <w:t>p.u</w:t>
                  </w:r>
                  <w:proofErr w:type="spellEnd"/>
                </w:p>
              </w:tc>
            </w:tr>
          </w:tbl>
          <w:p w14:paraId="5D857BEF"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255C38" w:rsidRPr="00A2039D" w14:paraId="6019BC55" w14:textId="77777777" w:rsidTr="00D5205A">
              <w:trPr>
                <w:tblCellSpacing w:w="0" w:type="dxa"/>
              </w:trPr>
              <w:tc>
                <w:tcPr>
                  <w:tcW w:w="0" w:type="auto"/>
                  <w:hideMark/>
                </w:tcPr>
                <w:p w14:paraId="64F058FD"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ii)</w:t>
                  </w:r>
                </w:p>
              </w:tc>
              <w:tc>
                <w:tcPr>
                  <w:tcW w:w="0" w:type="auto"/>
                  <w:hideMark/>
                </w:tcPr>
                <w:p w14:paraId="7392C197"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 xml:space="preserve">aktiivvõimsuse taastamine peab toimuma ilma viivituseta nii kiiresti kui tehniliselt võimalik, kuid mitte kauem kui 1s peale võrgupinge taastumist </w:t>
                  </w:r>
                </w:p>
              </w:tc>
            </w:tr>
          </w:tbl>
          <w:p w14:paraId="565AFA18"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p>
          <w:tbl>
            <w:tblPr>
              <w:tblW w:w="5000" w:type="pct"/>
              <w:tblCellSpacing w:w="0" w:type="dxa"/>
              <w:tblCellMar>
                <w:left w:w="0" w:type="dxa"/>
                <w:right w:w="0" w:type="dxa"/>
              </w:tblCellMar>
              <w:tblLook w:val="04A0" w:firstRow="1" w:lastRow="0" w:firstColumn="1" w:lastColumn="0" w:noHBand="0" w:noVBand="1"/>
            </w:tblPr>
            <w:tblGrid>
              <w:gridCol w:w="371"/>
              <w:gridCol w:w="8892"/>
            </w:tblGrid>
            <w:tr w:rsidR="00255C38" w:rsidRPr="00A2039D" w14:paraId="09BD2889" w14:textId="77777777" w:rsidTr="00D5205A">
              <w:trPr>
                <w:tblCellSpacing w:w="0" w:type="dxa"/>
              </w:trPr>
              <w:tc>
                <w:tcPr>
                  <w:tcW w:w="200" w:type="pct"/>
                  <w:hideMark/>
                </w:tcPr>
                <w:p w14:paraId="7B39562A" w14:textId="77777777" w:rsidR="00255C38" w:rsidRPr="004D5219" w:rsidRDefault="00255C38" w:rsidP="00255C38">
                  <w:pPr>
                    <w:widowControl/>
                    <w:autoSpaceDE/>
                    <w:autoSpaceDN/>
                    <w:spacing w:before="120"/>
                    <w:jc w:val="both"/>
                    <w:rPr>
                      <w:rFonts w:ascii="inherit" w:eastAsia="Times New Roman" w:hAnsi="inherit" w:cs="Times New Roman"/>
                      <w:sz w:val="24"/>
                      <w:szCs w:val="24"/>
                      <w:highlight w:val="cyan"/>
                      <w:lang w:val="et-EE" w:bidi="ar-SA"/>
                    </w:rPr>
                  </w:pPr>
                  <w:r w:rsidRPr="004D5219">
                    <w:rPr>
                      <w:rFonts w:ascii="inherit" w:eastAsia="Times New Roman" w:hAnsi="inherit" w:cs="Times New Roman"/>
                      <w:sz w:val="24"/>
                      <w:szCs w:val="24"/>
                      <w:highlight w:val="cyan"/>
                      <w:lang w:val="et-EE" w:bidi="ar-SA"/>
                    </w:rPr>
                    <w:t>iii)</w:t>
                  </w:r>
                </w:p>
              </w:tc>
              <w:tc>
                <w:tcPr>
                  <w:tcW w:w="4800" w:type="pct"/>
                  <w:hideMark/>
                </w:tcPr>
                <w:p w14:paraId="61AB753A" w14:textId="77777777" w:rsidR="00255C38" w:rsidRPr="004D5219" w:rsidRDefault="00255C38" w:rsidP="00255C38">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highlight w:val="cyan"/>
                      <w:lang w:val="et-EE" w:bidi="ar-SA"/>
                    </w:rPr>
                    <w:t xml:space="preserve">väljundvõimsus võrreldes </w:t>
                  </w:r>
                  <w:proofErr w:type="spellStart"/>
                  <w:r w:rsidRPr="004D5219">
                    <w:rPr>
                      <w:rFonts w:ascii="inherit" w:eastAsia="Times New Roman" w:hAnsi="inherit" w:cs="Times New Roman"/>
                      <w:sz w:val="24"/>
                      <w:szCs w:val="24"/>
                      <w:highlight w:val="cyan"/>
                      <w:lang w:val="et-EE" w:bidi="ar-SA"/>
                    </w:rPr>
                    <w:t>rikkeeelse</w:t>
                  </w:r>
                  <w:proofErr w:type="spellEnd"/>
                  <w:r w:rsidRPr="004D5219">
                    <w:rPr>
                      <w:rFonts w:ascii="inherit" w:eastAsia="Times New Roman" w:hAnsi="inherit" w:cs="Times New Roman"/>
                      <w:sz w:val="24"/>
                      <w:szCs w:val="24"/>
                      <w:highlight w:val="cyan"/>
                      <w:lang w:val="et-EE" w:bidi="ar-SA"/>
                    </w:rPr>
                    <w:t xml:space="preserve"> tasemega ei tohi väheneda rohkem kui 10 % nimiaktiivvõimsusest</w:t>
                  </w:r>
                </w:p>
              </w:tc>
            </w:tr>
          </w:tbl>
          <w:p w14:paraId="2BD6CA0E"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C7917F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413B56E0" w14:textId="77777777" w:rsidTr="008E1A17">
        <w:trPr>
          <w:tblCellSpacing w:w="0" w:type="dxa"/>
        </w:trPr>
        <w:tc>
          <w:tcPr>
            <w:tcW w:w="0" w:type="auto"/>
            <w:hideMark/>
          </w:tcPr>
          <w:p w14:paraId="2C98FE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4656F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spetsifikatsioon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22E1658E" w14:textId="77777777">
              <w:trPr>
                <w:tblCellSpacing w:w="0" w:type="dxa"/>
              </w:trPr>
              <w:tc>
                <w:tcPr>
                  <w:tcW w:w="0" w:type="auto"/>
                  <w:hideMark/>
                </w:tcPr>
                <w:p w14:paraId="4262C65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260491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kiire rikkevoolu kohta lõike 2 punktides b ja c esitatud nõuete ja aktiivvõimsuse taastamise vastastikune seos;</w:t>
                  </w:r>
                </w:p>
              </w:tc>
            </w:tr>
          </w:tbl>
          <w:p w14:paraId="3C01BCC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8"/>
              <w:gridCol w:w="8972"/>
            </w:tblGrid>
            <w:tr w:rsidR="008E1A17" w:rsidRPr="00A2039D" w14:paraId="414BF521" w14:textId="77777777">
              <w:trPr>
                <w:tblCellSpacing w:w="0" w:type="dxa"/>
              </w:trPr>
              <w:tc>
                <w:tcPr>
                  <w:tcW w:w="0" w:type="auto"/>
                  <w:hideMark/>
                </w:tcPr>
                <w:p w14:paraId="29B3B6A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E72B30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taastamise aegade ja pinge kõrvalekallete vaheline seos;</w:t>
                  </w:r>
                </w:p>
              </w:tc>
            </w:tr>
          </w:tbl>
          <w:p w14:paraId="1A07D32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90"/>
              <w:gridCol w:w="8860"/>
            </w:tblGrid>
            <w:tr w:rsidR="008E1A17" w:rsidRPr="00A2039D" w14:paraId="48202CC6" w14:textId="77777777">
              <w:trPr>
                <w:tblCellSpacing w:w="0" w:type="dxa"/>
              </w:trPr>
              <w:tc>
                <w:tcPr>
                  <w:tcW w:w="0" w:type="auto"/>
                  <w:hideMark/>
                </w:tcPr>
                <w:p w14:paraId="393B27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2D73A22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suurima lubatud taastamisaja kohta sätestatud piir;</w:t>
                  </w:r>
                </w:p>
              </w:tc>
            </w:tr>
          </w:tbl>
          <w:p w14:paraId="15627EC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95"/>
              <w:gridCol w:w="8955"/>
            </w:tblGrid>
            <w:tr w:rsidR="008E1A17" w:rsidRPr="00A2039D" w14:paraId="63EE2469" w14:textId="77777777">
              <w:trPr>
                <w:tblCellSpacing w:w="0" w:type="dxa"/>
              </w:trPr>
              <w:tc>
                <w:tcPr>
                  <w:tcW w:w="0" w:type="auto"/>
                  <w:hideMark/>
                </w:tcPr>
                <w:p w14:paraId="7EA6396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49F555E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 taastamise taseme ja aktiivvõimsuse väikseima taastamisulatuse vastavus ning</w:t>
                  </w:r>
                </w:p>
              </w:tc>
            </w:tr>
          </w:tbl>
          <w:p w14:paraId="41F7BCA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10"/>
              <w:gridCol w:w="8840"/>
            </w:tblGrid>
            <w:tr w:rsidR="008E1A17" w:rsidRPr="004D5219" w14:paraId="3CBE7003" w14:textId="77777777">
              <w:trPr>
                <w:tblCellSpacing w:w="0" w:type="dxa"/>
              </w:trPr>
              <w:tc>
                <w:tcPr>
                  <w:tcW w:w="0" w:type="auto"/>
                  <w:hideMark/>
                </w:tcPr>
                <w:p w14:paraId="580CBA0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7B490E8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piisav aktiivvõimsuse võnkumise summutus.</w:t>
                  </w:r>
                </w:p>
              </w:tc>
            </w:tr>
          </w:tbl>
          <w:p w14:paraId="70DBF462"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C80B235"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21</w:t>
      </w:r>
    </w:p>
    <w:p w14:paraId="1041652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C-tüüpi energiapargimoodulite kohta</w:t>
      </w:r>
    </w:p>
    <w:p w14:paraId="37D1A6F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C-tüüpi energiapargimoodulid peavad vastama nõuetele, mis on esitatud artiklites 13, 14, 15 ja 20, välja arvatud artikli 13 lõike 2 punkti b ja artikli 13 lõike 6, artikli 14 lõike 2 ja artikli 20 lõike 2 punkti a nõuded, kui lõike 3 punkti d alapunktis v ei ole teisiti sätestatud.</w:t>
      </w:r>
    </w:p>
    <w:p w14:paraId="00FE1A0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C-tüüpi energiapargimoodulite sageduse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D2D5CA7" w14:textId="77777777" w:rsidTr="008E1A17">
        <w:trPr>
          <w:tblCellSpacing w:w="0" w:type="dxa"/>
        </w:trPr>
        <w:tc>
          <w:tcPr>
            <w:tcW w:w="0" w:type="auto"/>
            <w:hideMark/>
          </w:tcPr>
          <w:p w14:paraId="2F3889E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70E5DB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asjaomasel põhivõrguettevõtjal on õigus nõuda, et energiapargimoodulid peavad suutma tekitada tehisinertsi väga kiirete sageduse kõrvalekallete ajal;</w:t>
            </w:r>
          </w:p>
        </w:tc>
      </w:tr>
    </w:tbl>
    <w:p w14:paraId="004852D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856069C" w14:textId="77777777" w:rsidTr="008E1A17">
        <w:trPr>
          <w:tblCellSpacing w:w="0" w:type="dxa"/>
        </w:trPr>
        <w:tc>
          <w:tcPr>
            <w:tcW w:w="0" w:type="auto"/>
            <w:hideMark/>
          </w:tcPr>
          <w:p w14:paraId="719ECE0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451FC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peab kindlaks määrama tehisinertsi tekitamiseks paigaldatud juhtimissüsteemide tööpõhimõtte ja tehnilised näitajad.</w:t>
            </w:r>
          </w:p>
        </w:tc>
      </w:tr>
    </w:tbl>
    <w:p w14:paraId="674838D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C-tüüpi energiapargimoodulite pinge stabiilsuse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029F5D34" w14:textId="77777777" w:rsidTr="008E1A17">
        <w:trPr>
          <w:tblCellSpacing w:w="0" w:type="dxa"/>
        </w:trPr>
        <w:tc>
          <w:tcPr>
            <w:tcW w:w="0" w:type="auto"/>
            <w:hideMark/>
          </w:tcPr>
          <w:p w14:paraId="58BA0D8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38BFA36" w14:textId="4EE9184C"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reaktiivvõimsussuutlikkusega seoses võib asjaomane võrguettevõtja kehtestada täiendava reaktiivvõimsuse nõude, juhul kui energiapargimooduli ühenduspunkt ei ole pinget ühenduspunkti pingele tõstva pingekõrgendustrafo ülempingeklemmidel ega muunduri klemmidel pingekõrgendustrafo puudumisel. See täiendav reaktiivvõimsus peab kompenseerima energiapargimooduli pingekõrgendustrafo ülempingeklemmide (või pingekõrgendustrafo puudumisel muunduri klemmide) ja ühenduspunkti vahelise kõrgepingeliini või -kaabli reaktiivvõimsuse vajaduse ning selle peab tagama sellise liini või kaabli vastutav omanik;</w:t>
            </w:r>
          </w:p>
          <w:p w14:paraId="5F55F094" w14:textId="77777777" w:rsidR="0075368F" w:rsidRPr="004D5219" w:rsidRDefault="0075368F" w:rsidP="008E1A17">
            <w:pPr>
              <w:widowControl/>
              <w:autoSpaceDE/>
              <w:autoSpaceDN/>
              <w:spacing w:before="120"/>
              <w:jc w:val="both"/>
              <w:rPr>
                <w:rFonts w:ascii="inherit" w:eastAsia="Times New Roman" w:hAnsi="inherit" w:cs="Times New Roman"/>
                <w:sz w:val="24"/>
                <w:szCs w:val="24"/>
                <w:lang w:val="et-EE" w:bidi="ar-SA"/>
              </w:rPr>
            </w:pPr>
          </w:p>
          <w:p w14:paraId="5B35319D" w14:textId="06744847" w:rsidR="0075368F" w:rsidRPr="004D5219" w:rsidRDefault="0075368F" w:rsidP="0075368F">
            <w:pPr>
              <w:spacing w:before="120"/>
              <w:jc w:val="both"/>
              <w:rPr>
                <w:rFonts w:ascii="inherit" w:hAnsi="inherit"/>
                <w:highlight w:val="cyan"/>
                <w:lang w:val="et-EE"/>
              </w:rPr>
            </w:pPr>
            <w:r w:rsidRPr="004D5219">
              <w:rPr>
                <w:rFonts w:ascii="inherit" w:hAnsi="inherit"/>
                <w:highlight w:val="cyan"/>
                <w:lang w:val="et-EE"/>
              </w:rPr>
              <w:t>Tootmismooduli reaktiivvõimsussuutlikkus tuleb tagada ühenduspunkti suhtes tagades vähemalt antud artikli punktis b ja c toodud nõutud suutlikkust.</w:t>
            </w:r>
          </w:p>
          <w:p w14:paraId="4840E4D6" w14:textId="77777777" w:rsidR="0075368F" w:rsidRPr="004D5219" w:rsidRDefault="0075368F" w:rsidP="0075368F">
            <w:pPr>
              <w:spacing w:before="120"/>
              <w:jc w:val="both"/>
              <w:rPr>
                <w:rFonts w:ascii="inherit" w:hAnsi="inherit"/>
                <w:lang w:val="et-EE"/>
              </w:rPr>
            </w:pPr>
            <w:r w:rsidRPr="004D5219">
              <w:rPr>
                <w:rFonts w:ascii="inherit" w:hAnsi="inherit"/>
                <w:highlight w:val="cyan"/>
                <w:lang w:val="et-EE"/>
              </w:rPr>
              <w:t xml:space="preserve">Selgitus : </w:t>
            </w:r>
            <w:proofErr w:type="spellStart"/>
            <w:r w:rsidRPr="004D5219">
              <w:rPr>
                <w:rFonts w:ascii="inherit" w:hAnsi="inherit"/>
                <w:highlight w:val="cyan"/>
                <w:lang w:val="et-EE"/>
              </w:rPr>
              <w:t>Segapaigaldise</w:t>
            </w:r>
            <w:proofErr w:type="spellEnd"/>
            <w:r w:rsidRPr="004D5219">
              <w:rPr>
                <w:rFonts w:ascii="inherit" w:hAnsi="inherit"/>
                <w:highlight w:val="cyan"/>
                <w:lang w:val="et-EE"/>
              </w:rPr>
              <w:t xml:space="preserve"> puhul vaadeldakse ainult toomismoodulit.</w:t>
            </w:r>
          </w:p>
          <w:p w14:paraId="74A54044" w14:textId="3B1FA670" w:rsidR="0075368F" w:rsidRPr="004D5219" w:rsidRDefault="0075368F" w:rsidP="0075368F">
            <w:pPr>
              <w:spacing w:before="120"/>
              <w:jc w:val="both"/>
              <w:rPr>
                <w:rFonts w:ascii="inherit" w:hAnsi="inherit"/>
                <w:lang w:val="et-EE"/>
              </w:rPr>
            </w:pPr>
          </w:p>
        </w:tc>
      </w:tr>
    </w:tbl>
    <w:p w14:paraId="36C747F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4"/>
        <w:gridCol w:w="9256"/>
      </w:tblGrid>
      <w:tr w:rsidR="008E1A17" w:rsidRPr="00A2039D" w14:paraId="53B7E9E7" w14:textId="77777777" w:rsidTr="008E1A17">
        <w:trPr>
          <w:tblCellSpacing w:w="0" w:type="dxa"/>
        </w:trPr>
        <w:tc>
          <w:tcPr>
            <w:tcW w:w="0" w:type="auto"/>
            <w:hideMark/>
          </w:tcPr>
          <w:p w14:paraId="1620B1C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F5161C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maksimumvõimsusel:</w:t>
            </w:r>
          </w:p>
          <w:tbl>
            <w:tblPr>
              <w:tblW w:w="5000" w:type="pct"/>
              <w:tblCellSpacing w:w="0" w:type="dxa"/>
              <w:tblCellMar>
                <w:left w:w="0" w:type="dxa"/>
                <w:right w:w="0" w:type="dxa"/>
              </w:tblCellMar>
              <w:tblLook w:val="04A0" w:firstRow="1" w:lastRow="0" w:firstColumn="1" w:lastColumn="0" w:noHBand="0" w:noVBand="1"/>
            </w:tblPr>
            <w:tblGrid>
              <w:gridCol w:w="147"/>
              <w:gridCol w:w="9109"/>
            </w:tblGrid>
            <w:tr w:rsidR="008E1A17" w:rsidRPr="00A2039D" w14:paraId="03DF347A" w14:textId="77777777">
              <w:trPr>
                <w:tblCellSpacing w:w="0" w:type="dxa"/>
              </w:trPr>
              <w:tc>
                <w:tcPr>
                  <w:tcW w:w="0" w:type="auto"/>
                  <w:hideMark/>
                </w:tcPr>
                <w:p w14:paraId="70220A5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4F41B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peab kooskõlastatult asjaomase põhivõrguettevõtjaga määrama kindlaks reaktiivvõimsussuutlikkuse nõuded seoses pinge muutlikkusega. Selleks koostab ta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mis võib olla mis tahes kujuga sellistes piirides, milles energiapargimoodul peab suutma toota reaktiivvõimsust oma maksimumvõimsusel;</w:t>
                  </w:r>
                </w:p>
              </w:tc>
            </w:tr>
          </w:tbl>
          <w:p w14:paraId="24ECF1B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7"/>
              <w:gridCol w:w="9049"/>
            </w:tblGrid>
            <w:tr w:rsidR="008E1A17" w:rsidRPr="004D5219" w14:paraId="40EE1C15" w14:textId="77777777">
              <w:trPr>
                <w:tblCellSpacing w:w="0" w:type="dxa"/>
              </w:trPr>
              <w:tc>
                <w:tcPr>
                  <w:tcW w:w="0" w:type="auto"/>
                  <w:hideMark/>
                </w:tcPr>
                <w:p w14:paraId="310167E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DFABBE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88"/>
                    <w:gridCol w:w="8761"/>
                  </w:tblGrid>
                  <w:tr w:rsidR="008E1A17" w:rsidRPr="00A2039D" w14:paraId="01216B82" w14:textId="77777777">
                    <w:trPr>
                      <w:tblCellSpacing w:w="0" w:type="dxa"/>
                    </w:trPr>
                    <w:tc>
                      <w:tcPr>
                        <w:tcW w:w="0" w:type="auto"/>
                        <w:hideMark/>
                      </w:tcPr>
                      <w:p w14:paraId="3707DB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w:t>
                        </w:r>
                      </w:p>
                    </w:tc>
                    <w:tc>
                      <w:tcPr>
                        <w:tcW w:w="0" w:type="auto"/>
                        <w:hideMark/>
                      </w:tcPr>
                      <w:p w14:paraId="436B29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peab jääma joonisel 8 näidatud sisemise ristküliku piiresse;</w:t>
                        </w:r>
                      </w:p>
                    </w:tc>
                  </w:tr>
                </w:tbl>
                <w:p w14:paraId="7A26081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395E2CDD" w14:textId="77777777">
                    <w:trPr>
                      <w:tblCellSpacing w:w="0" w:type="dxa"/>
                    </w:trPr>
                    <w:tc>
                      <w:tcPr>
                        <w:tcW w:w="0" w:type="auto"/>
                        <w:hideMark/>
                      </w:tcPr>
                      <w:p w14:paraId="2010ED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447E390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ristküliku ulatus (suuruste 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väärtuste vahemik ja pinge vahemik) peab olema iga sünkroonala jaoks tabelis 9 määratletud väärtuste vahemikus;</w:t>
                        </w:r>
                      </w:p>
                    </w:tc>
                  </w:tr>
                </w:tbl>
                <w:p w14:paraId="6CEBEF0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23A2722E" w14:textId="77777777">
                    <w:trPr>
                      <w:tblCellSpacing w:w="0" w:type="dxa"/>
                    </w:trPr>
                    <w:tc>
                      <w:tcPr>
                        <w:tcW w:w="0" w:type="auto"/>
                        <w:hideMark/>
                      </w:tcPr>
                      <w:p w14:paraId="323DCA1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077EB9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graafiku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ristkülik peab paiknema joonisel 8 näidatud välimise ristküliku piirides ning</w:t>
                        </w:r>
                      </w:p>
                    </w:tc>
                  </w:tr>
                </w:tbl>
                <w:p w14:paraId="2A031B8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6A43AB12" w14:textId="77777777">
                    <w:trPr>
                      <w:tblCellSpacing w:w="0" w:type="dxa"/>
                    </w:trPr>
                    <w:tc>
                      <w:tcPr>
                        <w:tcW w:w="0" w:type="auto"/>
                        <w:hideMark/>
                      </w:tcPr>
                      <w:p w14:paraId="5443516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596839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selline kindlaksmääratud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võib olla mitmesuguse kujuga, sõltuvalt sellest, millise kuluga saab tagada reaktiivvõimsuse tootmise kõrgel pingel ja reaktiivvõimsuse tarbimise madalal pingel.</w:t>
                        </w:r>
                      </w:p>
                    </w:tc>
                  </w:tr>
                </w:tbl>
                <w:p w14:paraId="4106C29B"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8</w:t>
                  </w:r>
                </w:p>
                <w:p w14:paraId="3B6491D2"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Energiapargimooduli U-Q/</w:t>
                  </w:r>
                  <w:proofErr w:type="spellStart"/>
                  <w:r w:rsidRPr="004D5219">
                    <w:rPr>
                      <w:rFonts w:ascii="inherit" w:eastAsia="Times New Roman" w:hAnsi="inherit" w:cs="Times New Roman"/>
                      <w:b/>
                      <w:bCs/>
                      <w:sz w:val="24"/>
                      <w:szCs w:val="24"/>
                      <w:lang w:val="et-EE" w:bidi="ar-SA"/>
                    </w:rPr>
                    <w:t>P</w:t>
                  </w:r>
                  <w:r w:rsidRPr="004D5219">
                    <w:rPr>
                      <w:rFonts w:ascii="inherit" w:eastAsia="Times New Roman" w:hAnsi="inherit" w:cs="Times New Roman"/>
                      <w:b/>
                      <w:bCs/>
                      <w:sz w:val="17"/>
                      <w:szCs w:val="17"/>
                      <w:vertAlign w:val="subscript"/>
                      <w:lang w:val="et-EE" w:bidi="ar-SA"/>
                    </w:rPr>
                    <w:t>max</w:t>
                  </w:r>
                  <w:proofErr w:type="spellEnd"/>
                  <w:r w:rsidRPr="004D5219">
                    <w:rPr>
                      <w:rFonts w:ascii="inherit" w:eastAsia="Times New Roman" w:hAnsi="inherit" w:cs="Times New Roman"/>
                      <w:b/>
                      <w:bCs/>
                      <w:sz w:val="24"/>
                      <w:szCs w:val="24"/>
                      <w:lang w:val="et-EE" w:bidi="ar-SA"/>
                    </w:rPr>
                    <w:t> graafik</w:t>
                  </w:r>
                </w:p>
                <w:p w14:paraId="1C3AF324" w14:textId="7D1108D7" w:rsidR="008E1A17" w:rsidRPr="004D5219" w:rsidRDefault="008D709D" w:rsidP="008E1A17">
                  <w:pPr>
                    <w:widowControl/>
                    <w:autoSpaceDE/>
                    <w:autoSpaceDN/>
                    <w:rPr>
                      <w:rFonts w:ascii="inherit" w:eastAsia="Times New Roman" w:hAnsi="inherit" w:cs="Times New Roman"/>
                      <w:sz w:val="24"/>
                      <w:szCs w:val="24"/>
                      <w:lang w:val="et-EE" w:bidi="ar-SA"/>
                    </w:rPr>
                  </w:pPr>
                  <w:r w:rsidRPr="004D5219">
                    <w:rPr>
                      <w:noProof/>
                      <w:lang w:val="et-EE"/>
                    </w:rPr>
                    <w:object w:dxaOrig="21873" w:dyaOrig="16669" w14:anchorId="0A626D8A">
                      <v:shape id="_x0000_i1034" type="#_x0000_t75" alt="" style="width:466.8pt;height:355.75pt;mso-width-percent:0;mso-height-percent:0;mso-width-percent:0;mso-height-percent:0" o:ole="">
                        <v:imagedata r:id="rId32" o:title=""/>
                      </v:shape>
                      <o:OLEObject Type="Embed" ProgID="Visio.Drawing.15" ShapeID="_x0000_i1034" DrawAspect="Content" ObjectID="_1633352382" r:id="rId33"/>
                    </w:object>
                  </w:r>
                  <w:r w:rsidR="008E1A17" w:rsidRPr="004D5219">
                    <w:rPr>
                      <w:rFonts w:ascii="inherit" w:eastAsia="Times New Roman" w:hAnsi="inherit" w:cs="Times New Roman"/>
                      <w:sz w:val="24"/>
                      <w:szCs w:val="24"/>
                      <w:lang w:val="et-EE" w:bidi="ar-SA"/>
                    </w:rPr>
                    <w:fldChar w:fldCharType="begin"/>
                  </w:r>
                  <w:r w:rsidR="008E1A17" w:rsidRPr="004D5219">
                    <w:rPr>
                      <w:rFonts w:ascii="inherit" w:eastAsia="Times New Roman" w:hAnsi="inherit" w:cs="Times New Roman"/>
                      <w:sz w:val="24"/>
                      <w:szCs w:val="24"/>
                      <w:lang w:val="et-EE" w:bidi="ar-SA"/>
                    </w:rPr>
                    <w:instrText xml:space="preserve"> INCLUDEPICTURE "https://eur-lex.europa.eu/resource.html?uri=uriserv:OJ.L_.2016.112.FULL.EST.xhtml.L_2016112ET.01003701.tif.jpg" \* MERGEFORMATINET </w:instrText>
                  </w:r>
                  <w:r w:rsidR="008E1A17" w:rsidRPr="004D5219">
                    <w:rPr>
                      <w:rFonts w:ascii="inherit" w:eastAsia="Times New Roman" w:hAnsi="inherit" w:cs="Times New Roman"/>
                      <w:sz w:val="24"/>
                      <w:szCs w:val="24"/>
                      <w:lang w:val="et-EE" w:bidi="ar-SA"/>
                    </w:rPr>
                    <w:fldChar w:fldCharType="end"/>
                  </w:r>
                </w:p>
                <w:p w14:paraId="1C8E7B5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Joonisel on kujutatud U-Q/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graafikule vastavate suuruste piirid; U on ühenduspunkti pinge, esitatud võrdlusväärtuse 1 suhtes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xml:space="preserve">.), Q on reaktiivvõimsus ja </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on maksimumvõimsus. Sisemise ristküliku paiknemine, mõõtmed ja kuju on näitlikud.</w:t>
                  </w:r>
                </w:p>
                <w:p w14:paraId="211F0C48"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i/>
                      <w:iCs/>
                      <w:sz w:val="24"/>
                      <w:szCs w:val="24"/>
                      <w:lang w:val="et-EE" w:bidi="ar-SA"/>
                    </w:rPr>
                    <w:t>Tabel 9</w:t>
                  </w:r>
                </w:p>
                <w:p w14:paraId="3F26DECD" w14:textId="77777777" w:rsidR="008E1A17" w:rsidRPr="004D5219" w:rsidRDefault="008E1A17" w:rsidP="008E1A17">
                  <w:pPr>
                    <w:widowControl/>
                    <w:autoSpaceDE/>
                    <w:autoSpaceDN/>
                    <w:spacing w:before="120" w:after="120"/>
                    <w:jc w:val="center"/>
                    <w:rPr>
                      <w:rFonts w:ascii="inherit" w:eastAsia="Times New Roman" w:hAnsi="inherit" w:cs="Times New Roman"/>
                      <w:sz w:val="24"/>
                      <w:szCs w:val="24"/>
                      <w:lang w:val="et-EE" w:bidi="ar-SA"/>
                    </w:rPr>
                  </w:pPr>
                  <w:r w:rsidRPr="004D5219">
                    <w:rPr>
                      <w:rFonts w:ascii="inherit" w:eastAsia="Times New Roman" w:hAnsi="inherit" w:cs="Times New Roman"/>
                      <w:b/>
                      <w:bCs/>
                      <w:sz w:val="24"/>
                      <w:szCs w:val="24"/>
                      <w:lang w:val="et-EE" w:bidi="ar-SA"/>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20"/>
                    <w:gridCol w:w="2265"/>
                    <w:gridCol w:w="4948"/>
                  </w:tblGrid>
                  <w:tr w:rsidR="008E1A17" w:rsidRPr="00A2039D" w14:paraId="4F36366A"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13E4499"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5CDA9186"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Q/</w:t>
                        </w:r>
                        <w:proofErr w:type="spellStart"/>
                        <w:r w:rsidRPr="004D5219">
                          <w:rPr>
                            <w:rFonts w:ascii="inherit" w:eastAsia="Times New Roman" w:hAnsi="inherit" w:cs="Times New Roman"/>
                            <w:b/>
                            <w:bCs/>
                            <w:lang w:val="et-EE" w:bidi="ar-SA"/>
                          </w:rPr>
                          <w:t>P</w:t>
                        </w:r>
                        <w:r w:rsidRPr="004D5219">
                          <w:rPr>
                            <w:rFonts w:ascii="inherit" w:eastAsia="Times New Roman" w:hAnsi="inherit" w:cs="Times New Roman"/>
                            <w:b/>
                            <w:bCs/>
                            <w:sz w:val="15"/>
                            <w:szCs w:val="15"/>
                            <w:vertAlign w:val="subscript"/>
                            <w:lang w:val="et-EE" w:bidi="ar-SA"/>
                          </w:rPr>
                          <w:t>max</w:t>
                        </w:r>
                        <w:proofErr w:type="spellEnd"/>
                        <w:r w:rsidRPr="004D5219">
                          <w:rPr>
                            <w:rFonts w:ascii="inherit" w:eastAsia="Times New Roman" w:hAnsi="inherit" w:cs="Times New Roman"/>
                            <w:b/>
                            <w:bCs/>
                            <w:lang w:val="et-EE" w:bidi="ar-SA"/>
                          </w:rPr>
                          <w:t> 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480DA9C1"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Püsitalitluse pinge suurim vahemik suhtelistes ühikutes</w:t>
                        </w:r>
                      </w:p>
                    </w:tc>
                  </w:tr>
                  <w:tr w:rsidR="008E1A17" w:rsidRPr="004D5219" w14:paraId="75DF7ED8" w14:textId="7777777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CEFB47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2EC1C64"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0,80</w:t>
                        </w:r>
                      </w:p>
                    </w:tc>
                    <w:tc>
                      <w:tcPr>
                        <w:tcW w:w="0" w:type="auto"/>
                        <w:tcBorders>
                          <w:top w:val="single" w:sz="6" w:space="0" w:color="000000"/>
                          <w:left w:val="single" w:sz="6" w:space="0" w:color="000000"/>
                          <w:bottom w:val="single" w:sz="6" w:space="0" w:color="000000"/>
                          <w:right w:val="single" w:sz="6" w:space="0" w:color="000000"/>
                        </w:tcBorders>
                        <w:hideMark/>
                      </w:tcPr>
                      <w:p w14:paraId="170A014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0,220</w:t>
                        </w:r>
                      </w:p>
                    </w:tc>
                  </w:tr>
                </w:tbl>
                <w:p w14:paraId="1A1208F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9B8284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6"/>
            </w:tblGrid>
            <w:tr w:rsidR="008E1A17" w:rsidRPr="00A2039D" w14:paraId="4ED25C60" w14:textId="77777777">
              <w:trPr>
                <w:tblCellSpacing w:w="0" w:type="dxa"/>
              </w:trPr>
              <w:tc>
                <w:tcPr>
                  <w:tcW w:w="0" w:type="auto"/>
                  <w:hideMark/>
                </w:tcPr>
                <w:p w14:paraId="78ECD1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303A7CC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ühenduspunktis kehtib reaktiivvõimsussuutlikkuse nõue. Täisnurksest erineva kujuga profiili korral esitatakse pingevahemiku suurim ja väikseim väärtus. Seega ei eeldata, et kogu reaktiivvõimsuse vahemik oleks püsitalitluse pingete vahemiku jaoks kasutatav;</w:t>
                  </w:r>
                </w:p>
              </w:tc>
            </w:tr>
          </w:tbl>
          <w:p w14:paraId="772EA68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19520C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DA25418" w14:textId="77777777" w:rsidTr="008E1A17">
        <w:trPr>
          <w:tblCellSpacing w:w="0" w:type="dxa"/>
        </w:trPr>
        <w:tc>
          <w:tcPr>
            <w:tcW w:w="0" w:type="auto"/>
            <w:hideMark/>
          </w:tcPr>
          <w:p w14:paraId="6118492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c)</w:t>
            </w:r>
          </w:p>
        </w:tc>
        <w:tc>
          <w:tcPr>
            <w:tcW w:w="0" w:type="auto"/>
            <w:hideMark/>
          </w:tcPr>
          <w:p w14:paraId="7BBBB14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reaktiivvõimsussuutlikkusega maksimumvõimsusest väiksemal võimsusel:</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78F9E94B" w14:textId="77777777">
              <w:trPr>
                <w:tblCellSpacing w:w="0" w:type="dxa"/>
              </w:trPr>
              <w:tc>
                <w:tcPr>
                  <w:tcW w:w="0" w:type="auto"/>
                  <w:hideMark/>
                </w:tcPr>
                <w:p w14:paraId="6A8D46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8D0452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peab kooskõlastatult asjaomase põhivõrguettevõtjaga kindlaks määrama reaktiivvõimsussuutlikkuse nõuded ja koostama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mis võib olla mis tahes kujuga piirides, milles energiapargimoodul peab suutma toota reaktiivvõimsust maksimumvõimsusest väiksema võimsusega;</w:t>
                  </w:r>
                </w:p>
              </w:tc>
            </w:tr>
          </w:tbl>
          <w:p w14:paraId="2677D35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282A4DA9" w14:textId="77777777">
              <w:trPr>
                <w:tblCellSpacing w:w="0" w:type="dxa"/>
              </w:trPr>
              <w:tc>
                <w:tcPr>
                  <w:tcW w:w="0" w:type="auto"/>
                  <w:hideMark/>
                </w:tcPr>
                <w:p w14:paraId="5DF281A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B6492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peab koostama iga asjaomane võrguettevõtja kooskõlastatult asjaomase põhivõrguettevõtjaga järgmiste põhimõtete järgi:</w:t>
                  </w:r>
                </w:p>
                <w:tbl>
                  <w:tblPr>
                    <w:tblW w:w="5000" w:type="pct"/>
                    <w:tblCellSpacing w:w="0" w:type="dxa"/>
                    <w:tblCellMar>
                      <w:left w:w="0" w:type="dxa"/>
                      <w:right w:w="0" w:type="dxa"/>
                    </w:tblCellMar>
                    <w:tblLook w:val="04A0" w:firstRow="1" w:lastRow="0" w:firstColumn="1" w:lastColumn="0" w:noHBand="0" w:noVBand="1"/>
                  </w:tblPr>
                  <w:tblGrid>
                    <w:gridCol w:w="289"/>
                    <w:gridCol w:w="8760"/>
                  </w:tblGrid>
                  <w:tr w:rsidR="008E1A17" w:rsidRPr="00A2039D" w14:paraId="07BF19BE" w14:textId="77777777">
                    <w:trPr>
                      <w:tblCellSpacing w:w="0" w:type="dxa"/>
                    </w:trPr>
                    <w:tc>
                      <w:tcPr>
                        <w:tcW w:w="0" w:type="auto"/>
                        <w:hideMark/>
                      </w:tcPr>
                      <w:p w14:paraId="1C46A0C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C92D34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peab jääma joonisel 9 näidatud sisemise ristküliku piiresse;</w:t>
                        </w:r>
                      </w:p>
                    </w:tc>
                  </w:tr>
                </w:tbl>
                <w:p w14:paraId="494B392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0"/>
                    <w:gridCol w:w="8779"/>
                  </w:tblGrid>
                  <w:tr w:rsidR="008E1A17" w:rsidRPr="00A2039D" w14:paraId="1E3ABC98" w14:textId="77777777">
                    <w:trPr>
                      <w:tblCellSpacing w:w="0" w:type="dxa"/>
                    </w:trPr>
                    <w:tc>
                      <w:tcPr>
                        <w:tcW w:w="0" w:type="auto"/>
                        <w:hideMark/>
                      </w:tcPr>
                      <w:p w14:paraId="65DD8B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7F3E90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vahemik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graafikul on määratletud iga sünkroonala jaoks tabelis 9;</w:t>
                        </w:r>
                      </w:p>
                    </w:tc>
                  </w:tr>
                </w:tbl>
                <w:p w14:paraId="4E61E65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4DD362A5" w14:textId="77777777">
                    <w:trPr>
                      <w:tblCellSpacing w:w="0" w:type="dxa"/>
                    </w:trPr>
                    <w:tc>
                      <w:tcPr>
                        <w:tcW w:w="0" w:type="auto"/>
                        <w:hideMark/>
                      </w:tcPr>
                      <w:p w14:paraId="1CCD75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112B867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xml:space="preserve"> graafiku ristküliku aktiivvõimsuse vahemik nullise reaktiivvõimsuse korral peab olema 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w:t>
                        </w:r>
                      </w:p>
                    </w:tc>
                  </w:tr>
                </w:tbl>
                <w:p w14:paraId="417C29B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0"/>
                    <w:gridCol w:w="8809"/>
                  </w:tblGrid>
                  <w:tr w:rsidR="008E1A17" w:rsidRPr="00A2039D" w14:paraId="0B1D7590" w14:textId="77777777">
                    <w:trPr>
                      <w:tblCellSpacing w:w="0" w:type="dxa"/>
                    </w:trPr>
                    <w:tc>
                      <w:tcPr>
                        <w:tcW w:w="0" w:type="auto"/>
                        <w:hideMark/>
                      </w:tcPr>
                      <w:p w14:paraId="5359EA5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3B7ED0C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 võib olla suvalise kujuga, kuid peab sisaldama reaktiivvõimsussuutlikkuse tingimusi nullise aktiivvõimsuse korral, ning</w:t>
                        </w:r>
                      </w:p>
                    </w:tc>
                  </w:tr>
                </w:tbl>
                <w:p w14:paraId="0433B90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6"/>
                    <w:gridCol w:w="8803"/>
                  </w:tblGrid>
                  <w:tr w:rsidR="008E1A17" w:rsidRPr="00A2039D" w14:paraId="21F22CF7" w14:textId="77777777">
                    <w:trPr>
                      <w:tblCellSpacing w:w="0" w:type="dxa"/>
                    </w:trPr>
                    <w:tc>
                      <w:tcPr>
                        <w:tcW w:w="0" w:type="auto"/>
                        <w:hideMark/>
                      </w:tcPr>
                      <w:p w14:paraId="4F4F1A3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8AD78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graafiku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ristkülik peab paiknema joonisel 9 näidatud välimise ristküliku piirides;</w:t>
                        </w:r>
                      </w:p>
                    </w:tc>
                  </w:tr>
                </w:tbl>
                <w:p w14:paraId="62B3D61F"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9F2238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4D5219" w14:paraId="513208E8" w14:textId="77777777">
              <w:trPr>
                <w:tblCellSpacing w:w="0" w:type="dxa"/>
              </w:trPr>
              <w:tc>
                <w:tcPr>
                  <w:tcW w:w="0" w:type="auto"/>
                  <w:hideMark/>
                </w:tcPr>
                <w:p w14:paraId="594A22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0C0BFA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kui energiapargimoodul töötab väljundaktiivvõimsusega, mis on väiksem kui maksimumvõimsus (P &lt; </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peab energiapargimoodul suutma igas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42855337"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i/>
                      <w:iCs/>
                      <w:sz w:val="24"/>
                      <w:szCs w:val="24"/>
                      <w:highlight w:val="cyan"/>
                      <w:lang w:val="et-EE" w:bidi="ar-SA"/>
                    </w:rPr>
                    <w:t>Joonis 9</w:t>
                  </w:r>
                </w:p>
                <w:p w14:paraId="0FD6342F" w14:textId="77777777" w:rsidR="008E1A17" w:rsidRPr="004D5219" w:rsidRDefault="008E1A17" w:rsidP="008E1A17">
                  <w:pPr>
                    <w:widowControl/>
                    <w:autoSpaceDE/>
                    <w:autoSpaceDN/>
                    <w:spacing w:before="240" w:after="120"/>
                    <w:jc w:val="both"/>
                    <w:rPr>
                      <w:rFonts w:ascii="inherit" w:eastAsia="Times New Roman" w:hAnsi="inherit" w:cs="Times New Roman"/>
                      <w:b/>
                      <w:bCs/>
                      <w:sz w:val="24"/>
                      <w:szCs w:val="24"/>
                      <w:lang w:val="et-EE" w:bidi="ar-SA"/>
                    </w:rPr>
                  </w:pPr>
                  <w:r w:rsidRPr="004D5219">
                    <w:rPr>
                      <w:rFonts w:ascii="inherit" w:eastAsia="Times New Roman" w:hAnsi="inherit" w:cs="Times New Roman"/>
                      <w:b/>
                      <w:bCs/>
                      <w:sz w:val="24"/>
                      <w:szCs w:val="24"/>
                      <w:lang w:val="et-EE" w:bidi="ar-SA"/>
                    </w:rPr>
                    <w:t>Energiapargimooduli P-Q/</w:t>
                  </w:r>
                  <w:proofErr w:type="spellStart"/>
                  <w:r w:rsidRPr="004D5219">
                    <w:rPr>
                      <w:rFonts w:ascii="inherit" w:eastAsia="Times New Roman" w:hAnsi="inherit" w:cs="Times New Roman"/>
                      <w:b/>
                      <w:bCs/>
                      <w:sz w:val="24"/>
                      <w:szCs w:val="24"/>
                      <w:lang w:val="et-EE" w:bidi="ar-SA"/>
                    </w:rPr>
                    <w:t>P</w:t>
                  </w:r>
                  <w:r w:rsidRPr="004D5219">
                    <w:rPr>
                      <w:rFonts w:ascii="inherit" w:eastAsia="Times New Roman" w:hAnsi="inherit" w:cs="Times New Roman"/>
                      <w:b/>
                      <w:bCs/>
                      <w:sz w:val="17"/>
                      <w:szCs w:val="17"/>
                      <w:vertAlign w:val="subscript"/>
                      <w:lang w:val="et-EE" w:bidi="ar-SA"/>
                    </w:rPr>
                    <w:t>max</w:t>
                  </w:r>
                  <w:proofErr w:type="spellEnd"/>
                  <w:r w:rsidRPr="004D5219">
                    <w:rPr>
                      <w:rFonts w:ascii="inherit" w:eastAsia="Times New Roman" w:hAnsi="inherit" w:cs="Times New Roman"/>
                      <w:b/>
                      <w:bCs/>
                      <w:sz w:val="24"/>
                      <w:szCs w:val="24"/>
                      <w:lang w:val="et-EE" w:bidi="ar-SA"/>
                    </w:rPr>
                    <w:t> graafik</w:t>
                  </w:r>
                </w:p>
                <w:p w14:paraId="279CA254" w14:textId="12BCD923" w:rsidR="008E1A17" w:rsidRPr="004D5219" w:rsidRDefault="008D709D" w:rsidP="00823CE5">
                  <w:pPr>
                    <w:widowControl/>
                    <w:autoSpaceDE/>
                    <w:autoSpaceDN/>
                    <w:jc w:val="center"/>
                    <w:rPr>
                      <w:rFonts w:ascii="inherit" w:eastAsia="Times New Roman" w:hAnsi="inherit" w:cs="Times New Roman"/>
                      <w:sz w:val="24"/>
                      <w:szCs w:val="24"/>
                      <w:lang w:val="et-EE" w:bidi="ar-SA"/>
                    </w:rPr>
                  </w:pPr>
                  <w:r w:rsidRPr="004D5219">
                    <w:rPr>
                      <w:rFonts w:ascii="inherit" w:eastAsia="Times New Roman" w:hAnsi="inherit"/>
                      <w:noProof/>
                      <w:lang w:val="et-EE"/>
                    </w:rPr>
                    <w:object w:dxaOrig="8328" w:dyaOrig="6344" w14:anchorId="5257F0C7">
                      <v:shape id="_x0000_i1035" type="#_x0000_t75" alt="" style="width:416.15pt;height:317.3pt;mso-width-percent:0;mso-height-percent:0;mso-width-percent:0;mso-height-percent:0" o:ole="">
                        <v:imagedata r:id="rId34" o:title=""/>
                      </v:shape>
                      <o:OLEObject Type="Embed" ProgID="Visio.Drawing.11" ShapeID="_x0000_i1035" DrawAspect="Content" ObjectID="_1633352383" r:id="rId35"/>
                    </w:object>
                  </w:r>
                  <w:r w:rsidR="008E1A17" w:rsidRPr="004D5219">
                    <w:rPr>
                      <w:rFonts w:ascii="inherit" w:eastAsia="Times New Roman" w:hAnsi="inherit" w:cs="Times New Roman"/>
                      <w:sz w:val="24"/>
                      <w:szCs w:val="24"/>
                      <w:lang w:val="et-EE" w:bidi="ar-SA"/>
                    </w:rPr>
                    <w:fldChar w:fldCharType="begin"/>
                  </w:r>
                  <w:r w:rsidR="008E1A17" w:rsidRPr="004D5219">
                    <w:rPr>
                      <w:rFonts w:ascii="inherit" w:eastAsia="Times New Roman" w:hAnsi="inherit" w:cs="Times New Roman"/>
                      <w:sz w:val="24"/>
                      <w:szCs w:val="24"/>
                      <w:lang w:val="et-EE" w:bidi="ar-SA"/>
                    </w:rPr>
                    <w:instrText xml:space="preserve"> INCLUDEPICTURE "https://eur-lex.europa.eu/resource.html?uri=uriserv:OJ.L_.2016.112.FULL.EST.xhtml.L_2016112ET.01003801.tif.jpg" \* MERGEFORMATINET </w:instrText>
                  </w:r>
                  <w:r w:rsidR="008E1A17" w:rsidRPr="004D5219">
                    <w:rPr>
                      <w:rFonts w:ascii="inherit" w:eastAsia="Times New Roman" w:hAnsi="inherit" w:cs="Times New Roman"/>
                      <w:sz w:val="24"/>
                      <w:szCs w:val="24"/>
                      <w:lang w:val="et-EE" w:bidi="ar-SA"/>
                    </w:rPr>
                    <w:fldChar w:fldCharType="end"/>
                  </w:r>
                </w:p>
                <w:p w14:paraId="3F0C2D4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Joonisel on kujutatud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xml:space="preserve"> graafikule vastavate suuruste piirid; P on ühenduspunkti aktiivvõimsus, väljendatud suhtelistes ühikutes (maksimumvõimsuse suhtes), Q on reaktiivvõimsus ja </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on maksimumvõimsus. Sisemise ristküliku paiknemine, mõõtmed ja kuju on näitlikud;</w:t>
                  </w:r>
                </w:p>
              </w:tc>
            </w:tr>
          </w:tbl>
          <w:p w14:paraId="078C9FC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2C34378E" w14:textId="77777777">
              <w:trPr>
                <w:tblCellSpacing w:w="0" w:type="dxa"/>
              </w:trPr>
              <w:tc>
                <w:tcPr>
                  <w:tcW w:w="0" w:type="auto"/>
                  <w:hideMark/>
                </w:tcPr>
                <w:p w14:paraId="38D938B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iv)</w:t>
                  </w:r>
                </w:p>
              </w:tc>
              <w:tc>
                <w:tcPr>
                  <w:tcW w:w="0" w:type="auto"/>
                  <w:hideMark/>
                </w:tcPr>
                <w:p w14:paraId="006134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 peab olema asjaomase võrguettevõtja nõutud sihtväärtuste piirides suuteline minema igasse oma P-Q/</w:t>
                  </w:r>
                  <w:proofErr w:type="spellStart"/>
                  <w:r w:rsidRPr="004D5219">
                    <w:rPr>
                      <w:rFonts w:ascii="inherit" w:eastAsia="Times New Roman" w:hAnsi="inherit" w:cs="Times New Roman"/>
                      <w:sz w:val="24"/>
                      <w:szCs w:val="24"/>
                      <w:lang w:val="et-EE" w:bidi="ar-SA"/>
                    </w:rPr>
                    <w:t>P</w:t>
                  </w:r>
                  <w:r w:rsidRPr="004D5219">
                    <w:rPr>
                      <w:rFonts w:ascii="inherit" w:eastAsia="Times New Roman" w:hAnsi="inherit" w:cs="Times New Roman"/>
                      <w:sz w:val="17"/>
                      <w:szCs w:val="17"/>
                      <w:vertAlign w:val="subscript"/>
                      <w:lang w:val="et-EE" w:bidi="ar-SA"/>
                    </w:rPr>
                    <w:t>max</w:t>
                  </w:r>
                  <w:proofErr w:type="spellEnd"/>
                  <w:r w:rsidRPr="004D5219">
                    <w:rPr>
                      <w:rFonts w:ascii="inherit" w:eastAsia="Times New Roman" w:hAnsi="inherit" w:cs="Times New Roman"/>
                      <w:sz w:val="24"/>
                      <w:szCs w:val="24"/>
                      <w:lang w:val="et-EE" w:bidi="ar-SA"/>
                    </w:rPr>
                    <w:t> graafiku talitluspunkti asjakohase ajavahemiku jooksul;</w:t>
                  </w:r>
                </w:p>
              </w:tc>
            </w:tr>
          </w:tbl>
          <w:p w14:paraId="6A43FF34"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780ED4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B4AB17E" w14:textId="77777777" w:rsidTr="008E1A17">
        <w:trPr>
          <w:tblCellSpacing w:w="0" w:type="dxa"/>
        </w:trPr>
        <w:tc>
          <w:tcPr>
            <w:tcW w:w="0" w:type="auto"/>
            <w:hideMark/>
          </w:tcPr>
          <w:p w14:paraId="581B2DA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25B36BB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järgi juhtimise korral:</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377AD312" w14:textId="77777777">
              <w:trPr>
                <w:tblCellSpacing w:w="0" w:type="dxa"/>
              </w:trPr>
              <w:tc>
                <w:tcPr>
                  <w:tcW w:w="0" w:type="auto"/>
                  <w:hideMark/>
                </w:tcPr>
                <w:p w14:paraId="6F37EB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F48D0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 peab suutma toota reaktiivvõimsust automaatselt talitledes kas pinge, reaktiivvõimsuse või võimsusteguri järgi juhtimisega;</w:t>
                  </w:r>
                </w:p>
              </w:tc>
            </w:tr>
          </w:tbl>
          <w:p w14:paraId="7E0018E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4D0D4CCA" w14:textId="77777777">
              <w:trPr>
                <w:tblCellSpacing w:w="0" w:type="dxa"/>
              </w:trPr>
              <w:tc>
                <w:tcPr>
                  <w:tcW w:w="0" w:type="auto"/>
                  <w:hideMark/>
                </w:tcPr>
                <w:p w14:paraId="64C92F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5327D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 järgi juhtimise korral peab energiapargimoodul suutma osaleda pinge juhtimises ühenduspunktis, vahetades reaktiivvõimsust võrguga pinge seadeväärtustel vahemikus 0,95–1,05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xml:space="preserve">. sammuga mitte üle 0,01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ja kaldega vähemalt 2–7 % sammuga mitte üle 0,5 %. Väljundreaktiivvõimsus peab olema null, kui võrgupinge ühenduspunktis võrdub pinge seadeväärtusega;</w:t>
                  </w:r>
                </w:p>
              </w:tc>
            </w:tr>
          </w:tbl>
          <w:p w14:paraId="1247B88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70"/>
            </w:tblGrid>
            <w:tr w:rsidR="008E1A17" w:rsidRPr="00A2039D" w14:paraId="4118246A" w14:textId="77777777">
              <w:trPr>
                <w:tblCellSpacing w:w="0" w:type="dxa"/>
              </w:trPr>
              <w:tc>
                <w:tcPr>
                  <w:tcW w:w="0" w:type="auto"/>
                  <w:hideMark/>
                </w:tcPr>
                <w:p w14:paraId="647ED00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6FFFBD9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seadeväärtust võib kasutada kas ilma tundetuspiirkonnata või tundetuspiirkonnaga vahemikus nullist kuni ± 5 % võrgu pingest (1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sammuga mitte üle 0,5 %;</w:t>
                  </w:r>
                </w:p>
              </w:tc>
            </w:tr>
          </w:tbl>
          <w:p w14:paraId="5639CDF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3"/>
            </w:tblGrid>
            <w:tr w:rsidR="008E1A17" w:rsidRPr="00A2039D" w14:paraId="2BE4CEDB" w14:textId="77777777">
              <w:trPr>
                <w:tblCellSpacing w:w="0" w:type="dxa"/>
              </w:trPr>
              <w:tc>
                <w:tcPr>
                  <w:tcW w:w="0" w:type="auto"/>
                  <w:hideMark/>
                </w:tcPr>
                <w:p w14:paraId="029EBC2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1EA49B41" w14:textId="372AAC38" w:rsidR="00633E58" w:rsidRPr="004D5219" w:rsidRDefault="008E1A17" w:rsidP="004C0418">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pärast pinge astmelist muutust peab energiapargimoodul suutma saavutada 90 % väljundreaktiivvõimsuse muutusest </w:t>
                  </w:r>
                  <w:r w:rsidR="004C0418" w:rsidRPr="004D5219">
                    <w:rPr>
                      <w:rFonts w:ascii="inherit" w:eastAsia="Times New Roman" w:hAnsi="inherit" w:cs="Times New Roman"/>
                      <w:sz w:val="24"/>
                      <w:szCs w:val="24"/>
                      <w:highlight w:val="cyan"/>
                      <w:lang w:val="et-EE" w:bidi="ar-SA"/>
                    </w:rPr>
                    <w:t>5s</w:t>
                  </w:r>
                  <w:r w:rsidRPr="004D5219">
                    <w:rPr>
                      <w:rFonts w:ascii="inherit" w:eastAsia="Times New Roman" w:hAnsi="inherit" w:cs="Times New Roman"/>
                      <w:sz w:val="24"/>
                      <w:szCs w:val="24"/>
                      <w:lang w:val="et-EE" w:bidi="ar-SA"/>
                    </w:rPr>
                    <w:t xml:space="preserve"> jooksul ja pinge peab suutma saavutada kaldega määratud väärtuse </w:t>
                  </w:r>
                  <w:r w:rsidR="004C0418" w:rsidRPr="004D5219">
                    <w:rPr>
                      <w:rFonts w:ascii="inherit" w:eastAsia="Times New Roman" w:hAnsi="inherit" w:cs="Times New Roman"/>
                      <w:sz w:val="24"/>
                      <w:szCs w:val="24"/>
                      <w:highlight w:val="cyan"/>
                      <w:lang w:val="et-EE" w:bidi="ar-SA"/>
                    </w:rPr>
                    <w:t>60s</w:t>
                  </w:r>
                  <w:r w:rsidRPr="004D5219">
                    <w:rPr>
                      <w:rFonts w:ascii="inherit" w:eastAsia="Times New Roman" w:hAnsi="inherit" w:cs="Times New Roman"/>
                      <w:sz w:val="24"/>
                      <w:szCs w:val="24"/>
                      <w:lang w:val="et-EE" w:bidi="ar-SA"/>
                    </w:rPr>
                    <w:t xml:space="preserve"> jooksul, kusjuures püsitalitluse reaktiivvõimsuse lubatud hälve ei tohi olla suurem kui 5 % maksimumreaktiivvõimsusest. </w:t>
                  </w:r>
                </w:p>
              </w:tc>
            </w:tr>
          </w:tbl>
          <w:p w14:paraId="03E0618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50"/>
            </w:tblGrid>
            <w:tr w:rsidR="008E1A17" w:rsidRPr="00A2039D" w14:paraId="44084C6B" w14:textId="77777777">
              <w:trPr>
                <w:tblCellSpacing w:w="0" w:type="dxa"/>
              </w:trPr>
              <w:tc>
                <w:tcPr>
                  <w:tcW w:w="0" w:type="auto"/>
                  <w:hideMark/>
                </w:tcPr>
                <w:p w14:paraId="520B4EB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16D6A86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järgi juhtimisel peab energiapargimoodul suutma saavutada reaktiivvõimsuse mis tahes seadeväärtuse reaktiivvõimsuse vahemikus, mis on kindlaks määratud artikli 20 lõike 2 punktis a ning artikli 21 lõike 3 punktides a ja b, ning sammuga mitte üle 5 </w:t>
                  </w:r>
                  <w:proofErr w:type="spellStart"/>
                  <w:r w:rsidRPr="004D5219">
                    <w:rPr>
                      <w:rFonts w:ascii="inherit" w:eastAsia="Times New Roman" w:hAnsi="inherit" w:cs="Times New Roman"/>
                      <w:sz w:val="24"/>
                      <w:szCs w:val="24"/>
                      <w:lang w:val="et-EE" w:bidi="ar-SA"/>
                    </w:rPr>
                    <w:t>Mvar</w:t>
                  </w:r>
                  <w:proofErr w:type="spellEnd"/>
                  <w:r w:rsidRPr="004D5219">
                    <w:rPr>
                      <w:rFonts w:ascii="inherit" w:eastAsia="Times New Roman" w:hAnsi="inherit" w:cs="Times New Roman"/>
                      <w:sz w:val="24"/>
                      <w:szCs w:val="24"/>
                      <w:lang w:val="et-EE" w:bidi="ar-SA"/>
                    </w:rPr>
                    <w:t xml:space="preserve"> või 5 % (olenevalt sellest, kumb on väiksem) täisreaktiivvõimsusest, juhtides ühenduspunktis reaktiivvõimsust täpsusega ± 5 </w:t>
                  </w:r>
                  <w:proofErr w:type="spellStart"/>
                  <w:r w:rsidRPr="004D5219">
                    <w:rPr>
                      <w:rFonts w:ascii="inherit" w:eastAsia="Times New Roman" w:hAnsi="inherit" w:cs="Times New Roman"/>
                      <w:sz w:val="24"/>
                      <w:szCs w:val="24"/>
                      <w:lang w:val="et-EE" w:bidi="ar-SA"/>
                    </w:rPr>
                    <w:t>Mvar</w:t>
                  </w:r>
                  <w:proofErr w:type="spellEnd"/>
                  <w:r w:rsidRPr="004D5219">
                    <w:rPr>
                      <w:rFonts w:ascii="inherit" w:eastAsia="Times New Roman" w:hAnsi="inherit" w:cs="Times New Roman"/>
                      <w:sz w:val="24"/>
                      <w:szCs w:val="24"/>
                      <w:lang w:val="et-EE" w:bidi="ar-SA"/>
                    </w:rPr>
                    <w:t xml:space="preserve"> või ± 5 % täisreaktiivvõimsusest (olenevalt sellest, kumb on väiksem);</w:t>
                  </w:r>
                </w:p>
              </w:tc>
            </w:tr>
          </w:tbl>
          <w:p w14:paraId="0D68712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83"/>
            </w:tblGrid>
            <w:tr w:rsidR="008E1A17" w:rsidRPr="00A2039D" w14:paraId="5F433074" w14:textId="77777777">
              <w:trPr>
                <w:tblCellSpacing w:w="0" w:type="dxa"/>
              </w:trPr>
              <w:tc>
                <w:tcPr>
                  <w:tcW w:w="0" w:type="auto"/>
                  <w:hideMark/>
                </w:tcPr>
                <w:p w14:paraId="7AC995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w:t>
                  </w:r>
                </w:p>
              </w:tc>
              <w:tc>
                <w:tcPr>
                  <w:tcW w:w="0" w:type="auto"/>
                  <w:hideMark/>
                </w:tcPr>
                <w:p w14:paraId="226D899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võimsusteguri järgi juhtimisel peab energiapargimoodul suutma juhtida võimsustegurit ühenduspunktis reaktiivvõimsusvahemikus, mille on ette andnud asjaomane võrguettevõtja vastavalt artikli 20 lõike 2 punktile a või nagu see on määratletud artikli 21 lõike 3 punktides a ja b, sihtvõimsusteguri sammuga mitte üle 0,01. Asjaomane võrguettevõtja peab kindlaks määrama võimsusteguri sihtväärtuse, lubatud hälbe ja sihtväärtuse saavutamise aja pärast väljundaktiivvõimsuse järsku muutust. Võimsusteguri sihtväärtuse lubatud hälve tuleb väljendada sellele vastava reaktiivvõimsuse lubatud hälbe kaudu. Reaktiivvõimsuse lubatud hälve tuleb väljendada kas absoluutväärtusena või protsentides energiapargimooduli maksimumreaktiivvõimsusest;</w:t>
                  </w:r>
                </w:p>
              </w:tc>
            </w:tr>
          </w:tbl>
          <w:p w14:paraId="2FA6B57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34"/>
              <w:gridCol w:w="8916"/>
            </w:tblGrid>
            <w:tr w:rsidR="008E1A17" w:rsidRPr="00A2039D" w14:paraId="21877942" w14:textId="77777777">
              <w:trPr>
                <w:tblCellSpacing w:w="0" w:type="dxa"/>
              </w:trPr>
              <w:tc>
                <w:tcPr>
                  <w:tcW w:w="0" w:type="auto"/>
                  <w:hideMark/>
                </w:tcPr>
                <w:p w14:paraId="298D9D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vii)</w:t>
                  </w:r>
                </w:p>
              </w:tc>
              <w:tc>
                <w:tcPr>
                  <w:tcW w:w="0" w:type="auto"/>
                  <w:hideMark/>
                </w:tcPr>
                <w:p w14:paraId="38DD6C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asjaomane võrguettevõtja peab kooskõlastatult asjaomase põhivõrguettevõtja ja energiapargimooduli omanikuga kindlaks määrama, millist eespool nimetatud juhtimisviisi ja milliseid seadeväärtusi tuleb kasutada ning milliseid seadmeid on veel vaja, et nimetatud seadeväärtusi saaks </w:t>
                  </w:r>
                  <w:proofErr w:type="spellStart"/>
                  <w:r w:rsidRPr="004D5219">
                    <w:rPr>
                      <w:rFonts w:ascii="inherit" w:eastAsia="Times New Roman" w:hAnsi="inherit" w:cs="Times New Roman"/>
                      <w:sz w:val="24"/>
                      <w:szCs w:val="24"/>
                      <w:lang w:val="et-EE" w:bidi="ar-SA"/>
                    </w:rPr>
                    <w:t>kaugjuhtimise</w:t>
                  </w:r>
                  <w:proofErr w:type="spellEnd"/>
                  <w:r w:rsidRPr="004D5219">
                    <w:rPr>
                      <w:rFonts w:ascii="inherit" w:eastAsia="Times New Roman" w:hAnsi="inherit" w:cs="Times New Roman"/>
                      <w:sz w:val="24"/>
                      <w:szCs w:val="24"/>
                      <w:lang w:val="et-EE" w:bidi="ar-SA"/>
                    </w:rPr>
                    <w:t xml:space="preserve"> teel seadistada;</w:t>
                  </w:r>
                </w:p>
              </w:tc>
            </w:tr>
          </w:tbl>
          <w:p w14:paraId="65438B7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B88176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5B0C69C" w14:textId="77777777" w:rsidTr="008E1A17">
        <w:trPr>
          <w:tblCellSpacing w:w="0" w:type="dxa"/>
        </w:trPr>
        <w:tc>
          <w:tcPr>
            <w:tcW w:w="0" w:type="auto"/>
            <w:hideMark/>
          </w:tcPr>
          <w:p w14:paraId="1EF587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3DFA4D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seoses aktiiv- või reaktiivvõimsuse panusega peab asjaomane põhivõrguettevõtja täpsustama, kas eelistada aktiiv- või reaktiivvõimsuse panust selliste rikete korral, mil on nõutav </w:t>
            </w:r>
            <w:proofErr w:type="spellStart"/>
            <w:r w:rsidRPr="004D5219">
              <w:rPr>
                <w:rFonts w:ascii="inherit" w:eastAsia="Times New Roman" w:hAnsi="inherit" w:cs="Times New Roman"/>
                <w:sz w:val="24"/>
                <w:szCs w:val="24"/>
                <w:lang w:val="et-EE" w:bidi="ar-SA"/>
              </w:rPr>
              <w:t>rikkeläbimisvõime</w:t>
            </w:r>
            <w:proofErr w:type="spellEnd"/>
            <w:r w:rsidRPr="004D5219">
              <w:rPr>
                <w:rFonts w:ascii="inherit" w:eastAsia="Times New Roman" w:hAnsi="inherit" w:cs="Times New Roman"/>
                <w:sz w:val="24"/>
                <w:szCs w:val="24"/>
                <w:lang w:val="et-EE" w:bidi="ar-SA"/>
              </w:rPr>
              <w:t>. Kui eelistatakse aktiivvõimsuse panust, tuleb selle tootmine tagada hiljemalt 150 ms jooksul alates rikke alghetkest;</w:t>
            </w:r>
          </w:p>
          <w:p w14:paraId="4C51B59B" w14:textId="454827AA" w:rsidR="00C42BBC" w:rsidRPr="004D5219" w:rsidRDefault="00C42BBC"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Eelistuseks on reaktiivvõimsuse panustamine rikete korral.</w:t>
            </w:r>
          </w:p>
        </w:tc>
      </w:tr>
    </w:tbl>
    <w:p w14:paraId="19C03D9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A2039D" w14:paraId="1D51674A" w14:textId="77777777" w:rsidTr="008E1A17">
        <w:trPr>
          <w:tblCellSpacing w:w="0" w:type="dxa"/>
        </w:trPr>
        <w:tc>
          <w:tcPr>
            <w:tcW w:w="0" w:type="auto"/>
            <w:hideMark/>
          </w:tcPr>
          <w:p w14:paraId="7F06B6E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4F73B6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seoses võimsuse võnkumise summutamise juhtimisega peab energiapargimoodul suutma osaleda võimsuse võnkumise summutamises, kui seda nõuab asjaomane põhivõrguettevõtja. Energiapargimooduli pinge ja reaktiivvõimsuse juhtimise näitajad ei tohi avaldada kahjulikku mõju võimsuse võnkumise summutamisele.</w:t>
            </w:r>
          </w:p>
          <w:p w14:paraId="3FA44E02" w14:textId="7E697523" w:rsidR="00325EF6" w:rsidRPr="004D5219" w:rsidRDefault="00325EF6" w:rsidP="008E1A17">
            <w:pPr>
              <w:widowControl/>
              <w:autoSpaceDE/>
              <w:autoSpaceDN/>
              <w:spacing w:before="120"/>
              <w:jc w:val="both"/>
              <w:rPr>
                <w:rFonts w:ascii="inherit" w:eastAsia="Times New Roman" w:hAnsi="inherit" w:cs="Times New Roman"/>
                <w:sz w:val="24"/>
                <w:szCs w:val="24"/>
                <w:lang w:val="et-EE" w:bidi="ar-SA"/>
              </w:rPr>
            </w:pPr>
            <w:r w:rsidRPr="004D5219">
              <w:rPr>
                <w:highlight w:val="cyan"/>
                <w:lang w:val="et-EE"/>
              </w:rPr>
              <w:t>D-tüüpi energiapargimoodulid peavad suutma osaleda võimsuse võnkumise summutamises.</w:t>
            </w:r>
            <w:r w:rsidR="00D01B20" w:rsidRPr="004D5219">
              <w:rPr>
                <w:highlight w:val="cyan"/>
                <w:lang w:val="et-EE"/>
              </w:rPr>
              <w:t xml:space="preserve">(Ei kehti Tüüp </w:t>
            </w:r>
            <w:proofErr w:type="spellStart"/>
            <w:r w:rsidR="00D01B20" w:rsidRPr="004D5219">
              <w:rPr>
                <w:highlight w:val="cyan"/>
                <w:lang w:val="et-EE"/>
              </w:rPr>
              <w:t>C-le</w:t>
            </w:r>
            <w:proofErr w:type="spellEnd"/>
            <w:r w:rsidR="00D01B20" w:rsidRPr="004D5219">
              <w:rPr>
                <w:highlight w:val="cyan"/>
                <w:lang w:val="et-EE"/>
              </w:rPr>
              <w:t>)</w:t>
            </w:r>
            <w:r w:rsidR="002F2C91" w:rsidRPr="004D5219">
              <w:rPr>
                <w:lang w:val="et-EE"/>
              </w:rPr>
              <w:t>.</w:t>
            </w:r>
          </w:p>
        </w:tc>
      </w:tr>
    </w:tbl>
    <w:p w14:paraId="56F43D13"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22</w:t>
      </w:r>
    </w:p>
    <w:p w14:paraId="72D7EEC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lastRenderedPageBreak/>
        <w:t>Nõuded D-tüüpi energiapargimoodulite kohta</w:t>
      </w:r>
    </w:p>
    <w:p w14:paraId="60EFF8D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D-tüüpi energiapargimoodulid peavad vastama nõuetele, mis on esitatud artiklites 13–16, 20 ja 21, välja arvatud artikli 13 lõike 2 punkti b, artikli 13 lõigete 6 ja 7, artikli 14 lõike 2, artikli 15 lõike 3 ja artikli 20 lõike 2 punkti a sätted.</w:t>
      </w:r>
    </w:p>
    <w:p w14:paraId="712A6B47"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4. PEATÜKK</w:t>
      </w:r>
    </w:p>
    <w:p w14:paraId="036289D1"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Nõuded avamere energiapargimoodulite kohta</w:t>
      </w:r>
    </w:p>
    <w:p w14:paraId="764DD6B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23</w:t>
      </w:r>
    </w:p>
    <w:p w14:paraId="23320DE2"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Üldsätted</w:t>
      </w:r>
      <w:proofErr w:type="spellEnd"/>
    </w:p>
    <w:p w14:paraId="524B58F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Käesolevas peatükis sätestatud nõudeid kohaldatakse vahelduvvooluühendusega avamere energiapargimoodulite võrguühenduse suhtes. Vahelduvvooluühendusega energiapargimooduleid, mis paiknevad merel, kuid millel ei ole merel ühenduspunkti, loetakse maismaa energiapargimooduliteks ning need peavad seega vastama maismaal paiknevate energiapargimoodulite nõuetele.</w:t>
      </w:r>
    </w:p>
    <w:p w14:paraId="2FA0C89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Vahelduvvooluühendusega avamere energiapargimooduli mereühenduspunkti peab kindlaks määrama asjaomane võrguettevõtja.</w:t>
      </w:r>
    </w:p>
    <w:p w14:paraId="463CCA1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Käesoleva määruse reguleerimisalasse kuuluvad vahelduvvooluühendusega avamere energiapargimoodulid liigitatakse vastavalt järgmistele avamere võrguühendussüsteemi skeemidele: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91EDE0E" w14:textId="77777777" w:rsidTr="008E1A17">
        <w:trPr>
          <w:tblCellSpacing w:w="0" w:type="dxa"/>
        </w:trPr>
        <w:tc>
          <w:tcPr>
            <w:tcW w:w="0" w:type="auto"/>
            <w:hideMark/>
          </w:tcPr>
          <w:p w14:paraId="252177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FEF446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1. skeem: vahelduvvooluühendus ühe maismaaühenduspunktiga, mille puhul on üks või mitu avamere energiapargimoodulit omavahel merel ühendatud ja moodustavad avamere vahelduvvooluvõrgu, mis on ühendatud maismaavõrguga;</w:t>
            </w:r>
          </w:p>
        </w:tc>
      </w:tr>
    </w:tbl>
    <w:p w14:paraId="6039AE5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D5EFA39" w14:textId="77777777" w:rsidTr="008E1A17">
        <w:trPr>
          <w:tblCellSpacing w:w="0" w:type="dxa"/>
        </w:trPr>
        <w:tc>
          <w:tcPr>
            <w:tcW w:w="0" w:type="auto"/>
            <w:hideMark/>
          </w:tcPr>
          <w:p w14:paraId="1FE2A8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571E4A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2. skeem: vahelduvvoolu-silmusühendused, mille puhul on mitu avamere energiapargimoodulit merel ühendatud ja moodustavad avamere vahelduvvooluvõrgu, mis on ühendatud maismaavõrguga kahes või enamas maismaaühenduspunktis.</w:t>
            </w:r>
          </w:p>
        </w:tc>
      </w:tr>
    </w:tbl>
    <w:p w14:paraId="0FB21EB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24</w:t>
      </w:r>
    </w:p>
    <w:p w14:paraId="3F5153A8"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vahelduvvooluühendusega avamere energiapargimoodulite sageduse stabiilsuse kohta</w:t>
      </w:r>
    </w:p>
    <w:p w14:paraId="2E03339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Sageduse stabiilsuse nõudeid, mis on sätestatud artikli 13 lõigetes 1–5, artikli 15 lõikes 2 ja artikli 21 lõikes 2, välja arvatud artikli 13 lõike 2 punkti b nõuded, kohaldatakse kõikide vahelduvvooluühendusega avamere energiapargimoodulite suhtes.</w:t>
      </w:r>
    </w:p>
    <w:p w14:paraId="4BDE0BD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25</w:t>
      </w:r>
    </w:p>
    <w:p w14:paraId="2079A3A8"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vahelduvvooluühendusega avamere energiapargimoodulite pinge stabiilsuse kohta</w:t>
      </w:r>
    </w:p>
    <w:p w14:paraId="7588285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Ilma et sellega piirataks artikli 14 lõike 3 punkti a ja artikli 16 lõike 3 punkti a sätteid, peab vahelduvvooluühendusega avamere energiapargimoodul suutma jääda võrku ühendatuks ja talitleda ühenduspunktis tabelis 10 esitatud võrgupinge vahemikes, mis on esitatud pinge võrdlusväärtuse 1 </w:t>
      </w:r>
      <w:proofErr w:type="spellStart"/>
      <w:r w:rsidRPr="004D5219">
        <w:rPr>
          <w:rFonts w:ascii="inherit" w:eastAsia="Times New Roman" w:hAnsi="inherit" w:cs="Times New Roman"/>
          <w:color w:val="000000"/>
          <w:sz w:val="24"/>
          <w:szCs w:val="24"/>
          <w:lang w:val="et-EE" w:bidi="ar-SA"/>
        </w:rPr>
        <w:t>s.ü</w:t>
      </w:r>
      <w:proofErr w:type="spellEnd"/>
      <w:r w:rsidRPr="004D5219">
        <w:rPr>
          <w:rFonts w:ascii="inherit" w:eastAsia="Times New Roman" w:hAnsi="inherit" w:cs="Times New Roman"/>
          <w:color w:val="000000"/>
          <w:sz w:val="24"/>
          <w:szCs w:val="24"/>
          <w:lang w:val="et-EE" w:bidi="ar-SA"/>
        </w:rPr>
        <w:t>. suhtes, ning ajavahemikes.</w:t>
      </w:r>
    </w:p>
    <w:p w14:paraId="03816AC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Sõltumata lõikes 1 sätestatust võib asjaomane Hispaania põhivõrguettevõtja nõuda, et vahelduvvooluühendusega avamere energiapargimoodulid jääksid võrku ühendatuks piiramata ajaks, kui pinge on vahemikus 1,05 </w:t>
      </w:r>
      <w:proofErr w:type="spellStart"/>
      <w:r w:rsidRPr="004D5219">
        <w:rPr>
          <w:rFonts w:ascii="inherit" w:eastAsia="Times New Roman" w:hAnsi="inherit" w:cs="Times New Roman"/>
          <w:color w:val="000000"/>
          <w:sz w:val="24"/>
          <w:szCs w:val="24"/>
          <w:lang w:val="et-EE" w:bidi="ar-SA"/>
        </w:rPr>
        <w:t>s.ü</w:t>
      </w:r>
      <w:proofErr w:type="spellEnd"/>
      <w:r w:rsidRPr="004D5219">
        <w:rPr>
          <w:rFonts w:ascii="inherit" w:eastAsia="Times New Roman" w:hAnsi="inherit" w:cs="Times New Roman"/>
          <w:color w:val="000000"/>
          <w:sz w:val="24"/>
          <w:szCs w:val="24"/>
          <w:lang w:val="et-EE" w:bidi="ar-SA"/>
        </w:rPr>
        <w:t xml:space="preserve">. kuni 1,0875 </w:t>
      </w:r>
      <w:proofErr w:type="spellStart"/>
      <w:r w:rsidRPr="004D5219">
        <w:rPr>
          <w:rFonts w:ascii="inherit" w:eastAsia="Times New Roman" w:hAnsi="inherit" w:cs="Times New Roman"/>
          <w:color w:val="000000"/>
          <w:sz w:val="24"/>
          <w:szCs w:val="24"/>
          <w:lang w:val="et-EE" w:bidi="ar-SA"/>
        </w:rPr>
        <w:t>s.ü</w:t>
      </w:r>
      <w:proofErr w:type="spellEnd"/>
      <w:r w:rsidRPr="004D5219">
        <w:rPr>
          <w:rFonts w:ascii="inherit" w:eastAsia="Times New Roman" w:hAnsi="inherit" w:cs="Times New Roman"/>
          <w:color w:val="000000"/>
          <w:sz w:val="24"/>
          <w:szCs w:val="24"/>
          <w:lang w:val="et-EE" w:bidi="ar-SA"/>
        </w:rPr>
        <w:t>.</w:t>
      </w:r>
    </w:p>
    <w:p w14:paraId="16EB0D6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Sõltumata lõike 1 sätetest võivad asjaomased Balti energiasüsteemi põhivõrguettevõtjad nõuda, et vahelduvvooluühendusega energiapargimoodulid jääksid 400 </w:t>
      </w:r>
      <w:proofErr w:type="spellStart"/>
      <w:r w:rsidRPr="004D5219">
        <w:rPr>
          <w:rFonts w:ascii="inherit" w:eastAsia="Times New Roman" w:hAnsi="inherit" w:cs="Times New Roman"/>
          <w:color w:val="000000"/>
          <w:sz w:val="24"/>
          <w:szCs w:val="24"/>
          <w:lang w:val="et-EE" w:bidi="ar-SA"/>
        </w:rPr>
        <w:t>kV</w:t>
      </w:r>
      <w:proofErr w:type="spellEnd"/>
      <w:r w:rsidRPr="004D5219">
        <w:rPr>
          <w:rFonts w:ascii="inherit" w:eastAsia="Times New Roman" w:hAnsi="inherit" w:cs="Times New Roman"/>
          <w:color w:val="000000"/>
          <w:sz w:val="24"/>
          <w:szCs w:val="24"/>
          <w:lang w:val="et-EE" w:bidi="ar-SA"/>
        </w:rPr>
        <w:t xml:space="preserve"> võrku ühendatuks Mandri-Euroopa sünkroonala pinge- ja ajavahemike korral.</w:t>
      </w:r>
    </w:p>
    <w:p w14:paraId="02D75205"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lang w:val="et-EE" w:bidi="ar-SA"/>
        </w:rPr>
      </w:pPr>
    </w:p>
    <w:p w14:paraId="4ECB963D"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lang w:val="et-EE" w:bidi="ar-SA"/>
        </w:rPr>
      </w:pPr>
    </w:p>
    <w:p w14:paraId="4C6E90FF"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lang w:val="et-EE" w:bidi="ar-SA"/>
        </w:rPr>
      </w:pPr>
    </w:p>
    <w:p w14:paraId="26D15B79"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lang w:val="et-EE" w:bidi="ar-SA"/>
        </w:rPr>
      </w:pPr>
    </w:p>
    <w:p w14:paraId="7C275DD5"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lang w:val="et-EE" w:bidi="ar-SA"/>
        </w:rPr>
      </w:pPr>
    </w:p>
    <w:p w14:paraId="526E9EA2" w14:textId="48AEFCDC" w:rsidR="008E1A17" w:rsidRPr="004D5219" w:rsidRDefault="008E1A17" w:rsidP="008E1A17">
      <w:pPr>
        <w:widowControl/>
        <w:autoSpaceDE/>
        <w:autoSpaceDN/>
        <w:spacing w:before="120" w:after="12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i/>
          <w:iCs/>
          <w:color w:val="000000"/>
          <w:sz w:val="24"/>
          <w:szCs w:val="24"/>
          <w:lang w:val="et-EE" w:bidi="ar-SA"/>
        </w:rPr>
        <w:t>Tabel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66"/>
        <w:gridCol w:w="3031"/>
        <w:gridCol w:w="3037"/>
      </w:tblGrid>
      <w:tr w:rsidR="008E1A17" w:rsidRPr="004D5219" w14:paraId="518877AD" w14:textId="77777777" w:rsidTr="008E1A1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8C881BE"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264E82"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Pinge vahemik</w:t>
            </w:r>
          </w:p>
        </w:tc>
        <w:tc>
          <w:tcPr>
            <w:tcW w:w="0" w:type="auto"/>
            <w:tcBorders>
              <w:top w:val="single" w:sz="6" w:space="0" w:color="000000"/>
              <w:left w:val="single" w:sz="6" w:space="0" w:color="000000"/>
              <w:bottom w:val="single" w:sz="6" w:space="0" w:color="000000"/>
              <w:right w:val="single" w:sz="6" w:space="0" w:color="000000"/>
            </w:tcBorders>
            <w:hideMark/>
          </w:tcPr>
          <w:p w14:paraId="3B9EAE10"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Talitluse kestus</w:t>
            </w:r>
          </w:p>
        </w:tc>
      </w:tr>
      <w:tr w:rsidR="008E1A17" w:rsidRPr="004D5219" w14:paraId="1AC671E7" w14:textId="77777777" w:rsidTr="008E1A17">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F7DB19D"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413ADDF"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0,85–0,90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36" w:anchor="ntr*-L_2016112ET.01000101-E0007"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32023C0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30 minutit</w:t>
            </w:r>
          </w:p>
        </w:tc>
      </w:tr>
      <w:tr w:rsidR="008E1A17" w:rsidRPr="004D5219" w14:paraId="61A6B1DB" w14:textId="77777777" w:rsidTr="008E1A1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0C60B7"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57E7365A"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0,90–1,118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37" w:anchor="ntr*-L_2016112ET.01000101-E0007"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C1D0DC9"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Piiramata</w:t>
            </w:r>
          </w:p>
        </w:tc>
      </w:tr>
      <w:tr w:rsidR="008E1A17" w:rsidRPr="004D5219" w14:paraId="347B074F" w14:textId="77777777" w:rsidTr="008E1A1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021698"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12299E9C"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1,118–1,15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38" w:anchor="ntr*-L_2016112ET.01000101-E0007"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1B694E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r w:rsidR="008E1A17" w:rsidRPr="004D5219" w14:paraId="77711FA7" w14:textId="77777777" w:rsidTr="008E1A1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D42DAD"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5CE926BA"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0,88–0,90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39" w:anchor="ntr**-L_2016112ET.01000101-E0008"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777FA886"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r w:rsidR="008E1A17" w:rsidRPr="004D5219" w14:paraId="47115BC0" w14:textId="77777777" w:rsidTr="008E1A1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D836FD"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06C2625A"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0,90–1,097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40" w:anchor="ntr**-L_2016112ET.01000101-E0008"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6A43D363"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Piiramata</w:t>
            </w:r>
          </w:p>
        </w:tc>
      </w:tr>
      <w:tr w:rsidR="008E1A17" w:rsidRPr="004D5219" w14:paraId="65A3751A" w14:textId="77777777" w:rsidTr="008E1A17">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9A5F8" w14:textId="77777777" w:rsidR="008E1A17" w:rsidRPr="004D5219" w:rsidRDefault="008E1A17" w:rsidP="008E1A17">
            <w:pPr>
              <w:widowControl/>
              <w:autoSpaceDE/>
              <w:autoSpaceDN/>
              <w:rPr>
                <w:rFonts w:ascii="inherit" w:eastAsia="Times New Roman" w:hAnsi="inherit" w:cs="Times New Roman"/>
                <w:lang w:val="et-EE" w:bidi="ar-SA"/>
              </w:rPr>
            </w:pPr>
          </w:p>
        </w:tc>
        <w:tc>
          <w:tcPr>
            <w:tcW w:w="0" w:type="auto"/>
            <w:tcBorders>
              <w:top w:val="single" w:sz="6" w:space="0" w:color="000000"/>
              <w:left w:val="single" w:sz="6" w:space="0" w:color="000000"/>
              <w:bottom w:val="single" w:sz="6" w:space="0" w:color="000000"/>
              <w:right w:val="single" w:sz="6" w:space="0" w:color="000000"/>
            </w:tcBorders>
            <w:hideMark/>
          </w:tcPr>
          <w:p w14:paraId="27611767"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 xml:space="preserve">1,097–1,15 </w:t>
            </w:r>
            <w:proofErr w:type="spellStart"/>
            <w:r w:rsidRPr="004D5219">
              <w:rPr>
                <w:rFonts w:ascii="inherit" w:eastAsia="Times New Roman" w:hAnsi="inherit" w:cs="Times New Roman"/>
                <w:lang w:val="et-EE" w:bidi="ar-SA"/>
              </w:rPr>
              <w:t>s.ü</w:t>
            </w:r>
            <w:proofErr w:type="spellEnd"/>
            <w:r w:rsidRPr="004D5219">
              <w:rPr>
                <w:rFonts w:ascii="inherit" w:eastAsia="Times New Roman" w:hAnsi="inherit" w:cs="Times New Roman"/>
                <w:lang w:val="et-EE" w:bidi="ar-SA"/>
              </w:rPr>
              <w:t>.</w:t>
            </w:r>
            <w:hyperlink r:id="rId41" w:anchor="ntr**-L_2016112ET.01000101-E0008" w:history="1">
              <w:r w:rsidRPr="004D5219">
                <w:rPr>
                  <w:rFonts w:ascii="inherit" w:eastAsia="Times New Roman" w:hAnsi="inherit" w:cs="Times New Roman"/>
                  <w:color w:val="0000FF"/>
                  <w:u w:val="single"/>
                  <w:lang w:val="et-EE" w:bidi="ar-SA"/>
                </w:rPr>
                <w:t> (</w:t>
              </w:r>
              <w:r w:rsidRPr="004D5219">
                <w:rPr>
                  <w:rFonts w:ascii="inherit" w:eastAsia="Times New Roman" w:hAnsi="inherit" w:cs="Times New Roman"/>
                  <w:color w:val="0000FF"/>
                  <w:sz w:val="15"/>
                  <w:szCs w:val="15"/>
                  <w:u w:val="single"/>
                  <w:vertAlign w:val="superscript"/>
                  <w:lang w:val="et-EE" w:bidi="ar-SA"/>
                </w:rPr>
                <w:t>**</w:t>
              </w:r>
              <w:r w:rsidRPr="004D5219">
                <w:rPr>
                  <w:rFonts w:ascii="inherit" w:eastAsia="Times New Roman" w:hAnsi="inherit" w:cs="Times New Roman"/>
                  <w:color w:val="0000FF"/>
                  <w:u w:val="single"/>
                  <w:lang w:val="et-EE" w:bidi="ar-SA"/>
                </w:rPr>
                <w:t>)</w:t>
              </w:r>
            </w:hyperlink>
          </w:p>
        </w:tc>
        <w:tc>
          <w:tcPr>
            <w:tcW w:w="0" w:type="auto"/>
            <w:tcBorders>
              <w:top w:val="single" w:sz="6" w:space="0" w:color="000000"/>
              <w:left w:val="single" w:sz="6" w:space="0" w:color="000000"/>
              <w:bottom w:val="single" w:sz="6" w:space="0" w:color="000000"/>
              <w:right w:val="single" w:sz="6" w:space="0" w:color="000000"/>
            </w:tcBorders>
            <w:hideMark/>
          </w:tcPr>
          <w:p w14:paraId="52CB8B15"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20 minutit</w:t>
            </w:r>
          </w:p>
        </w:tc>
      </w:tr>
    </w:tbl>
    <w:p w14:paraId="4AD0436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Tabelis on esitatud minimaalne ajavahemik, mille jooksul vahelduvvooluühendusega avamere energiapargimoodul peab suutma ühendust katkestamata töötada baaspingest 1 erineval pingel.</w:t>
      </w:r>
    </w:p>
    <w:p w14:paraId="32B7BCC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Artikli 20 lõike 2 punktides b ja c ning artikli 21 lõikes 3 sätestatud pinge stabiilsuse nõuded peavad olema täidetud kõigi vahelduvvooluühendusega avamere energiapargimoodulite puhul.</w:t>
      </w:r>
    </w:p>
    <w:p w14:paraId="4DD14A9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Artikli 21 lõike 3 punktis b sätestatud nõuded reaktiivvõimsussuutlikkuse kohta maksimumvõimsusel kehtivad kõikide vahelduvvooluühendusega avamere energiapargimoodulite korral, välja arvatud tabeli 9 nõuded. Selle asemel kohaldatakse tabeli 11 nõudeid.</w:t>
      </w:r>
    </w:p>
    <w:p w14:paraId="12B98BF3" w14:textId="77777777" w:rsidR="004812B6" w:rsidRDefault="004812B6" w:rsidP="008E1A17">
      <w:pPr>
        <w:widowControl/>
        <w:autoSpaceDE/>
        <w:autoSpaceDN/>
        <w:spacing w:before="120" w:after="120"/>
        <w:jc w:val="center"/>
        <w:rPr>
          <w:rFonts w:ascii="inherit" w:eastAsia="Times New Roman" w:hAnsi="inherit" w:cs="Times New Roman"/>
          <w:i/>
          <w:iCs/>
          <w:color w:val="000000"/>
          <w:sz w:val="24"/>
          <w:szCs w:val="24"/>
          <w:highlight w:val="cyan"/>
          <w:lang w:val="et-EE" w:bidi="ar-SA"/>
        </w:rPr>
      </w:pPr>
    </w:p>
    <w:p w14:paraId="7127AD8A" w14:textId="0D47B363" w:rsidR="008E1A17" w:rsidRPr="004D5219" w:rsidRDefault="008E1A17" w:rsidP="008E1A17">
      <w:pPr>
        <w:widowControl/>
        <w:autoSpaceDE/>
        <w:autoSpaceDN/>
        <w:spacing w:before="120" w:after="12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i/>
          <w:iCs/>
          <w:color w:val="000000"/>
          <w:sz w:val="24"/>
          <w:szCs w:val="24"/>
          <w:highlight w:val="cyan"/>
          <w:lang w:val="et-EE" w:bidi="ar-SA"/>
        </w:rPr>
        <w:t>Tabel 11</w:t>
      </w:r>
    </w:p>
    <w:p w14:paraId="1A397ECC" w14:textId="77777777" w:rsidR="008E1A17" w:rsidRPr="004D5219" w:rsidRDefault="008E1A17" w:rsidP="008E1A17">
      <w:pPr>
        <w:widowControl/>
        <w:autoSpaceDE/>
        <w:autoSpaceDN/>
        <w:spacing w:before="120" w:after="12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b/>
          <w:bCs/>
          <w:color w:val="000000"/>
          <w:sz w:val="24"/>
          <w:szCs w:val="24"/>
          <w:lang w:val="et-EE" w:bidi="ar-SA"/>
        </w:rPr>
        <w:t>Näitajad joonisel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52"/>
        <w:gridCol w:w="2330"/>
        <w:gridCol w:w="5252"/>
      </w:tblGrid>
      <w:tr w:rsidR="008E1A17" w:rsidRPr="00A2039D" w14:paraId="642BCE1E" w14:textId="77777777" w:rsidTr="008E1A1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C20EBC"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1BC05BB"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Q/</w:t>
            </w:r>
            <w:proofErr w:type="spellStart"/>
            <w:r w:rsidRPr="004D5219">
              <w:rPr>
                <w:rFonts w:ascii="inherit" w:eastAsia="Times New Roman" w:hAnsi="inherit" w:cs="Times New Roman"/>
                <w:b/>
                <w:bCs/>
                <w:lang w:val="et-EE" w:bidi="ar-SA"/>
              </w:rPr>
              <w:t>P</w:t>
            </w:r>
            <w:r w:rsidRPr="004D5219">
              <w:rPr>
                <w:rFonts w:ascii="inherit" w:eastAsia="Times New Roman" w:hAnsi="inherit" w:cs="Times New Roman"/>
                <w:b/>
                <w:bCs/>
                <w:sz w:val="15"/>
                <w:szCs w:val="15"/>
                <w:vertAlign w:val="subscript"/>
                <w:lang w:val="et-EE" w:bidi="ar-SA"/>
              </w:rPr>
              <w:t>max</w:t>
            </w:r>
            <w:proofErr w:type="spellEnd"/>
            <w:r w:rsidRPr="004D5219">
              <w:rPr>
                <w:rFonts w:ascii="inherit" w:eastAsia="Times New Roman" w:hAnsi="inherit" w:cs="Times New Roman"/>
                <w:b/>
                <w:bCs/>
                <w:lang w:val="et-EE" w:bidi="ar-SA"/>
              </w:rPr>
              <w:t> 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534C30E" w14:textId="77777777" w:rsidR="008E1A17" w:rsidRPr="004D5219" w:rsidRDefault="008E1A17" w:rsidP="008E1A17">
            <w:pPr>
              <w:widowControl/>
              <w:autoSpaceDE/>
              <w:autoSpaceDN/>
              <w:spacing w:before="60" w:after="60"/>
              <w:ind w:right="195"/>
              <w:jc w:val="center"/>
              <w:rPr>
                <w:rFonts w:ascii="inherit" w:eastAsia="Times New Roman" w:hAnsi="inherit" w:cs="Times New Roman"/>
                <w:b/>
                <w:bCs/>
                <w:lang w:val="et-EE" w:bidi="ar-SA"/>
              </w:rPr>
            </w:pPr>
            <w:r w:rsidRPr="004D5219">
              <w:rPr>
                <w:rFonts w:ascii="inherit" w:eastAsia="Times New Roman" w:hAnsi="inherit" w:cs="Times New Roman"/>
                <w:b/>
                <w:bCs/>
                <w:lang w:val="et-EE" w:bidi="ar-SA"/>
              </w:rPr>
              <w:t>Püsitalitluse pinge suurim vahemik suhtelistes ühikutes</w:t>
            </w:r>
          </w:p>
        </w:tc>
      </w:tr>
      <w:tr w:rsidR="008E1A17" w:rsidRPr="004D5219" w14:paraId="219DF099" w14:textId="77777777" w:rsidTr="008E1A17">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A0B6D92"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137751C8"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0,8</w:t>
            </w:r>
          </w:p>
        </w:tc>
        <w:tc>
          <w:tcPr>
            <w:tcW w:w="0" w:type="auto"/>
            <w:tcBorders>
              <w:top w:val="single" w:sz="6" w:space="0" w:color="000000"/>
              <w:left w:val="single" w:sz="6" w:space="0" w:color="000000"/>
              <w:bottom w:val="single" w:sz="6" w:space="0" w:color="000000"/>
              <w:right w:val="single" w:sz="6" w:space="0" w:color="000000"/>
            </w:tcBorders>
            <w:hideMark/>
          </w:tcPr>
          <w:p w14:paraId="63893408" w14:textId="77777777" w:rsidR="008E1A17" w:rsidRPr="004D5219" w:rsidRDefault="008E1A17" w:rsidP="008E1A17">
            <w:pPr>
              <w:widowControl/>
              <w:autoSpaceDE/>
              <w:autoSpaceDN/>
              <w:spacing w:before="60" w:after="60"/>
              <w:rPr>
                <w:rFonts w:ascii="inherit" w:eastAsia="Times New Roman" w:hAnsi="inherit" w:cs="Times New Roman"/>
                <w:lang w:val="et-EE" w:bidi="ar-SA"/>
              </w:rPr>
            </w:pPr>
            <w:r w:rsidRPr="004D5219">
              <w:rPr>
                <w:rFonts w:ascii="inherit" w:eastAsia="Times New Roman" w:hAnsi="inherit" w:cs="Times New Roman"/>
                <w:lang w:val="et-EE" w:bidi="ar-SA"/>
              </w:rPr>
              <w:t>0,22</w:t>
            </w:r>
          </w:p>
        </w:tc>
      </w:tr>
    </w:tbl>
    <w:p w14:paraId="4323E151"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26</w:t>
      </w:r>
    </w:p>
    <w:p w14:paraId="5287C20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Nõuded vahelduvvooluühendusega avamere energiapargimoodulite töökindluse kohta</w:t>
      </w:r>
    </w:p>
    <w:p w14:paraId="3D2C86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Vahelduvvooluühendusega energiapargimoodulite suhtes kohaldatakse artikli 15 lõikes 4 ja artikli 20 lõikes 3 sätestatud talitluskindluse nõudeid.</w:t>
      </w:r>
    </w:p>
    <w:p w14:paraId="704104E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Vahelduvvooluühendusega energiapargimoodulite suhtes kohaldatakse artikli 14 lõike 3 punktis a ja artikli 16 lõike 3 punktis a sätestatud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nõudeid.</w:t>
      </w:r>
    </w:p>
    <w:p w14:paraId="09659405"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27</w:t>
      </w:r>
    </w:p>
    <w:p w14:paraId="18EC3A9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Vahelduvvooluühendusega avamere energiapargimoodulite suhtes kohaldatavad süsteemi taastamise nõuded</w:t>
      </w:r>
    </w:p>
    <w:p w14:paraId="3990843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Vahelduvvooluühendusega energiapargimoodulite suhtes kohaldatakse artikli 14 lõikes 4 ja artikli 15 lõikes 5 sätestatud süsteemi taastamise nõudeid.</w:t>
      </w:r>
    </w:p>
    <w:p w14:paraId="782D88F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28</w:t>
      </w:r>
    </w:p>
    <w:p w14:paraId="05EBB0F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lastRenderedPageBreak/>
        <w:t>Vahelduvvooluühendusega avamere energiapargimoodulite suhtes kohaldatavad üldised süsteemi juhtimise nõuded</w:t>
      </w:r>
    </w:p>
    <w:p w14:paraId="3DF1A42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Vahelduvvooluühendusega energiapargimoodulite suhtes kohaldatakse artikli 14 lõikes 5, artikli 15 lõikes 6 ja artikli 16 lõikes 4 sätestatud üldisi süsteemi juhtimise nõudeid.</w:t>
      </w:r>
    </w:p>
    <w:p w14:paraId="7A33B952"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III JAOTIS</w:t>
      </w:r>
    </w:p>
    <w:p w14:paraId="2D59655E"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ÜHENDAMISTAOTLUSE MENETLEMISE KORD</w:t>
      </w:r>
    </w:p>
    <w:p w14:paraId="59929440"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1. PEATÜKK</w:t>
      </w:r>
    </w:p>
    <w:p w14:paraId="674E3191"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Uute tootmismoodulite ühendamine</w:t>
      </w:r>
    </w:p>
    <w:p w14:paraId="3DD06B1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29</w:t>
      </w:r>
    </w:p>
    <w:p w14:paraId="7FA9C611"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Üldsätted</w:t>
      </w:r>
      <w:proofErr w:type="spellEnd"/>
    </w:p>
    <w:p w14:paraId="2F20838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omanik peab tõendama asjaomasele võrguettevõtjale, et ta on täitnud kõik käesoleva määruse II jaotises esitatud nõuded, järgides iga tootmismooduli puhul ühendamistaotluse menetlemise korda, mida on kirjeldatud artiklites 30–37.</w:t>
      </w:r>
    </w:p>
    <w:p w14:paraId="0D625D3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Asjaomane võrguettevõtja peab tegema avalikkusele kättesaadavaks ühendamistaotluse menetlemise korra ja selgitama seda.</w:t>
      </w:r>
    </w:p>
    <w:p w14:paraId="119E969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30</w:t>
      </w:r>
    </w:p>
    <w:p w14:paraId="0C030A20"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A-tüüpi tootmismoodulite ühendamistaotluse menetlemise kord</w:t>
      </w:r>
    </w:p>
    <w:p w14:paraId="6BA8321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Uue A-tüüpi tootmismooduli ühendamistaotluse menetlemise kord hõlmab paigaldamisdokumendi esitamist. Tootmisüksuse omanik peab tagama, et asjaomaselt võrguettevõtjalt saadud paigaldamisdokument oleks nõuetekohaselt täidetud, ja esitab selle võrguettevõtjale. Tootmisüksuse iga tootmismooduli kohta tuleb esitada eraldi paigaldamisdokument.</w:t>
      </w:r>
    </w:p>
    <w:p w14:paraId="2E9736C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Asjaomane võrguettevõtja peab tagama, et kolmandad isikud saaksid esitada nõutud teavet tootmisüksuse omaniku nimel.</w:t>
      </w:r>
    </w:p>
    <w:p w14:paraId="7A1CA18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Asjaomane võrguettevõtja peab kindlaks määrama paigaldamisdokumendil esitatava teabe, mis peab sisaldama vähemalt järgmist:</w:t>
      </w:r>
    </w:p>
    <w:tbl>
      <w:tblPr>
        <w:tblW w:w="5000" w:type="pct"/>
        <w:tblCellSpacing w:w="0" w:type="dxa"/>
        <w:tblCellMar>
          <w:left w:w="0" w:type="dxa"/>
          <w:right w:w="0" w:type="dxa"/>
        </w:tblCellMar>
        <w:tblLook w:val="04A0" w:firstRow="1" w:lastRow="0" w:firstColumn="1" w:lastColumn="0" w:noHBand="0" w:noVBand="1"/>
      </w:tblPr>
      <w:tblGrid>
        <w:gridCol w:w="654"/>
        <w:gridCol w:w="8796"/>
      </w:tblGrid>
      <w:tr w:rsidR="008E1A17" w:rsidRPr="004D5219" w14:paraId="4FF7560A" w14:textId="77777777" w:rsidTr="008E1A17">
        <w:trPr>
          <w:tblCellSpacing w:w="0" w:type="dxa"/>
        </w:trPr>
        <w:tc>
          <w:tcPr>
            <w:tcW w:w="0" w:type="auto"/>
            <w:hideMark/>
          </w:tcPr>
          <w:p w14:paraId="376E2F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90E2D9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ühenduskoha paiknemine;</w:t>
            </w:r>
          </w:p>
        </w:tc>
      </w:tr>
    </w:tbl>
    <w:p w14:paraId="5EAC9E3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873"/>
        <w:gridCol w:w="8577"/>
      </w:tblGrid>
      <w:tr w:rsidR="008E1A17" w:rsidRPr="004D5219" w14:paraId="3371EB37" w14:textId="77777777" w:rsidTr="008E1A17">
        <w:trPr>
          <w:tblCellSpacing w:w="0" w:type="dxa"/>
        </w:trPr>
        <w:tc>
          <w:tcPr>
            <w:tcW w:w="0" w:type="auto"/>
            <w:hideMark/>
          </w:tcPr>
          <w:p w14:paraId="1F3E82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C340A0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ühendamise tähtaeg;</w:t>
            </w:r>
          </w:p>
        </w:tc>
      </w:tr>
    </w:tbl>
    <w:p w14:paraId="34595EB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75"/>
        <w:gridCol w:w="8975"/>
      </w:tblGrid>
      <w:tr w:rsidR="008E1A17" w:rsidRPr="004D5219" w14:paraId="61D9BC69" w14:textId="77777777" w:rsidTr="008E1A17">
        <w:trPr>
          <w:tblCellSpacing w:w="0" w:type="dxa"/>
        </w:trPr>
        <w:tc>
          <w:tcPr>
            <w:tcW w:w="0" w:type="auto"/>
            <w:hideMark/>
          </w:tcPr>
          <w:p w14:paraId="6392919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8E8B0F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paigaldise maksimumvõimsus [kW];</w:t>
            </w:r>
          </w:p>
        </w:tc>
      </w:tr>
    </w:tbl>
    <w:p w14:paraId="791DE95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18"/>
        <w:gridCol w:w="8732"/>
      </w:tblGrid>
      <w:tr w:rsidR="008E1A17" w:rsidRPr="004D5219" w14:paraId="623A3964" w14:textId="77777777" w:rsidTr="008E1A17">
        <w:trPr>
          <w:tblCellSpacing w:w="0" w:type="dxa"/>
        </w:trPr>
        <w:tc>
          <w:tcPr>
            <w:tcW w:w="0" w:type="auto"/>
            <w:hideMark/>
          </w:tcPr>
          <w:p w14:paraId="0B8D058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3C1A910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primaarenergiaallika</w:t>
            </w:r>
            <w:proofErr w:type="spellEnd"/>
            <w:r w:rsidRPr="004D5219">
              <w:rPr>
                <w:rFonts w:ascii="inherit" w:eastAsia="Times New Roman" w:hAnsi="inherit" w:cs="Times New Roman"/>
                <w:sz w:val="24"/>
                <w:szCs w:val="24"/>
                <w:lang w:val="et-EE" w:bidi="ar-SA"/>
              </w:rPr>
              <w:t xml:space="preserve"> liik;</w:t>
            </w:r>
          </w:p>
        </w:tc>
      </w:tr>
    </w:tbl>
    <w:p w14:paraId="6EB8A39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820AD8B" w14:textId="77777777" w:rsidTr="008E1A17">
        <w:trPr>
          <w:tblCellSpacing w:w="0" w:type="dxa"/>
        </w:trPr>
        <w:tc>
          <w:tcPr>
            <w:tcW w:w="0" w:type="auto"/>
            <w:hideMark/>
          </w:tcPr>
          <w:p w14:paraId="3C68D82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1D3868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liigitus kujunemisjärgus tehnika hulka vastavalt käesoleva määruse VI jaotisele;</w:t>
            </w:r>
          </w:p>
        </w:tc>
      </w:tr>
    </w:tbl>
    <w:p w14:paraId="38AE7C1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75"/>
        <w:gridCol w:w="9275"/>
      </w:tblGrid>
      <w:tr w:rsidR="008E1A17" w:rsidRPr="00A2039D" w14:paraId="707C11DD" w14:textId="77777777" w:rsidTr="008E1A17">
        <w:trPr>
          <w:tblCellSpacing w:w="0" w:type="dxa"/>
        </w:trPr>
        <w:tc>
          <w:tcPr>
            <w:tcW w:w="0" w:type="auto"/>
            <w:hideMark/>
          </w:tcPr>
          <w:p w14:paraId="18DB935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3AAF41C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viide volitatud </w:t>
            </w:r>
            <w:proofErr w:type="spellStart"/>
            <w:r w:rsidRPr="004D5219">
              <w:rPr>
                <w:rFonts w:ascii="inherit" w:eastAsia="Times New Roman" w:hAnsi="inherit" w:cs="Times New Roman"/>
                <w:sz w:val="24"/>
                <w:szCs w:val="24"/>
                <w:lang w:val="et-EE" w:bidi="ar-SA"/>
              </w:rPr>
              <w:t>sertifitseerija</w:t>
            </w:r>
            <w:proofErr w:type="spellEnd"/>
            <w:r w:rsidRPr="004D5219">
              <w:rPr>
                <w:rFonts w:ascii="inherit" w:eastAsia="Times New Roman" w:hAnsi="inherit" w:cs="Times New Roman"/>
                <w:sz w:val="24"/>
                <w:szCs w:val="24"/>
                <w:lang w:val="et-EE" w:bidi="ar-SA"/>
              </w:rPr>
              <w:t xml:space="preserve"> väljaantud tõenditele paigaldises kasutatud seadmete kohta;</w:t>
            </w:r>
          </w:p>
        </w:tc>
      </w:tr>
    </w:tbl>
    <w:p w14:paraId="62C6348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01BE8E3" w14:textId="77777777" w:rsidTr="008E1A17">
        <w:trPr>
          <w:tblCellSpacing w:w="0" w:type="dxa"/>
        </w:trPr>
        <w:tc>
          <w:tcPr>
            <w:tcW w:w="0" w:type="auto"/>
            <w:hideMark/>
          </w:tcPr>
          <w:p w14:paraId="68DB33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w:t>
            </w:r>
          </w:p>
        </w:tc>
        <w:tc>
          <w:tcPr>
            <w:tcW w:w="0" w:type="auto"/>
            <w:hideMark/>
          </w:tcPr>
          <w:p w14:paraId="3C5C68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seadmete puhul, mille kohta tõendit ei ole saadud, tuleb teave esitada võrguettevõtjalt saadud juhiste kohaselt, ning</w:t>
            </w:r>
          </w:p>
        </w:tc>
      </w:tr>
    </w:tbl>
    <w:p w14:paraId="09C21C0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93"/>
        <w:gridCol w:w="9157"/>
      </w:tblGrid>
      <w:tr w:rsidR="008E1A17" w:rsidRPr="00A2039D" w14:paraId="2B57FF59" w14:textId="77777777" w:rsidTr="008E1A17">
        <w:trPr>
          <w:tblCellSpacing w:w="0" w:type="dxa"/>
        </w:trPr>
        <w:tc>
          <w:tcPr>
            <w:tcW w:w="0" w:type="auto"/>
            <w:hideMark/>
          </w:tcPr>
          <w:p w14:paraId="76BA81B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h)</w:t>
            </w:r>
          </w:p>
        </w:tc>
        <w:tc>
          <w:tcPr>
            <w:tcW w:w="0" w:type="auto"/>
            <w:hideMark/>
          </w:tcPr>
          <w:p w14:paraId="6C0F8B1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tootmisüksuse omaniku ja </w:t>
            </w:r>
            <w:proofErr w:type="spellStart"/>
            <w:r w:rsidRPr="004D5219">
              <w:rPr>
                <w:rFonts w:ascii="inherit" w:eastAsia="Times New Roman" w:hAnsi="inherit" w:cs="Times New Roman"/>
                <w:sz w:val="24"/>
                <w:szCs w:val="24"/>
                <w:lang w:val="et-EE" w:bidi="ar-SA"/>
              </w:rPr>
              <w:t>paigaldaja</w:t>
            </w:r>
            <w:proofErr w:type="spellEnd"/>
            <w:r w:rsidRPr="004D5219">
              <w:rPr>
                <w:rFonts w:ascii="inherit" w:eastAsia="Times New Roman" w:hAnsi="inherit" w:cs="Times New Roman"/>
                <w:sz w:val="24"/>
                <w:szCs w:val="24"/>
                <w:lang w:val="et-EE" w:bidi="ar-SA"/>
              </w:rPr>
              <w:t xml:space="preserve"> kontaktandmed ja allkirjad.</w:t>
            </w:r>
          </w:p>
        </w:tc>
      </w:tr>
    </w:tbl>
    <w:p w14:paraId="69EBB4E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Tootmisüksuse omanik peab tagama, et asjaomasele võrguettevõtjale või liikmesriigi pädevale asutusele teatataks vastavalt riiklikele õigusaktidele paigaldise lõplikult kasutuselt kõrvaldamisest.</w:t>
      </w:r>
    </w:p>
    <w:p w14:paraId="1287C4E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Asjaomane võrguettevõtja peab tagama, et sellise teate võib esitada ka kolmas isik, sealhulgas </w:t>
      </w:r>
      <w:proofErr w:type="spellStart"/>
      <w:r w:rsidRPr="004D5219">
        <w:rPr>
          <w:rFonts w:ascii="inherit" w:eastAsia="Times New Roman" w:hAnsi="inherit" w:cs="Times New Roman"/>
          <w:color w:val="000000"/>
          <w:sz w:val="24"/>
          <w:szCs w:val="24"/>
          <w:lang w:val="et-EE" w:bidi="ar-SA"/>
        </w:rPr>
        <w:t>agregaatorid</w:t>
      </w:r>
      <w:proofErr w:type="spellEnd"/>
      <w:r w:rsidRPr="004D5219">
        <w:rPr>
          <w:rFonts w:ascii="inherit" w:eastAsia="Times New Roman" w:hAnsi="inherit" w:cs="Times New Roman"/>
          <w:color w:val="000000"/>
          <w:sz w:val="24"/>
          <w:szCs w:val="24"/>
          <w:lang w:val="et-EE" w:bidi="ar-SA"/>
        </w:rPr>
        <w:t>.</w:t>
      </w:r>
    </w:p>
    <w:p w14:paraId="7D99BA97"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lastRenderedPageBreak/>
        <w:t>Artikkel 31</w:t>
      </w:r>
    </w:p>
    <w:p w14:paraId="0D98298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 C- ja D-tüüpi tootmismoodulite ühendamistaotluse menetlemise kord</w:t>
      </w:r>
    </w:p>
    <w:p w14:paraId="217E888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B-, C- ja D-tüüpi uute tootmismoodulite liitumistaotluse menetlemise kord peab võimaldama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seadmete tõendeid.</w:t>
      </w:r>
    </w:p>
    <w:p w14:paraId="0E492E8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32</w:t>
      </w:r>
    </w:p>
    <w:p w14:paraId="288B292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B-ja C-tüüpi tootmismoodulite ühendamistaotluse menetlemise kord</w:t>
      </w:r>
    </w:p>
    <w:p w14:paraId="7DB62F1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B-ja C-tüüpi uute tootmismoodulite ühendamistaotluse tegemiseks peab tootmisüksuse omanik esitama asjaomasele võrguettevõtjale tootmismooduli dokumendi ja lisama nõuetele vastavuse kinnituse.</w:t>
      </w:r>
    </w:p>
    <w:p w14:paraId="51390CC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Tootmisüksuse iga tootmismooduli kohta tuleb esitada eraldi tootmismooduli dokument.</w:t>
      </w:r>
    </w:p>
    <w:p w14:paraId="14ABE12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Asjaomane võrguettevõtja määrab kindlaks, millisel kujul tootmismooduli dokument tuleb esitada ja millist teavet see peab sisaldama. Asjaomasel võrguettevõtjal on õigus nõuda, et tootmismooduli omanik esitaks tootmismooduli dokumendis järgmise: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CE70AD4" w14:textId="77777777" w:rsidTr="008E1A17">
        <w:trPr>
          <w:tblCellSpacing w:w="0" w:type="dxa"/>
        </w:trPr>
        <w:tc>
          <w:tcPr>
            <w:tcW w:w="0" w:type="auto"/>
            <w:hideMark/>
          </w:tcPr>
          <w:p w14:paraId="20EA154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F3EF26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tõend lepingu kohta asjaomase võrguettevõtja ja tootmisüksuse omaniku vahel, millega sätestatakse ühenduspunkti kaitse ja juhtimisseadistused;</w:t>
            </w:r>
          </w:p>
        </w:tc>
      </w:tr>
    </w:tbl>
    <w:p w14:paraId="0697289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15"/>
        <w:gridCol w:w="8835"/>
      </w:tblGrid>
      <w:tr w:rsidR="008E1A17" w:rsidRPr="004D5219" w14:paraId="2DB81642" w14:textId="77777777" w:rsidTr="008E1A17">
        <w:trPr>
          <w:tblCellSpacing w:w="0" w:type="dxa"/>
        </w:trPr>
        <w:tc>
          <w:tcPr>
            <w:tcW w:w="0" w:type="auto"/>
            <w:hideMark/>
          </w:tcPr>
          <w:p w14:paraId="6FFC8D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6BF234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 vastavuskinnitus;</w:t>
            </w:r>
          </w:p>
        </w:tc>
      </w:tr>
    </w:tbl>
    <w:p w14:paraId="0A3AAAC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8A610A8" w14:textId="77777777" w:rsidTr="008E1A17">
        <w:trPr>
          <w:tblCellSpacing w:w="0" w:type="dxa"/>
        </w:trPr>
        <w:tc>
          <w:tcPr>
            <w:tcW w:w="0" w:type="auto"/>
            <w:hideMark/>
          </w:tcPr>
          <w:p w14:paraId="07B78F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81A6BC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võrguettevõtja kindlaks määratud üksikasjalikud tehnilised andmed tootmismooduli kohta, mis on olulised võrguühenduse seisukohast;</w:t>
            </w:r>
          </w:p>
        </w:tc>
      </w:tr>
    </w:tbl>
    <w:p w14:paraId="35D9C29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350BF28" w14:textId="77777777" w:rsidTr="008E1A17">
        <w:trPr>
          <w:tblCellSpacing w:w="0" w:type="dxa"/>
        </w:trPr>
        <w:tc>
          <w:tcPr>
            <w:tcW w:w="0" w:type="auto"/>
            <w:hideMark/>
          </w:tcPr>
          <w:p w14:paraId="7E09FD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6057CC9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volitatud </w:t>
            </w:r>
            <w:proofErr w:type="spellStart"/>
            <w:r w:rsidRPr="004D5219">
              <w:rPr>
                <w:rFonts w:ascii="inherit" w:eastAsia="Times New Roman" w:hAnsi="inherit" w:cs="Times New Roman"/>
                <w:sz w:val="24"/>
                <w:szCs w:val="24"/>
                <w:lang w:val="et-EE" w:bidi="ar-SA"/>
              </w:rPr>
              <w:t>sertifitseerija</w:t>
            </w:r>
            <w:proofErr w:type="spellEnd"/>
            <w:r w:rsidRPr="004D5219">
              <w:rPr>
                <w:rFonts w:ascii="inherit" w:eastAsia="Times New Roman" w:hAnsi="inherit" w:cs="Times New Roman"/>
                <w:sz w:val="24"/>
                <w:szCs w:val="24"/>
                <w:lang w:val="et-EE" w:bidi="ar-SA"/>
              </w:rPr>
              <w:t xml:space="preserve"> välja antud tõendid tootmismooduliga seotud seadmete kohta, kui nendega tõendatakse nõuetele vastavust;</w:t>
            </w:r>
          </w:p>
        </w:tc>
      </w:tr>
    </w:tbl>
    <w:p w14:paraId="6BC2367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3"/>
        <w:gridCol w:w="9257"/>
      </w:tblGrid>
      <w:tr w:rsidR="008E1A17" w:rsidRPr="00A2039D" w14:paraId="3C4A1F26" w14:textId="77777777" w:rsidTr="008E1A17">
        <w:trPr>
          <w:tblCellSpacing w:w="0" w:type="dxa"/>
        </w:trPr>
        <w:tc>
          <w:tcPr>
            <w:tcW w:w="0" w:type="auto"/>
            <w:hideMark/>
          </w:tcPr>
          <w:p w14:paraId="14B1A59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7E2A6A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C-tüüpi tootmismoodulite korral modelleerimismudelid vastavalt artikli 15 lõike 6 punktile c;</w:t>
            </w:r>
          </w:p>
        </w:tc>
      </w:tr>
    </w:tbl>
    <w:p w14:paraId="0299BB2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A2039D" w14:paraId="411CCF1B" w14:textId="77777777" w:rsidTr="008E1A17">
        <w:trPr>
          <w:tblCellSpacing w:w="0" w:type="dxa"/>
        </w:trPr>
        <w:tc>
          <w:tcPr>
            <w:tcW w:w="0" w:type="auto"/>
            <w:hideMark/>
          </w:tcPr>
          <w:p w14:paraId="5EAE033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54BF11D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vastavuskatsete aruanded, millega tõendatakse toimimist sellises püsitalitluses ja dünaamilises talitluses, nagu on sätestatud IV jaotise 2., 3. ja 4. peatükis; aruannetes tuleb esitada katsetes mõõdetud väärtused sellise üksikasjalikkusega, nagu nõuab asjaomane võrguettevõtja, ning</w:t>
            </w:r>
          </w:p>
        </w:tc>
      </w:tr>
    </w:tbl>
    <w:p w14:paraId="094222C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DC9B236" w14:textId="77777777" w:rsidTr="008E1A17">
        <w:trPr>
          <w:tblCellSpacing w:w="0" w:type="dxa"/>
        </w:trPr>
        <w:tc>
          <w:tcPr>
            <w:tcW w:w="0" w:type="auto"/>
            <w:hideMark/>
          </w:tcPr>
          <w:p w14:paraId="493C78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w:t>
            </w:r>
          </w:p>
        </w:tc>
        <w:tc>
          <w:tcPr>
            <w:tcW w:w="0" w:type="auto"/>
            <w:hideMark/>
          </w:tcPr>
          <w:p w14:paraId="2FE84C7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uuringute andmed, millega tõendatakse toimimist sellises püsitalitluses ja dünaamilises talitluses, nagu on sätestatud IV jaotise 5., 6. ja 7. peatükis; andmed tuleb esitada sellise üksikasjalikkusega, nagu nõuab asjaomane võrguettevõtja.</w:t>
            </w:r>
          </w:p>
        </w:tc>
      </w:tr>
    </w:tbl>
    <w:p w14:paraId="3DC6CB0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Asjaomane võrguettevõtja annab tootmisüksuse omanikule lõpliku käiduteate, kui ta on kiitnud heaks täieliku ja piisava tootmismooduli dokumendi.</w:t>
      </w:r>
    </w:p>
    <w:p w14:paraId="0E67F73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Tootmisüksuse omanik peab teatama asjaomasele võrguettevõtjale või liikmesriigi pädevale asutusele, vastavalt riiklikele õigusaktidele, kui paigaldis lõplikult kasutuselt kõrvaldatakse.</w:t>
      </w:r>
    </w:p>
    <w:p w14:paraId="4583650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Vajaduse korral peab asjaomane võrguettevõtja tagama, et B- ja C-tüüpi tootmismoodulite kasutusele võtmise ja kasutuselt kõrvaldamise teate saaks esitada elektrooniliselt.</w:t>
      </w:r>
    </w:p>
    <w:p w14:paraId="5CC8716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6.   Liikmesriigid võivad sätestada, et tootmismooduli dokumendi peab välja andma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w:t>
      </w:r>
    </w:p>
    <w:p w14:paraId="10B423F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33</w:t>
      </w:r>
    </w:p>
    <w:p w14:paraId="69D370A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tootmismoodulite ühendamistaotluse menetlemise kord</w:t>
      </w:r>
    </w:p>
    <w:p w14:paraId="6F956E9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D-tüüpi tootmismooduli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927"/>
        <w:gridCol w:w="8523"/>
      </w:tblGrid>
      <w:tr w:rsidR="008E1A17" w:rsidRPr="004D5219" w14:paraId="3A1D9228" w14:textId="77777777" w:rsidTr="008E1A17">
        <w:trPr>
          <w:tblCellSpacing w:w="0" w:type="dxa"/>
        </w:trPr>
        <w:tc>
          <w:tcPr>
            <w:tcW w:w="0" w:type="auto"/>
            <w:hideMark/>
          </w:tcPr>
          <w:p w14:paraId="52BF777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6579C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pingestamisteade;</w:t>
            </w:r>
          </w:p>
        </w:tc>
      </w:tr>
    </w:tbl>
    <w:p w14:paraId="1B7CE69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75"/>
        <w:gridCol w:w="8675"/>
      </w:tblGrid>
      <w:tr w:rsidR="008E1A17" w:rsidRPr="004D5219" w14:paraId="31766AD0" w14:textId="77777777" w:rsidTr="008E1A17">
        <w:trPr>
          <w:tblCellSpacing w:w="0" w:type="dxa"/>
        </w:trPr>
        <w:tc>
          <w:tcPr>
            <w:tcW w:w="0" w:type="auto"/>
            <w:hideMark/>
          </w:tcPr>
          <w:p w14:paraId="21A620F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D4A96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ajutine käiduteade ning</w:t>
            </w:r>
          </w:p>
        </w:tc>
      </w:tr>
    </w:tbl>
    <w:p w14:paraId="26EC73E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927"/>
        <w:gridCol w:w="8523"/>
      </w:tblGrid>
      <w:tr w:rsidR="008E1A17" w:rsidRPr="004D5219" w14:paraId="76F7E3E4" w14:textId="77777777" w:rsidTr="008E1A17">
        <w:trPr>
          <w:tblCellSpacing w:w="0" w:type="dxa"/>
        </w:trPr>
        <w:tc>
          <w:tcPr>
            <w:tcW w:w="0" w:type="auto"/>
            <w:hideMark/>
          </w:tcPr>
          <w:p w14:paraId="5827EDB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ED75C2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lõplik käiduteade.</w:t>
            </w:r>
          </w:p>
        </w:tc>
      </w:tr>
    </w:tbl>
    <w:p w14:paraId="29F89129"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63E117AE"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06723A38"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1EEE8EDA" w14:textId="4D56651F"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34</w:t>
      </w:r>
    </w:p>
    <w:p w14:paraId="40EAFFC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tootmismoodulite pingestamisteade</w:t>
      </w:r>
    </w:p>
    <w:p w14:paraId="1262A90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Pingestamisteade annab tootmisüksuse omanikule õiguse pingestada oma sisemine võrk ja tootmismooduli omatarbeseadmed, kasutades ühenduspunkti jaoks määratletud võrguühendust.</w:t>
      </w:r>
    </w:p>
    <w:p w14:paraId="6DFADBB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Pingestamisteate annab välja asjaomane võrguettevõtja, kui ettevalmistused on lõpetatud ning asjaomase võrguettevõtja ja tootmisüksuse omaniku vahel on sõlmitud leping, millega sätestatakse ühenduspunkti asjakohased kaitse- ja juhtimisseadistused.</w:t>
      </w:r>
    </w:p>
    <w:p w14:paraId="4BCCC0F8"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35</w:t>
      </w:r>
    </w:p>
    <w:p w14:paraId="0913C5B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tootmismoodulite ajutine käiduteade</w:t>
      </w:r>
    </w:p>
    <w:p w14:paraId="5695766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Ajutine käiduteade annab tootmisüksuse omanikule õiguse toota tootmismooduliga energiat, kasutades võrguühendust piiratud aja jooksul.</w:t>
      </w:r>
    </w:p>
    <w:p w14:paraId="3EEBC3E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Ajutise käiduteate annab välja asjaomane võrguettevõtja, kui käesoleva artikliga nõutud andmed on kogutud ja uuringute läbivaatamine lõpetatud.</w:t>
      </w:r>
    </w:p>
    <w:p w14:paraId="75C74C2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Seoses andmete ja uuringute läbivaatamisega on asjaomasel võrguettevõtjal õigus nõuda tootmisüksuse omanikult järgmist:</w:t>
      </w:r>
    </w:p>
    <w:tbl>
      <w:tblPr>
        <w:tblW w:w="5000" w:type="pct"/>
        <w:tblCellSpacing w:w="0" w:type="dxa"/>
        <w:tblCellMar>
          <w:left w:w="0" w:type="dxa"/>
          <w:right w:w="0" w:type="dxa"/>
        </w:tblCellMar>
        <w:tblLook w:val="04A0" w:firstRow="1" w:lastRow="0" w:firstColumn="1" w:lastColumn="0" w:noHBand="0" w:noVBand="1"/>
      </w:tblPr>
      <w:tblGrid>
        <w:gridCol w:w="577"/>
        <w:gridCol w:w="8873"/>
      </w:tblGrid>
      <w:tr w:rsidR="008E1A17" w:rsidRPr="004D5219" w14:paraId="67133E3C" w14:textId="77777777" w:rsidTr="008E1A17">
        <w:trPr>
          <w:tblCellSpacing w:w="0" w:type="dxa"/>
        </w:trPr>
        <w:tc>
          <w:tcPr>
            <w:tcW w:w="0" w:type="auto"/>
            <w:hideMark/>
          </w:tcPr>
          <w:p w14:paraId="79C09EA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D94231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 vastavuskinnitus;</w:t>
            </w:r>
          </w:p>
        </w:tc>
      </w:tr>
    </w:tbl>
    <w:p w14:paraId="6847810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6C6477E" w14:textId="77777777" w:rsidTr="008E1A17">
        <w:trPr>
          <w:tblCellSpacing w:w="0" w:type="dxa"/>
        </w:trPr>
        <w:tc>
          <w:tcPr>
            <w:tcW w:w="0" w:type="auto"/>
            <w:hideMark/>
          </w:tcPr>
          <w:p w14:paraId="1A2CCAD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36EA5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võrguettevõtja osutatud üksikasjalikud tehnilised andmed tootmismooduli kohta, mis on olulised võrguühenduse seisukohast;</w:t>
            </w:r>
          </w:p>
        </w:tc>
      </w:tr>
    </w:tbl>
    <w:p w14:paraId="7FB16BE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F1CBC39" w14:textId="77777777" w:rsidTr="008E1A17">
        <w:trPr>
          <w:tblCellSpacing w:w="0" w:type="dxa"/>
        </w:trPr>
        <w:tc>
          <w:tcPr>
            <w:tcW w:w="0" w:type="auto"/>
            <w:hideMark/>
          </w:tcPr>
          <w:p w14:paraId="5486B4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ED0E63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volitatud </w:t>
            </w:r>
            <w:proofErr w:type="spellStart"/>
            <w:r w:rsidRPr="004D5219">
              <w:rPr>
                <w:rFonts w:ascii="inherit" w:eastAsia="Times New Roman" w:hAnsi="inherit" w:cs="Times New Roman"/>
                <w:sz w:val="24"/>
                <w:szCs w:val="24"/>
                <w:lang w:val="et-EE" w:bidi="ar-SA"/>
              </w:rPr>
              <w:t>sertifitseerija</w:t>
            </w:r>
            <w:proofErr w:type="spellEnd"/>
            <w:r w:rsidRPr="004D5219">
              <w:rPr>
                <w:rFonts w:ascii="inherit" w:eastAsia="Times New Roman" w:hAnsi="inherit" w:cs="Times New Roman"/>
                <w:sz w:val="24"/>
                <w:szCs w:val="24"/>
                <w:lang w:val="et-EE" w:bidi="ar-SA"/>
              </w:rPr>
              <w:t xml:space="preserve"> välja antud tõendid seadmete kohta, mis on seotud tootmismooduliga, kui nendega tõendatakse nõuetele vastavust;</w:t>
            </w:r>
          </w:p>
        </w:tc>
      </w:tr>
    </w:tbl>
    <w:p w14:paraId="4C6DB44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E8AB879" w14:textId="77777777" w:rsidTr="008E1A17">
        <w:trPr>
          <w:tblCellSpacing w:w="0" w:type="dxa"/>
        </w:trPr>
        <w:tc>
          <w:tcPr>
            <w:tcW w:w="0" w:type="auto"/>
            <w:hideMark/>
          </w:tcPr>
          <w:p w14:paraId="27AA76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5180355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modelleerimismudelid, nagu on täpsustatud artikli 15 lõike 6 punktis c ja nagu nõuab asjaomane võrguettevõtja;</w:t>
            </w:r>
          </w:p>
        </w:tc>
      </w:tr>
    </w:tbl>
    <w:p w14:paraId="6AD3D57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37AA30B" w14:textId="77777777" w:rsidTr="008E1A17">
        <w:trPr>
          <w:tblCellSpacing w:w="0" w:type="dxa"/>
        </w:trPr>
        <w:tc>
          <w:tcPr>
            <w:tcW w:w="0" w:type="auto"/>
            <w:hideMark/>
          </w:tcPr>
          <w:p w14:paraId="5BB047E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14C48DA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uuringute andmed, millega tõendatakse tootmismooduli suutlikkust töötada nii püsi- kui ka dünaamilises talitluses kooskõlas IV jaotise 5., 6. või 7. peatüki nõuetega, ning</w:t>
            </w:r>
          </w:p>
        </w:tc>
      </w:tr>
    </w:tbl>
    <w:p w14:paraId="22CDCE5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92"/>
        <w:gridCol w:w="9258"/>
      </w:tblGrid>
      <w:tr w:rsidR="008E1A17" w:rsidRPr="00A2039D" w14:paraId="01055D74" w14:textId="77777777" w:rsidTr="008E1A17">
        <w:trPr>
          <w:tblCellSpacing w:w="0" w:type="dxa"/>
        </w:trPr>
        <w:tc>
          <w:tcPr>
            <w:tcW w:w="0" w:type="auto"/>
            <w:hideMark/>
          </w:tcPr>
          <w:p w14:paraId="4C7298C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635CFA9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andmed IV jaotise 2., 3. ja 4. peatüki kohaste kavandatud vastavuskatsete kohta.</w:t>
            </w:r>
          </w:p>
        </w:tc>
      </w:tr>
    </w:tbl>
    <w:p w14:paraId="45DED74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Pikim ajavahemik, mille kestel tootmisüksuse omanikul on lubatud ajutise käidu staatust hoida, on 24 kuud. Asjaomasel võrguettevõtjal on õigus kehtestada lühem ajutise käiduteate kehtivusaeg. Ajutise käiduteate kehtivusaega võib pikendada ainult siis, kui tootmisüksuse omanik on teinud olulisi edusamme täieliku vastavuse saavutamiseks. Pikendamise taotlemisel tuleb selgelt esitada veel lahendamata küsimused.</w:t>
      </w:r>
    </w:p>
    <w:p w14:paraId="10F571C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Lõikes 4 sätestatud ajutise käiduteate kehtivusaja pikendamist võib lubada, kui sellise erandi taotlus on esitatud asjaomasele võrguettevõtjale artiklis 60 sätestatud erandi menetluse kohaselt, ja enne ajutise käiduteate kehtivusaja lõppemist.</w:t>
      </w:r>
    </w:p>
    <w:p w14:paraId="33197F1C"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36</w:t>
      </w:r>
    </w:p>
    <w:p w14:paraId="742E1D0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tootmismoodulite lõplik käiduteade</w:t>
      </w:r>
    </w:p>
    <w:p w14:paraId="281C76C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Lõplik käiduteade annab tootmisüksuse omanikule õiguse käitada tootmismoodulit, kasutades võrguühendust.</w:t>
      </w:r>
    </w:p>
    <w:p w14:paraId="6706679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2.   Lõpliku käiduteate annab välja asjaomane võrguettevõtja, kui on kõrvaldatud kõik ajutise käidu staatuses ilmnenud mittevastavused ning kui on läbi vaadatud andmed ja uuringud, nagu on sätestatud käesolevas artiklis.</w:t>
      </w:r>
    </w:p>
    <w:p w14:paraId="7BC20DB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Seoses andmete ja uuringute läbivaatamisega peab tootmisüksuse omanik esitama asjaomasele võrguettevõtjale:</w:t>
      </w:r>
    </w:p>
    <w:tbl>
      <w:tblPr>
        <w:tblW w:w="5000" w:type="pct"/>
        <w:tblCellSpacing w:w="0" w:type="dxa"/>
        <w:tblCellMar>
          <w:left w:w="0" w:type="dxa"/>
          <w:right w:w="0" w:type="dxa"/>
        </w:tblCellMar>
        <w:tblLook w:val="04A0" w:firstRow="1" w:lastRow="0" w:firstColumn="1" w:lastColumn="0" w:noHBand="0" w:noVBand="1"/>
      </w:tblPr>
      <w:tblGrid>
        <w:gridCol w:w="477"/>
        <w:gridCol w:w="8973"/>
      </w:tblGrid>
      <w:tr w:rsidR="008E1A17" w:rsidRPr="004D5219" w14:paraId="04E77915" w14:textId="77777777" w:rsidTr="008E1A17">
        <w:trPr>
          <w:tblCellSpacing w:w="0" w:type="dxa"/>
        </w:trPr>
        <w:tc>
          <w:tcPr>
            <w:tcW w:w="0" w:type="auto"/>
            <w:hideMark/>
          </w:tcPr>
          <w:p w14:paraId="5E95D05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46795B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üksikasjaliku vastavuskinnituse ning</w:t>
            </w:r>
          </w:p>
        </w:tc>
      </w:tr>
    </w:tbl>
    <w:p w14:paraId="3F1CC7D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1F90919" w14:textId="77777777" w:rsidTr="008E1A17">
        <w:trPr>
          <w:tblCellSpacing w:w="0" w:type="dxa"/>
        </w:trPr>
        <w:tc>
          <w:tcPr>
            <w:tcW w:w="0" w:type="auto"/>
            <w:hideMark/>
          </w:tcPr>
          <w:p w14:paraId="4E2A3E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5A690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ajakohastatud asjakohased tehnilised andmed, modelleerimismudelid ja uuringud, millele on osutatud artikli 35 lõike 3 punktides b, d ja e, sealhulgas kasutades katsetes mõõdetud väärtusi.</w:t>
            </w:r>
          </w:p>
        </w:tc>
      </w:tr>
    </w:tbl>
    <w:p w14:paraId="69DEC4B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Kui lõpliku käiduteate väljaandmisega seoses on ilmnenud ebakõla, võib lubada erandi asjaomasele võrguettevõtjale esitatud taotluse alusel vastavalt V jaotises kirjeldatud erandi menetlusele. Lõpliku käiduteate annab välja asjaomane võrguettevõtja siis, kui tootmismoodul vastab erandi sätetele.</w:t>
      </w:r>
    </w:p>
    <w:p w14:paraId="222EA3D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Kui eranditaotlus lükatakse tagasi, on asjaomasel võrguettevõtjal õigus keelduda lubamast tootmismoodulil töötada, kuni tootmisüksuse omanik ja asjaomane võrguettevõtja on lahendanud ebakõlad ning asjaomane võrguettevõtja leiab, et tootmismoodul vastab käesoleva määruse sätetele.</w:t>
      </w:r>
    </w:p>
    <w:p w14:paraId="72510BE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Kui asjaomane võrguettevõtja ja tootmisüksuse omanik ei jõua ebakõla puhul lahenduseni mõistliku aja jooksul, kuid igal juhul hiljemalt kuus kuud pärast eranditaotluse tagasilükkamist, võib kumbki lepinguosaline suunata küsimuse otsustamiseks reguleerivale asutusele.</w:t>
      </w:r>
    </w:p>
    <w:p w14:paraId="2A42AD15"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37</w:t>
      </w:r>
    </w:p>
    <w:p w14:paraId="5AF6C46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tootmismoodulite piiratud käidu teade</w:t>
      </w:r>
    </w:p>
    <w:p w14:paraId="47D8E7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omanikud, kellele on antud lõplik käiduteade, peavad asjaomast võrguettevõtjat teavitama kohe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F91D9C6" w14:textId="77777777" w:rsidTr="008E1A17">
        <w:trPr>
          <w:tblCellSpacing w:w="0" w:type="dxa"/>
        </w:trPr>
        <w:tc>
          <w:tcPr>
            <w:tcW w:w="0" w:type="auto"/>
            <w:hideMark/>
          </w:tcPr>
          <w:p w14:paraId="6746406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D213F9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tootmisüksuses tehakse ajutiselt oluline muudatus või on kadunud suutlikkus ja see mõjutab seadme talitlust või</w:t>
            </w:r>
          </w:p>
        </w:tc>
      </w:tr>
    </w:tbl>
    <w:p w14:paraId="295C712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236"/>
      </w:tblGrid>
      <w:tr w:rsidR="008E1A17" w:rsidRPr="00A2039D" w14:paraId="32659613" w14:textId="77777777" w:rsidTr="008E1A17">
        <w:trPr>
          <w:tblCellSpacing w:w="0" w:type="dxa"/>
        </w:trPr>
        <w:tc>
          <w:tcPr>
            <w:tcW w:w="0" w:type="auto"/>
            <w:hideMark/>
          </w:tcPr>
          <w:p w14:paraId="5A6E829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C93EFD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ilmnenud seadme tõrge, mille tõttu on tekkinud mittevastavus teatud oluliste nõuetega.</w:t>
            </w:r>
          </w:p>
        </w:tc>
      </w:tr>
    </w:tbl>
    <w:p w14:paraId="7E3B37D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Tootmisüksuse omanik peab taotlema asjaomaselt võrguettevõtjalt piiratud käidu teadet, kui tootmisüksuse omanikul on põhjust arvata, et lõikes 1 kirjeldatud asjaolud vältavad kauem kui kolm kuud.</w:t>
      </w:r>
    </w:p>
    <w:p w14:paraId="40DACE6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Piiratud käidu teate annab välja asjaomane võrguettevõtja ja see peab sisaldama järgmist teavet, mis peab olema selgelt kindlaks tehtav:</w:t>
      </w:r>
    </w:p>
    <w:tbl>
      <w:tblPr>
        <w:tblW w:w="5000" w:type="pct"/>
        <w:tblCellSpacing w:w="0" w:type="dxa"/>
        <w:tblCellMar>
          <w:left w:w="0" w:type="dxa"/>
          <w:right w:w="0" w:type="dxa"/>
        </w:tblCellMar>
        <w:tblLook w:val="04A0" w:firstRow="1" w:lastRow="0" w:firstColumn="1" w:lastColumn="0" w:noHBand="0" w:noVBand="1"/>
      </w:tblPr>
      <w:tblGrid>
        <w:gridCol w:w="241"/>
        <w:gridCol w:w="9209"/>
      </w:tblGrid>
      <w:tr w:rsidR="008E1A17" w:rsidRPr="00A2039D" w14:paraId="29F9E1C3" w14:textId="77777777" w:rsidTr="008E1A17">
        <w:trPr>
          <w:tblCellSpacing w:w="0" w:type="dxa"/>
        </w:trPr>
        <w:tc>
          <w:tcPr>
            <w:tcW w:w="0" w:type="auto"/>
            <w:hideMark/>
          </w:tcPr>
          <w:p w14:paraId="252D63B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958427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lahendamata küsimused, mis õigustavad piiratud käidu teate väljaandmist;</w:t>
            </w:r>
          </w:p>
        </w:tc>
      </w:tr>
    </w:tbl>
    <w:p w14:paraId="7256C13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86"/>
        <w:gridCol w:w="9064"/>
      </w:tblGrid>
      <w:tr w:rsidR="008E1A17" w:rsidRPr="00A2039D" w14:paraId="3C03A2BC" w14:textId="77777777" w:rsidTr="008E1A17">
        <w:trPr>
          <w:tblCellSpacing w:w="0" w:type="dxa"/>
        </w:trPr>
        <w:tc>
          <w:tcPr>
            <w:tcW w:w="0" w:type="auto"/>
            <w:hideMark/>
          </w:tcPr>
          <w:p w14:paraId="053F50D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90D3DA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kohustused ja ajakava lahenduse leidmiseks ning</w:t>
            </w:r>
          </w:p>
        </w:tc>
      </w:tr>
    </w:tbl>
    <w:p w14:paraId="7286E96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BC08D2A" w14:textId="77777777" w:rsidTr="008E1A17">
        <w:trPr>
          <w:tblCellSpacing w:w="0" w:type="dxa"/>
        </w:trPr>
        <w:tc>
          <w:tcPr>
            <w:tcW w:w="0" w:type="auto"/>
            <w:hideMark/>
          </w:tcPr>
          <w:p w14:paraId="3CB5E05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86CA9F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maksimumkehtivusaeg, mis ei tohi olla üle 12 kuu. Esialgu võib anda lühema kehtivusaja, mida on võimalik pikendada, kui asjaomasele võrguettevõtjale esitatakse rahuldavad tõendid, mis näitavad, et on tehtud olulisi edusamme täieliku vastavuse saavutamiseks.</w:t>
            </w:r>
          </w:p>
        </w:tc>
      </w:tr>
    </w:tbl>
    <w:p w14:paraId="54F485C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Lõplik käiduteade tuleb peatada piiratud käidu teate kehtivusajaks seoses nende küsimustega, mille pärast on piiratud käidu teade välja antud.</w:t>
      </w:r>
    </w:p>
    <w:p w14:paraId="43BE324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Piiratud käidu teate edasise pikendamise võib lubada eranditaotluse korral, mis on esitatud asjaomasele võrguettevõtjale enne piiratud käidu teate aegumist, vastavalt V jaotises kirjeldatud erandite lubamise korrale.</w:t>
      </w:r>
    </w:p>
    <w:p w14:paraId="729BFD6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Asjaomasel võrguettevõtjal on õigus keelata tootmismooduli talitlus, kui piiratud käidu teade ei ole enam kehtiv. Sellistel juhtudel muutub lõplik käiduteade automaatselt kehtetuks.</w:t>
      </w:r>
    </w:p>
    <w:p w14:paraId="65560F7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7.   Kui asjaomane võrguettevõtja ei pikenda piiratud käidu teate kehtivusaega vastavalt lõikele 5 või kui ta keelab tootmismooduli talitluse, kui piiratud käidu teade ei ole enam kehtiv vastavalt </w:t>
      </w:r>
      <w:r w:rsidRPr="004D5219">
        <w:rPr>
          <w:rFonts w:ascii="inherit" w:eastAsia="Times New Roman" w:hAnsi="inherit" w:cs="Times New Roman"/>
          <w:color w:val="000000"/>
          <w:sz w:val="24"/>
          <w:szCs w:val="24"/>
          <w:lang w:val="et-EE" w:bidi="ar-SA"/>
        </w:rPr>
        <w:lastRenderedPageBreak/>
        <w:t>lõikele 6, võib tootmisüksuse omanik suunata küsimuse otsuse tegemiseks reguleerivale asutusele kuue kuu jooksul pärast seda, kui asjaomane võrguettevõtja on otsuse teatavaks teinud.</w:t>
      </w:r>
    </w:p>
    <w:p w14:paraId="3F875A87"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53F99CBD"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319B61F4" w14:textId="46A8C77B"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2. PEATÜKK</w:t>
      </w:r>
    </w:p>
    <w:p w14:paraId="3109A9CE"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Tasuvusanalüüs</w:t>
      </w:r>
    </w:p>
    <w:p w14:paraId="5AC40758"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38</w:t>
      </w:r>
    </w:p>
    <w:p w14:paraId="2D5AAE0F"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Olemasolevate tootmismoodulite suhtes nõuete kohaldamisest tulenevate kulude ja tulude kindlakstegemine</w:t>
      </w:r>
    </w:p>
    <w:p w14:paraId="0AD44F4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Enne iga käesolevas määruses olemasolevate tootmismoodulite kohta sätestatud nõude kohaldamist vastavalt artikli 4 lõikele 3 peab asjaomane põhivõrguettevõtja võrdlema kvalitatiivselt kulusid ja tulusid seoses vaadeldava nõude kohaldamisega. Selles võrdluses tuleb võtta arvesse olemasolevaid võrgupõhiseid või turupõhiseid alternatiive. Lõigete 2–5 kohase kvantitatiivse tasuvusanalüüsi võib asjaomane põhivõrguettevõtja teha üksnes siis, kui kvalitatiivne võrdlus näitab, et tulu tõenäoliselt ületab kulu. Kui hinnanguliselt on kulud liiga suured või kasu liiga väike, ei tohi asjaomane põhivõrguettevõtja jätkata.</w:t>
      </w:r>
    </w:p>
    <w:p w14:paraId="0DF29B8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Pärast lõike 1 kohast ettevalmistavat järku peab asjaomane põhivõrguettevõtja tegema kvantitatiivse tasuvusanalüüsi iga sellise nõude kohaldamise kohta olemasolevate tootmismoodulite suhtes, mille puhul on ettevalmistavas etapis lõike 1 kohaselt saadud tulemuseks tasuvus.</w:t>
      </w:r>
    </w:p>
    <w:p w14:paraId="2F466FF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Kolme kuu jooksul pärast tasuvusanalüüsi valmimist peab asjaomane põhivõrguettevõtja esitama järeldused aruandes,</w:t>
      </w:r>
    </w:p>
    <w:tbl>
      <w:tblPr>
        <w:tblW w:w="5000" w:type="pct"/>
        <w:tblCellSpacing w:w="0" w:type="dxa"/>
        <w:tblCellMar>
          <w:left w:w="0" w:type="dxa"/>
          <w:right w:w="0" w:type="dxa"/>
        </w:tblCellMar>
        <w:tblLook w:val="04A0" w:firstRow="1" w:lastRow="0" w:firstColumn="1" w:lastColumn="0" w:noHBand="0" w:noVBand="1"/>
      </w:tblPr>
      <w:tblGrid>
        <w:gridCol w:w="260"/>
        <w:gridCol w:w="9190"/>
      </w:tblGrid>
      <w:tr w:rsidR="008E1A17" w:rsidRPr="00A2039D" w14:paraId="7C6FB482" w14:textId="77777777" w:rsidTr="008E1A17">
        <w:trPr>
          <w:tblCellSpacing w:w="0" w:type="dxa"/>
        </w:trPr>
        <w:tc>
          <w:tcPr>
            <w:tcW w:w="0" w:type="auto"/>
            <w:hideMark/>
          </w:tcPr>
          <w:p w14:paraId="3C4298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1CFD0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milles tuleb esitada tasuvusanalüüs ja soovitus, kuidas edasi toimida;</w:t>
            </w:r>
          </w:p>
        </w:tc>
      </w:tr>
    </w:tbl>
    <w:p w14:paraId="646CE67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ED165B3" w14:textId="77777777" w:rsidTr="008E1A17">
        <w:trPr>
          <w:tblCellSpacing w:w="0" w:type="dxa"/>
        </w:trPr>
        <w:tc>
          <w:tcPr>
            <w:tcW w:w="0" w:type="auto"/>
            <w:hideMark/>
          </w:tcPr>
          <w:p w14:paraId="40D284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733F1D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milles tuleb esitada sellise üleminekuperioodi ettepanek, mille järel nõuet hakatakse kohaldama olemasoleva tootmismooduli suhtes. Üleminekuperiood ei tohi kesta kauem kui kaks aastat pärast reguleeriva asutuse otsust nõude kohaldamise kohta;</w:t>
            </w:r>
          </w:p>
        </w:tc>
      </w:tr>
    </w:tbl>
    <w:p w14:paraId="52375E6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6"/>
        <w:gridCol w:w="9144"/>
      </w:tblGrid>
      <w:tr w:rsidR="008E1A17" w:rsidRPr="00A2039D" w14:paraId="0FA7B25C" w14:textId="77777777" w:rsidTr="008E1A17">
        <w:trPr>
          <w:tblCellSpacing w:w="0" w:type="dxa"/>
        </w:trPr>
        <w:tc>
          <w:tcPr>
            <w:tcW w:w="0" w:type="auto"/>
            <w:hideMark/>
          </w:tcPr>
          <w:p w14:paraId="312CFE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6290B6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mille kohta peetakse avalik arutelu kooskõlas artikliga 10.</w:t>
            </w:r>
          </w:p>
        </w:tc>
      </w:tr>
    </w:tbl>
    <w:p w14:paraId="2F72268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4.   Hiljemalt kuus kuud pärast avalikku arutelu peab asjaomane põhivõrguettevõtja koostama arutelu tulemuste aruande ja tegema ettepaneku vaadeldava nõude </w:t>
      </w:r>
      <w:proofErr w:type="spellStart"/>
      <w:r w:rsidRPr="004D5219">
        <w:rPr>
          <w:rFonts w:ascii="inherit" w:eastAsia="Times New Roman" w:hAnsi="inherit" w:cs="Times New Roman"/>
          <w:color w:val="000000"/>
          <w:sz w:val="24"/>
          <w:szCs w:val="24"/>
          <w:lang w:val="et-EE" w:bidi="ar-SA"/>
        </w:rPr>
        <w:t>kohaldatavuse</w:t>
      </w:r>
      <w:proofErr w:type="spellEnd"/>
      <w:r w:rsidRPr="004D5219">
        <w:rPr>
          <w:rFonts w:ascii="inherit" w:eastAsia="Times New Roman" w:hAnsi="inherit" w:cs="Times New Roman"/>
          <w:color w:val="000000"/>
          <w:sz w:val="24"/>
          <w:szCs w:val="24"/>
          <w:lang w:val="et-EE" w:bidi="ar-SA"/>
        </w:rPr>
        <w:t xml:space="preserve"> kohta olemasolevate tootmismoodulite suhtes. Aruandest ja ettepanekust tuleb teatada reguleerivale asutusele või, kui see on kohaldatav, liikmesriigile ning tootmisüksuse omanikule või, kui see on asjakohane, kolmandale isikule ning teatada ettepaneku sisu.</w:t>
      </w:r>
    </w:p>
    <w:p w14:paraId="493CB7D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Ettepanek, mille teeb asjaomane põhivõrguettevõtja reguleerivale asutusele või asjakohasel juhul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209"/>
        <w:gridCol w:w="9241"/>
      </w:tblGrid>
      <w:tr w:rsidR="008E1A17" w:rsidRPr="00A2039D" w14:paraId="08C865A1" w14:textId="77777777" w:rsidTr="008E1A17">
        <w:trPr>
          <w:tblCellSpacing w:w="0" w:type="dxa"/>
        </w:trPr>
        <w:tc>
          <w:tcPr>
            <w:tcW w:w="0" w:type="auto"/>
            <w:hideMark/>
          </w:tcPr>
          <w:p w14:paraId="3966D4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8E01D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menetlus, millega tõendatakse, et olemasoleva tootmisüksuse omanik rakendab nõuet;</w:t>
            </w:r>
          </w:p>
        </w:tc>
      </w:tr>
    </w:tbl>
    <w:p w14:paraId="0AEF916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BCCCE15" w14:textId="77777777" w:rsidTr="008E1A17">
        <w:trPr>
          <w:tblCellSpacing w:w="0" w:type="dxa"/>
        </w:trPr>
        <w:tc>
          <w:tcPr>
            <w:tcW w:w="0" w:type="auto"/>
            <w:hideMark/>
          </w:tcPr>
          <w:p w14:paraId="23A9F3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9FFF7A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üleminekuperiood nõuete rakendamiseks, mille puhul võetakse arvesse tootmismooduli kategooriat, nagu see on määratletud artikli 5 lõikes 2 ja artikli 23 lõikes 3, ning takistusi, mis segavad seadmetes tõhusate muudatuste tegemist või seadmete ümberehitamist.</w:t>
            </w:r>
          </w:p>
        </w:tc>
      </w:tr>
    </w:tbl>
    <w:p w14:paraId="7B0AE49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39</w:t>
      </w:r>
    </w:p>
    <w:p w14:paraId="6BF0D43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Tasuvusanalüüsi koostamise põhimõtted</w:t>
      </w:r>
    </w:p>
    <w:p w14:paraId="110A2DF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1.   Tootmisüksuse omanikud ja jaotusvõrguettevõtjad, sealhulgas suletud jaotusvõrgu ettevõtjad, peavad kaasa aitama tasuvusanalüüsi tegemisel artiklite 38 ja 63 kohaselt ja esitama vajalikud andmed, mida nõuab asjaomane võrguettevõtja või asjaomane põhivõrguettevõtja, kolme kuu jooksul pärast taotluse saamist, kui asjaomase põhivõrguettevõtjaga ei ole kokku lepitud teisiti. Asjaomased põhivõrgu-, jaotusvõrgu- ja suletud jaotusvõrgu ettevõtjad peavad aitama tasuvusanalüüsi ettevalmistamisel tootmisüksuse omanikku või tulevast omanikku, kes hindab võimaliku erandi taotlemist vastavalt artiklile 62, ja esitama tootmisüksuse omanikule või tulevasele omanikule nõutavad andmed kolme kuu jooksul pärast taotluse saamist, kui asjaomase omanikuga või tulevase omanikuga ei ole kokku lepitud teisiti.</w:t>
      </w:r>
    </w:p>
    <w:p w14:paraId="4E91B9B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13B2372D" w14:textId="77777777" w:rsidTr="008E1A17">
        <w:trPr>
          <w:tblCellSpacing w:w="0" w:type="dxa"/>
        </w:trPr>
        <w:tc>
          <w:tcPr>
            <w:tcW w:w="0" w:type="auto"/>
            <w:hideMark/>
          </w:tcPr>
          <w:p w14:paraId="478F68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39C11A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asjaomane võrguettevõtja, tootmisüksuse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46"/>
              <w:gridCol w:w="8617"/>
            </w:tblGrid>
            <w:tr w:rsidR="008E1A17" w:rsidRPr="004D5219" w14:paraId="7A88481C" w14:textId="77777777">
              <w:trPr>
                <w:tblCellSpacing w:w="0" w:type="dxa"/>
              </w:trPr>
              <w:tc>
                <w:tcPr>
                  <w:tcW w:w="0" w:type="auto"/>
                  <w:hideMark/>
                </w:tcPr>
                <w:p w14:paraId="755E6A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22E052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nüüdispuhasväärtus</w:t>
                  </w:r>
                  <w:proofErr w:type="spellEnd"/>
                  <w:r w:rsidRPr="004D5219">
                    <w:rPr>
                      <w:rFonts w:ascii="inherit" w:eastAsia="Times New Roman" w:hAnsi="inherit" w:cs="Times New Roman"/>
                      <w:sz w:val="24"/>
                      <w:szCs w:val="24"/>
                      <w:lang w:val="et-EE" w:bidi="ar-SA"/>
                    </w:rPr>
                    <w:t>;</w:t>
                  </w:r>
                </w:p>
              </w:tc>
            </w:tr>
          </w:tbl>
          <w:p w14:paraId="59435B0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866"/>
              <w:gridCol w:w="8397"/>
            </w:tblGrid>
            <w:tr w:rsidR="008E1A17" w:rsidRPr="004D5219" w14:paraId="4DE7D14D" w14:textId="77777777">
              <w:trPr>
                <w:tblCellSpacing w:w="0" w:type="dxa"/>
              </w:trPr>
              <w:tc>
                <w:tcPr>
                  <w:tcW w:w="0" w:type="auto"/>
                  <w:hideMark/>
                </w:tcPr>
                <w:p w14:paraId="0808C56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53891B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investeeringu tootlus;</w:t>
                  </w:r>
                </w:p>
              </w:tc>
            </w:tr>
          </w:tbl>
          <w:p w14:paraId="5155496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575"/>
              <w:gridCol w:w="7688"/>
            </w:tblGrid>
            <w:tr w:rsidR="008E1A17" w:rsidRPr="004D5219" w14:paraId="28E74B97" w14:textId="77777777">
              <w:trPr>
                <w:tblCellSpacing w:w="0" w:type="dxa"/>
              </w:trPr>
              <w:tc>
                <w:tcPr>
                  <w:tcW w:w="0" w:type="auto"/>
                  <w:hideMark/>
                </w:tcPr>
                <w:p w14:paraId="4FED7A0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646F9D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tootluse määr;</w:t>
                  </w:r>
                </w:p>
              </w:tc>
            </w:tr>
          </w:tbl>
          <w:p w14:paraId="4C4BAEF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783"/>
              <w:gridCol w:w="7480"/>
            </w:tblGrid>
            <w:tr w:rsidR="008E1A17" w:rsidRPr="004D5219" w14:paraId="0AD01F16" w14:textId="77777777">
              <w:trPr>
                <w:tblCellSpacing w:w="0" w:type="dxa"/>
              </w:trPr>
              <w:tc>
                <w:tcPr>
                  <w:tcW w:w="0" w:type="auto"/>
                  <w:hideMark/>
                </w:tcPr>
                <w:p w14:paraId="0E84A5D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11DA9D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tasuvusaeg;</w:t>
                  </w:r>
                </w:p>
              </w:tc>
            </w:tr>
          </w:tbl>
          <w:p w14:paraId="6D45394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6FB749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28F32D0" w14:textId="77777777" w:rsidTr="008E1A17">
        <w:trPr>
          <w:tblCellSpacing w:w="0" w:type="dxa"/>
        </w:trPr>
        <w:tc>
          <w:tcPr>
            <w:tcW w:w="0" w:type="auto"/>
            <w:hideMark/>
          </w:tcPr>
          <w:p w14:paraId="67B59ED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D9CCA2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asjaomane võrguettevõtja, tootmisüksuse omanik või tulevane omanik peab arvutama ka ühiskondliku-majandusliku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166"/>
              <w:gridCol w:w="9084"/>
            </w:tblGrid>
            <w:tr w:rsidR="008E1A17" w:rsidRPr="00A2039D" w14:paraId="5BFFD69D" w14:textId="77777777">
              <w:trPr>
                <w:tblCellSpacing w:w="0" w:type="dxa"/>
              </w:trPr>
              <w:tc>
                <w:tcPr>
                  <w:tcW w:w="0" w:type="auto"/>
                  <w:hideMark/>
                </w:tcPr>
                <w:p w14:paraId="4304C8C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9988A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muudatusega selle tööea jooksul kaasnevate toitekatkestuste vähenemise tõenäosus;</w:t>
                  </w:r>
                </w:p>
              </w:tc>
            </w:tr>
          </w:tbl>
          <w:p w14:paraId="00D928E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54"/>
              <w:gridCol w:w="8796"/>
            </w:tblGrid>
            <w:tr w:rsidR="008E1A17" w:rsidRPr="00A2039D" w14:paraId="271BDCA6" w14:textId="77777777">
              <w:trPr>
                <w:tblCellSpacing w:w="0" w:type="dxa"/>
              </w:trPr>
              <w:tc>
                <w:tcPr>
                  <w:tcW w:w="0" w:type="auto"/>
                  <w:hideMark/>
                </w:tcPr>
                <w:p w14:paraId="260377B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E14981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tõenäoline toitekatkestuste ulatus ja kestus;</w:t>
                  </w:r>
                </w:p>
              </w:tc>
            </w:tr>
          </w:tbl>
          <w:p w14:paraId="72EC9B3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29"/>
              <w:gridCol w:w="8721"/>
            </w:tblGrid>
            <w:tr w:rsidR="008E1A17" w:rsidRPr="00A2039D" w14:paraId="4192A4CB" w14:textId="77777777">
              <w:trPr>
                <w:tblCellSpacing w:w="0" w:type="dxa"/>
              </w:trPr>
              <w:tc>
                <w:tcPr>
                  <w:tcW w:w="0" w:type="auto"/>
                  <w:hideMark/>
                </w:tcPr>
                <w:p w14:paraId="7A0AFD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2BEECE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selliste toitekatkestuste ühiskondlik kulu tunnis;</w:t>
                  </w:r>
                </w:p>
              </w:tc>
            </w:tr>
          </w:tbl>
          <w:p w14:paraId="31C8E1E7"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A9D0B8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1BAB2A5B" w14:textId="77777777" w:rsidTr="008E1A17">
        <w:trPr>
          <w:tblCellSpacing w:w="0" w:type="dxa"/>
        </w:trPr>
        <w:tc>
          <w:tcPr>
            <w:tcW w:w="0" w:type="auto"/>
            <w:hideMark/>
          </w:tcPr>
          <w:p w14:paraId="05CF720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256C5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asjaomane võrguettevõtja, tootmisüksuse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72"/>
              <w:gridCol w:w="8791"/>
            </w:tblGrid>
            <w:tr w:rsidR="008E1A17" w:rsidRPr="004D5219" w14:paraId="3BDF906E" w14:textId="77777777">
              <w:trPr>
                <w:tblCellSpacing w:w="0" w:type="dxa"/>
              </w:trPr>
              <w:tc>
                <w:tcPr>
                  <w:tcW w:w="0" w:type="auto"/>
                  <w:hideMark/>
                </w:tcPr>
                <w:p w14:paraId="55D507C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898757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sageduskaja;</w:t>
                  </w:r>
                </w:p>
              </w:tc>
            </w:tr>
          </w:tbl>
          <w:p w14:paraId="0AB48DE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57"/>
              <w:gridCol w:w="8506"/>
            </w:tblGrid>
            <w:tr w:rsidR="008E1A17" w:rsidRPr="004D5219" w14:paraId="551BAFEC" w14:textId="77777777">
              <w:trPr>
                <w:tblCellSpacing w:w="0" w:type="dxa"/>
              </w:trPr>
              <w:tc>
                <w:tcPr>
                  <w:tcW w:w="0" w:type="auto"/>
                  <w:hideMark/>
                </w:tcPr>
                <w:p w14:paraId="4BB4846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74820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tasakaalustavad reservid;</w:t>
                  </w:r>
                </w:p>
              </w:tc>
            </w:tr>
          </w:tbl>
          <w:p w14:paraId="2238C75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905"/>
              <w:gridCol w:w="8358"/>
            </w:tblGrid>
            <w:tr w:rsidR="008E1A17" w:rsidRPr="004D5219" w14:paraId="2CE38FE7" w14:textId="77777777">
              <w:trPr>
                <w:tblCellSpacing w:w="0" w:type="dxa"/>
              </w:trPr>
              <w:tc>
                <w:tcPr>
                  <w:tcW w:w="0" w:type="auto"/>
                  <w:hideMark/>
                </w:tcPr>
                <w:p w14:paraId="7744A0A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ED357F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reaktiivvõimsussuutlikkus;</w:t>
                  </w:r>
                </w:p>
              </w:tc>
            </w:tr>
          </w:tbl>
          <w:p w14:paraId="3114689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74"/>
              <w:gridCol w:w="8589"/>
            </w:tblGrid>
            <w:tr w:rsidR="008E1A17" w:rsidRPr="004D5219" w14:paraId="753BCB82" w14:textId="77777777">
              <w:trPr>
                <w:tblCellSpacing w:w="0" w:type="dxa"/>
              </w:trPr>
              <w:tc>
                <w:tcPr>
                  <w:tcW w:w="0" w:type="auto"/>
                  <w:hideMark/>
                </w:tcPr>
                <w:p w14:paraId="76FD09E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64719A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ülekandevõime piiratuse juhtimine;</w:t>
                  </w:r>
                </w:p>
              </w:tc>
            </w:tr>
          </w:tbl>
          <w:p w14:paraId="11FB1F6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085"/>
              <w:gridCol w:w="8178"/>
            </w:tblGrid>
            <w:tr w:rsidR="008E1A17" w:rsidRPr="004D5219" w14:paraId="7C550A54" w14:textId="77777777">
              <w:trPr>
                <w:tblCellSpacing w:w="0" w:type="dxa"/>
              </w:trPr>
              <w:tc>
                <w:tcPr>
                  <w:tcW w:w="0" w:type="auto"/>
                  <w:hideMark/>
                </w:tcPr>
                <w:p w14:paraId="69EFAE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2B05107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kaitsemeetmed;</w:t>
                  </w:r>
                </w:p>
              </w:tc>
            </w:tr>
          </w:tbl>
          <w:p w14:paraId="657A30B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084AB0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778E95F" w14:textId="77777777" w:rsidTr="008E1A17">
        <w:trPr>
          <w:tblCellSpacing w:w="0" w:type="dxa"/>
        </w:trPr>
        <w:tc>
          <w:tcPr>
            <w:tcW w:w="0" w:type="auto"/>
            <w:hideMark/>
          </w:tcPr>
          <w:p w14:paraId="4CA2917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13B4A0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põhivõrguettevõtja peab arvutama kulud, mis tulenevad olemasolevate tootmismoodulite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89"/>
              <w:gridCol w:w="8761"/>
            </w:tblGrid>
            <w:tr w:rsidR="008E1A17" w:rsidRPr="004D5219" w14:paraId="58EA55BA" w14:textId="77777777">
              <w:trPr>
                <w:tblCellSpacing w:w="0" w:type="dxa"/>
              </w:trPr>
              <w:tc>
                <w:tcPr>
                  <w:tcW w:w="0" w:type="auto"/>
                  <w:hideMark/>
                </w:tcPr>
                <w:p w14:paraId="137BA0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8C3C1B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nõude täitmise otsene kulu;</w:t>
                  </w:r>
                </w:p>
              </w:tc>
            </w:tr>
          </w:tbl>
          <w:p w14:paraId="30E7A3C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24"/>
              <w:gridCol w:w="8726"/>
            </w:tblGrid>
            <w:tr w:rsidR="008E1A17" w:rsidRPr="004D5219" w14:paraId="08237100" w14:textId="77777777">
              <w:trPr>
                <w:tblCellSpacing w:w="0" w:type="dxa"/>
              </w:trPr>
              <w:tc>
                <w:tcPr>
                  <w:tcW w:w="0" w:type="auto"/>
                  <w:hideMark/>
                </w:tcPr>
                <w:p w14:paraId="4182CF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526502A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võimaluste kaotamisest tulenev kulu;</w:t>
                  </w:r>
                </w:p>
              </w:tc>
            </w:tr>
          </w:tbl>
          <w:p w14:paraId="52B2C68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503"/>
              <w:gridCol w:w="8747"/>
            </w:tblGrid>
            <w:tr w:rsidR="008E1A17" w:rsidRPr="00A2039D" w14:paraId="01BDAE69" w14:textId="77777777">
              <w:trPr>
                <w:tblCellSpacing w:w="0" w:type="dxa"/>
              </w:trPr>
              <w:tc>
                <w:tcPr>
                  <w:tcW w:w="0" w:type="auto"/>
                  <w:hideMark/>
                </w:tcPr>
                <w:p w14:paraId="2F77AF8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D953FC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hoolduse ja talitluse muutumisest tulenevad kulud.</w:t>
                  </w:r>
                </w:p>
              </w:tc>
            </w:tr>
          </w:tbl>
          <w:p w14:paraId="64D8AD3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1822FA3"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0C78237C"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36A5A355"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0AB204D6"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6C44C28D"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07F914DE"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62E8E6C4"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249DD7AD" w14:textId="79A25020"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IV JAOTIS</w:t>
      </w:r>
    </w:p>
    <w:p w14:paraId="5667CC7B"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NÕUETELE VASTAVUS</w:t>
      </w:r>
    </w:p>
    <w:p w14:paraId="671C7335"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1. PEATÜKK</w:t>
      </w:r>
    </w:p>
    <w:p w14:paraId="497CA101"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Vastavuse järelevalve</w:t>
      </w:r>
    </w:p>
    <w:p w14:paraId="4D397AA7"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40</w:t>
      </w:r>
    </w:p>
    <w:p w14:paraId="312349F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Tootmisüksuse omaniku vastutus</w:t>
      </w:r>
    </w:p>
    <w:p w14:paraId="31D92E6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omanik peab tagama, et kõik tootmismoodulid vastaksid kogu tootmisüksuse tööea vältel käesoleva määruse järgi kohaldatavatele nõuetele. A-tüüpi tootmismoodulite puhul võib tootmisüksuse omanik tugineda seadmete tõenditele, mis on välja antud vastavalt määrusele (EÜ) nr 765/2008.</w:t>
      </w:r>
    </w:p>
    <w:p w14:paraId="73D6A6B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Kui tootmisüksuse omanik kavatseb muuta tootmismooduli tehnilisi näitajaid nii, et see võib mõjutada tootmismooduli vastavust käesoleva määruse nõuetele, peab ta enne muudatuste tegemist teatama asjaomasele võrguettevõtjale.</w:t>
      </w:r>
    </w:p>
    <w:p w14:paraId="0CC6D79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Tootmisüksuse omanik peab teatama põhjendamata viivituseta asjaomasele võrguettevõtjale igast sellisest tootmismooduli talitluses esinenud vahejuhtumist ja rikkest, mis mõjutab tootmismooduli vastavust käesoleva määruse nõuetele.</w:t>
      </w:r>
    </w:p>
    <w:p w14:paraId="434A2B6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Seoses katsetega, millega kontrollitakse tootmismooduli vastavust käesoleva määruse nõuetele, peab tootmisüksuse omanik enne katse alustamist õigel ajal teatama asjaomasele võrguettevõtjale kavandatud katsete ajakava ja käigu. Asjaomane võrguettevõtja peab enne katseid kavandatud katse ajakava ja katse käigu heaks kiitma. Asjaomane võrguettevõtja peab heakskiidu andma õigel ajal ega tohi põhjuseta jätta heakskiitu andmata.</w:t>
      </w:r>
    </w:p>
    <w:p w14:paraId="0F6FDCF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Asjaomane võrguettevõtja võib nimetatud katsetes osaleda ja registreerida tootmismooduli talitluse näitajaid.</w:t>
      </w:r>
    </w:p>
    <w:p w14:paraId="517BF12D"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41</w:t>
      </w:r>
    </w:p>
    <w:p w14:paraId="1AE02D3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Asjaomase võrguettevõtja ülesanded</w:t>
      </w:r>
    </w:p>
    <w:p w14:paraId="2533064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Asjaomane võrguettevõtja peab hindama tootmismooduli vastavust kõigile käesoleva määruse kohaldatavatele nõuetele kogu tootmisüksuse tööea jooksul. Hindamise tulemused tuleb teha teatavaks tootmisüksuse omanikule.</w:t>
      </w:r>
    </w:p>
    <w:p w14:paraId="318471D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A-tüüpi tootmismoodulite puhul võib asjaomane võrguettevõtja sellise hindamise korral tugineda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tõenditele.</w:t>
      </w:r>
    </w:p>
    <w:p w14:paraId="4110FB3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Asjaomasel võrguettevõtjal on õigus taotleda, et tootmisüksuse omanik teeks vastavuskatseid ja modelleerimist korrapärase kava või </w:t>
      </w:r>
      <w:proofErr w:type="spellStart"/>
      <w:r w:rsidRPr="004D5219">
        <w:rPr>
          <w:rFonts w:ascii="inherit" w:eastAsia="Times New Roman" w:hAnsi="inherit" w:cs="Times New Roman"/>
          <w:color w:val="000000"/>
          <w:sz w:val="24"/>
          <w:szCs w:val="24"/>
          <w:lang w:val="et-EE" w:bidi="ar-SA"/>
        </w:rPr>
        <w:t>üldkava</w:t>
      </w:r>
      <w:proofErr w:type="spellEnd"/>
      <w:r w:rsidRPr="004D5219">
        <w:rPr>
          <w:rFonts w:ascii="inherit" w:eastAsia="Times New Roman" w:hAnsi="inherit" w:cs="Times New Roman"/>
          <w:color w:val="000000"/>
          <w:sz w:val="24"/>
          <w:szCs w:val="24"/>
          <w:lang w:val="et-EE" w:bidi="ar-SA"/>
        </w:rPr>
        <w:t xml:space="preserve"> kohaselt või pärast riket, muudatust või seadme vahetust, mis võib mõjutada tootmismooduli vastavust käesoleva määruse nõuetele.</w:t>
      </w:r>
    </w:p>
    <w:p w14:paraId="4382FF5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Vastavuskatsete ja modelleerimise tulemused tuleb teha teatavaks tootmisüksuse omanikule.</w:t>
      </w:r>
    </w:p>
    <w:p w14:paraId="138B996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Asjaomane võrguettevõtja peab tegema avalikkusele teatavaks loetelu selle kohta, millised andmed ja dokumendid peab tootmisüksuse omanik esitama ning milliseid nõudeid täitma seoses </w:t>
      </w:r>
      <w:r w:rsidRPr="004D5219">
        <w:rPr>
          <w:rFonts w:ascii="inherit" w:eastAsia="Times New Roman" w:hAnsi="inherit" w:cs="Times New Roman"/>
          <w:color w:val="000000"/>
          <w:sz w:val="24"/>
          <w:szCs w:val="24"/>
          <w:lang w:val="et-EE" w:bidi="ar-SA"/>
        </w:rPr>
        <w:lastRenderedPageBreak/>
        <w:t>vastavuse tagamisega. Kõnealune loetelu peab sisaldama vähemalt järgmist teavet ning järgmisi dokumente ja nõudeid:</w:t>
      </w:r>
    </w:p>
    <w:tbl>
      <w:tblPr>
        <w:tblW w:w="5000" w:type="pct"/>
        <w:tblCellSpacing w:w="0" w:type="dxa"/>
        <w:tblCellMar>
          <w:left w:w="0" w:type="dxa"/>
          <w:right w:w="0" w:type="dxa"/>
        </w:tblCellMar>
        <w:tblLook w:val="04A0" w:firstRow="1" w:lastRow="0" w:firstColumn="1" w:lastColumn="0" w:noHBand="0" w:noVBand="1"/>
      </w:tblPr>
      <w:tblGrid>
        <w:gridCol w:w="255"/>
        <w:gridCol w:w="9195"/>
      </w:tblGrid>
      <w:tr w:rsidR="008E1A17" w:rsidRPr="00A2039D" w14:paraId="60E6B40D" w14:textId="77777777" w:rsidTr="008E1A17">
        <w:trPr>
          <w:tblCellSpacing w:w="0" w:type="dxa"/>
        </w:trPr>
        <w:tc>
          <w:tcPr>
            <w:tcW w:w="0" w:type="auto"/>
            <w:hideMark/>
          </w:tcPr>
          <w:p w14:paraId="6D89FA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15A511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kõik dokumendid ja tõendid, mis tootmisüksuse omanik peab esitama;</w:t>
            </w:r>
          </w:p>
        </w:tc>
      </w:tr>
    </w:tbl>
    <w:p w14:paraId="0D9653D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8243DEA" w14:textId="77777777" w:rsidTr="008E1A17">
        <w:trPr>
          <w:tblCellSpacing w:w="0" w:type="dxa"/>
        </w:trPr>
        <w:tc>
          <w:tcPr>
            <w:tcW w:w="0" w:type="auto"/>
            <w:hideMark/>
          </w:tcPr>
          <w:p w14:paraId="5B1BB9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197D0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üksikasjalikud tehnilised andmed tootmismooduli kohta, mis on olulised võrguühenduse seisukohast;</w:t>
            </w:r>
          </w:p>
        </w:tc>
      </w:tr>
    </w:tbl>
    <w:p w14:paraId="3168230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52"/>
        <w:gridCol w:w="9198"/>
      </w:tblGrid>
      <w:tr w:rsidR="008E1A17" w:rsidRPr="00A2039D" w14:paraId="4215C001" w14:textId="77777777" w:rsidTr="008E1A17">
        <w:trPr>
          <w:tblCellSpacing w:w="0" w:type="dxa"/>
        </w:trPr>
        <w:tc>
          <w:tcPr>
            <w:tcW w:w="0" w:type="auto"/>
            <w:hideMark/>
          </w:tcPr>
          <w:p w14:paraId="0315C3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4F04F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nõuded püsitalitluse ja dünaamilise süsteemi uuringute mudelite kohta;</w:t>
            </w:r>
          </w:p>
        </w:tc>
      </w:tr>
    </w:tbl>
    <w:p w14:paraId="5773B0C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4"/>
        <w:gridCol w:w="9166"/>
      </w:tblGrid>
      <w:tr w:rsidR="008E1A17" w:rsidRPr="00A2039D" w14:paraId="2D0C12D9" w14:textId="77777777" w:rsidTr="008E1A17">
        <w:trPr>
          <w:tblCellSpacing w:w="0" w:type="dxa"/>
        </w:trPr>
        <w:tc>
          <w:tcPr>
            <w:tcW w:w="0" w:type="auto"/>
            <w:hideMark/>
          </w:tcPr>
          <w:p w14:paraId="0C51373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22BFA43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uuringute tegemiseks vajalike süsteemi andmete esitamise ajakava;</w:t>
            </w:r>
          </w:p>
        </w:tc>
      </w:tr>
    </w:tbl>
    <w:p w14:paraId="433BD72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621D783" w14:textId="77777777" w:rsidTr="008E1A17">
        <w:trPr>
          <w:tblCellSpacing w:w="0" w:type="dxa"/>
        </w:trPr>
        <w:tc>
          <w:tcPr>
            <w:tcW w:w="0" w:type="auto"/>
            <w:hideMark/>
          </w:tcPr>
          <w:p w14:paraId="69B93E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029C6D8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uuringud, mida peab tootmisüksuse omanik tegema, et tõendada eeldatava püsi- ja dünaamilise talitluse näitajate vastavust nõuetele, mis on sätestatud IV jaotise 5. ja 6. peatükis;</w:t>
            </w:r>
          </w:p>
        </w:tc>
      </w:tr>
    </w:tbl>
    <w:p w14:paraId="1B559AC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72"/>
        <w:gridCol w:w="9278"/>
      </w:tblGrid>
      <w:tr w:rsidR="008E1A17" w:rsidRPr="004D5219" w14:paraId="5EC443F1" w14:textId="77777777" w:rsidTr="008E1A17">
        <w:trPr>
          <w:tblCellSpacing w:w="0" w:type="dxa"/>
        </w:trPr>
        <w:tc>
          <w:tcPr>
            <w:tcW w:w="0" w:type="auto"/>
            <w:hideMark/>
          </w:tcPr>
          <w:p w14:paraId="3E1F9B2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5D8F55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tingimused ja kord, sealhulgas kasutusvaldkond, seadmete tõendite registreerimiseks ning</w:t>
            </w:r>
          </w:p>
        </w:tc>
      </w:tr>
    </w:tbl>
    <w:p w14:paraId="2A6F5A2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1D11363" w14:textId="77777777" w:rsidTr="008E1A17">
        <w:trPr>
          <w:tblCellSpacing w:w="0" w:type="dxa"/>
        </w:trPr>
        <w:tc>
          <w:tcPr>
            <w:tcW w:w="0" w:type="auto"/>
            <w:hideMark/>
          </w:tcPr>
          <w:p w14:paraId="0CE26FB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g)</w:t>
            </w:r>
          </w:p>
        </w:tc>
        <w:tc>
          <w:tcPr>
            <w:tcW w:w="0" w:type="auto"/>
            <w:hideMark/>
          </w:tcPr>
          <w:p w14:paraId="65E3DE3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tingimused ja kord, mille kohaselt tootmisüksuse omanik saab kasutada volitatud </w:t>
            </w:r>
            <w:proofErr w:type="spellStart"/>
            <w:r w:rsidRPr="004D5219">
              <w:rPr>
                <w:rFonts w:ascii="inherit" w:eastAsia="Times New Roman" w:hAnsi="inherit" w:cs="Times New Roman"/>
                <w:sz w:val="24"/>
                <w:szCs w:val="24"/>
                <w:lang w:val="et-EE" w:bidi="ar-SA"/>
              </w:rPr>
              <w:t>sertifitseerija</w:t>
            </w:r>
            <w:proofErr w:type="spellEnd"/>
            <w:r w:rsidRPr="004D5219">
              <w:rPr>
                <w:rFonts w:ascii="inherit" w:eastAsia="Times New Roman" w:hAnsi="inherit" w:cs="Times New Roman"/>
                <w:sz w:val="24"/>
                <w:szCs w:val="24"/>
                <w:lang w:val="et-EE" w:bidi="ar-SA"/>
              </w:rPr>
              <w:t xml:space="preserve"> välja antud tõendeid asjaomaste seadmete kohta.</w:t>
            </w:r>
          </w:p>
        </w:tc>
      </w:tr>
    </w:tbl>
    <w:p w14:paraId="7CE19F4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Asjaomane võrguettevõtja peab tegema avalikkusele teatavaks, kuidas jaguneb vastavuskatsete, modelleerimise ja järelevalve alane vastutus tootmisüksuse omaniku ja võrguettevõtja vahel.</w:t>
      </w:r>
    </w:p>
    <w:p w14:paraId="76A7FFE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Asjaomane võrguettevõtja võib anda vastavuse järelevalve osaliselt või täielikult edasi kolmandatele isikutele. Sellisel juhul peab asjaomane võrguettevõtja jätkuvalt tagama vastavuse artiklile 12, sealhulgas täitma konfidentsiaalsuskohustusi seoses volitatud isikuga.</w:t>
      </w:r>
    </w:p>
    <w:p w14:paraId="2610C85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Kui võrguettevõtjaga seotud põhjustel ei ole võimalik teha võrguettevõtja ja tootmisüksuse omaniku kokkuleppe kohaseid vastavuskatseid ega modelleerimist, ei tohi võrguettevõtja põhjuseta keelduda III jaotises osutatud käiduteate väljaandmisest.</w:t>
      </w:r>
    </w:p>
    <w:p w14:paraId="6CE2647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42</w:t>
      </w:r>
    </w:p>
    <w:p w14:paraId="4435A95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 xml:space="preserve">Vastavuskatsete </w:t>
      </w:r>
      <w:proofErr w:type="spellStart"/>
      <w:r w:rsidRPr="004D5219">
        <w:rPr>
          <w:rFonts w:ascii="inherit" w:eastAsia="Times New Roman" w:hAnsi="inherit" w:cs="Times New Roman"/>
          <w:b/>
          <w:bCs/>
          <w:color w:val="000000"/>
          <w:sz w:val="24"/>
          <w:szCs w:val="24"/>
          <w:lang w:val="et-EE" w:bidi="ar-SA"/>
        </w:rPr>
        <w:t>üldsätted</w:t>
      </w:r>
      <w:proofErr w:type="spellEnd"/>
    </w:p>
    <w:p w14:paraId="59AE1C6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üksikute tootmismoodulite katsetamise eesmärk on näidata, et käesolevas määruses sätestatud nõuded on täidetud.</w:t>
      </w:r>
    </w:p>
    <w:p w14:paraId="0783DB2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Olenemata käesolevas määruses sätestatud vastavuskontrolli miinimumnõuetest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494A4CD" w14:textId="77777777" w:rsidTr="008E1A17">
        <w:trPr>
          <w:tblCellSpacing w:w="0" w:type="dxa"/>
        </w:trPr>
        <w:tc>
          <w:tcPr>
            <w:tcW w:w="0" w:type="auto"/>
            <w:hideMark/>
          </w:tcPr>
          <w:p w14:paraId="687A60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9DB7E9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lubada tootmisüksuse omanikul teha teistsugune katsete sari, kui need katsed on tõhusad ja piisavad, et näidata tootmismooduli vastavust käesoleva määruse nõuetele;</w:t>
            </w:r>
          </w:p>
        </w:tc>
      </w:tr>
    </w:tbl>
    <w:p w14:paraId="4583118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A08B2FE" w14:textId="77777777" w:rsidTr="008E1A17">
        <w:trPr>
          <w:tblCellSpacing w:w="0" w:type="dxa"/>
        </w:trPr>
        <w:tc>
          <w:tcPr>
            <w:tcW w:w="0" w:type="auto"/>
            <w:hideMark/>
          </w:tcPr>
          <w:p w14:paraId="504560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0961D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nõuda tootmisüksuse omanikult, et ta teeks täiendava või teistsuguse katsete sarja sellisel juhul, kui asjaomasele võrguettevõtjale esitatud teave seoses vastavuskatsetega IV jaotise 2., 3. või 4. peatüki sätete alusel ei ole piisav, et tõendada vastavust käesoleva määruse nõuetele, ning</w:t>
            </w:r>
          </w:p>
        </w:tc>
      </w:tr>
    </w:tbl>
    <w:p w14:paraId="6AC7BCC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691C624" w14:textId="77777777" w:rsidTr="008E1A17">
        <w:trPr>
          <w:tblCellSpacing w:w="0" w:type="dxa"/>
        </w:trPr>
        <w:tc>
          <w:tcPr>
            <w:tcW w:w="0" w:type="auto"/>
            <w:hideMark/>
          </w:tcPr>
          <w:p w14:paraId="0BA2C7F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EDEDB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nõuda, et tootmisüksuse omanik teeks asjakohaseid katseid tõendamaks, et tootmismoodul töötab kas alternatiivkütuse või kütusesegu kasutamisega. Asjaomane võrguettevõtja peab tootmisüksuse omanikuga kokku leppima, millise kütuseliigiga tuleb katsed teha.</w:t>
            </w:r>
          </w:p>
        </w:tc>
      </w:tr>
    </w:tbl>
    <w:p w14:paraId="616B20A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Tootmisüksuse omanik vastutab katsete tegemise eest IV jaotise 2., 3. ja 4. peatükis esitatud tingimuste kohaselt. Asjaomane võrguettevõtja peab tegema koostööd ega tohi põhjuseta viivitada katsete tegemisega.</w:t>
      </w:r>
    </w:p>
    <w:p w14:paraId="65CF9A4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tootmisüksuse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14:paraId="685D7A51"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lastRenderedPageBreak/>
        <w:t>Artikkel 43</w:t>
      </w:r>
    </w:p>
    <w:p w14:paraId="652A52EF"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 xml:space="preserve">Vastavusmodelleerimise </w:t>
      </w:r>
      <w:proofErr w:type="spellStart"/>
      <w:r w:rsidRPr="004D5219">
        <w:rPr>
          <w:rFonts w:ascii="inherit" w:eastAsia="Times New Roman" w:hAnsi="inherit" w:cs="Times New Roman"/>
          <w:b/>
          <w:bCs/>
          <w:color w:val="000000"/>
          <w:sz w:val="24"/>
          <w:szCs w:val="24"/>
          <w:lang w:val="et-EE" w:bidi="ar-SA"/>
        </w:rPr>
        <w:t>üldsätted</w:t>
      </w:r>
      <w:proofErr w:type="spellEnd"/>
    </w:p>
    <w:p w14:paraId="23BC8F0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üksiku tootmismooduli talitluse modelleerimise ülesanne on näidata, et käesolevas määruses sätestatud nõuded on täidetud.</w:t>
      </w:r>
    </w:p>
    <w:p w14:paraId="13C841E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Olenemata käesolevas määruses sätestatud vastavusmodelleerimise miinimumnõuetest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7881560" w14:textId="77777777" w:rsidTr="008E1A17">
        <w:trPr>
          <w:tblCellSpacing w:w="0" w:type="dxa"/>
        </w:trPr>
        <w:tc>
          <w:tcPr>
            <w:tcW w:w="0" w:type="auto"/>
            <w:hideMark/>
          </w:tcPr>
          <w:p w14:paraId="049541D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D0C9A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lubada tootmisüksuse omanikul teha teistsugune modelleerimissari, kui see on tõhus ja piisav, et näidata tootmismooduli vastavust käesoleva määruse nõuetele või riiklike õigusaktide nõuetele, ning</w:t>
            </w:r>
          </w:p>
        </w:tc>
      </w:tr>
    </w:tbl>
    <w:p w14:paraId="5AA8CD8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1221DC61" w14:textId="77777777" w:rsidTr="008E1A17">
        <w:trPr>
          <w:tblCellSpacing w:w="0" w:type="dxa"/>
        </w:trPr>
        <w:tc>
          <w:tcPr>
            <w:tcW w:w="0" w:type="auto"/>
            <w:hideMark/>
          </w:tcPr>
          <w:p w14:paraId="18E1A31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233A642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nõuda tootmisüksuse omanikult, et ta teeks täiendava või teistsuguse modelleerimissarja sellisel juhul, kui asjaomasele võrguettevõtjale seoses vastavusmodelleerimisega IV jaotise 5., 6. või 7. peatüki sätete alusel esitatud teave ei ole piisav, et tõendada vastavust käesoleva määruse nõuetele.</w:t>
            </w:r>
          </w:p>
        </w:tc>
      </w:tr>
    </w:tbl>
    <w:p w14:paraId="38103A6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Et tõendada vastavust käesoleva määruse nõuetele, peab tootmisüksuse omanik esitama aruande koos modelleerimise tulemustega tootmisüksuse iga üksiku tootmismooduli kohta. Tootmisüksuse omanik peab tegema ja esitama kooskõlastatud modelleerimismudeli asjaomase tootmismooduli jaoks. Modelleerimismudeli kasutamise eesmärk on sõnastatud artikli 15 lõike 6 punktis c.</w:t>
      </w:r>
    </w:p>
    <w:p w14:paraId="619D27A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Asjaomasel võrguettevõtjal on õigus kontrollida, kas tootmismoodul vastab käesoleva määruse nõuetele, tehes esitatud modelleerimisaruande, modelleerimismudelite ja vastavuskatsete mõõtmiste põhjal ise vastavusmodelleerimise.</w:t>
      </w:r>
    </w:p>
    <w:p w14:paraId="65063DC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Asjaomane võrguettevõtja peab esitama tootmisüksuse omanikule võrgu tehnilised andmed ja modelleerimismudeli selles ulatuses, nagu on vaja nõutud modelleerimiste tegemiseks vastavalt IV jaotise 5., 6. või 7. peatükile.</w:t>
      </w:r>
    </w:p>
    <w:p w14:paraId="3B7BEF07"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2. PEATÜKK</w:t>
      </w:r>
    </w:p>
    <w:p w14:paraId="1C8DB830"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Sünkroonmoodulite vastavuskatsed</w:t>
      </w:r>
    </w:p>
    <w:p w14:paraId="03DFB85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44</w:t>
      </w:r>
    </w:p>
    <w:p w14:paraId="38AFD692"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B-tüüpi sünkroonmoodulite vastavuskatsed</w:t>
      </w:r>
    </w:p>
    <w:p w14:paraId="4CC7674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B-tüüpi sünkroonmoodulitega tootmisüksuse omanik peab tegema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sageduskaja vastavuskatse.</w:t>
      </w:r>
    </w:p>
    <w:p w14:paraId="18D19FC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Asjakohase katse asemel võib tootmisüksuse omanik tugineda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tõenditele seadmete kohta. Sel juhul tuleb seadme tõendid esitada asjaomasele võrguettevõtjale.</w:t>
      </w:r>
    </w:p>
    <w:p w14:paraId="3CEC5E3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Sageduskaja katsete kohta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2DAAE4B" w14:textId="77777777" w:rsidTr="008E1A17">
        <w:trPr>
          <w:tblCellSpacing w:w="0" w:type="dxa"/>
        </w:trPr>
        <w:tc>
          <w:tcPr>
            <w:tcW w:w="0" w:type="auto"/>
            <w:hideMark/>
          </w:tcPr>
          <w:p w14:paraId="52E7C05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FCAD1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tootmismooduli tehnilist suutlikkust pidevalt muuta aktiivvõimsust sageduse reguleerimiseks iga märgatava sageduse suurenemise korral süsteemis. Tuleb kontrollida püsitalitluse näitajaid, nagu </w:t>
            </w: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ja tundetuspiirkond, ning dünaamilisi näitajaid, nagu sageduse astmelise muutuse kaja;</w:t>
            </w:r>
          </w:p>
        </w:tc>
      </w:tr>
    </w:tbl>
    <w:p w14:paraId="5A5D41E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3F03ED2" w14:textId="77777777" w:rsidTr="008E1A17">
        <w:trPr>
          <w:tblCellSpacing w:w="0" w:type="dxa"/>
        </w:trPr>
        <w:tc>
          <w:tcPr>
            <w:tcW w:w="0" w:type="auto"/>
            <w:hideMark/>
          </w:tcPr>
          <w:p w14:paraId="46B6C9E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D6DAF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selliste sageduse astmeliste ja sujuvmuutuste modelleerimisega, mis on piisavalt suured, et tekitada aktiivvõimsuse muutusi, mis on vähemalt 10 % maksimumvõimsusest,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seadeid ja tundetuspiirkonda. Vajaduse korral saadetakse modelleeritud sageduse kõrvalekallete signaalid üheaegselt juhtimissüsteemide kiirus- ja koormusregulaatorisse, võttes arvesse selliste juhtimissüsteemide skeeme;</w:t>
            </w:r>
          </w:p>
        </w:tc>
      </w:tr>
    </w:tbl>
    <w:p w14:paraId="52A6BDC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D7F6399" w14:textId="77777777" w:rsidTr="008E1A17">
        <w:trPr>
          <w:tblCellSpacing w:w="0" w:type="dxa"/>
        </w:trPr>
        <w:tc>
          <w:tcPr>
            <w:tcW w:w="0" w:type="auto"/>
            <w:hideMark/>
          </w:tcPr>
          <w:p w14:paraId="61CA692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2D32024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235C4891" w14:textId="77777777">
              <w:trPr>
                <w:tblCellSpacing w:w="0" w:type="dxa"/>
              </w:trPr>
              <w:tc>
                <w:tcPr>
                  <w:tcW w:w="0" w:type="auto"/>
                  <w:hideMark/>
                </w:tcPr>
                <w:p w14:paraId="728DF4D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w:t>
                  </w:r>
                </w:p>
              </w:tc>
              <w:tc>
                <w:tcPr>
                  <w:tcW w:w="0" w:type="auto"/>
                  <w:hideMark/>
                </w:tcPr>
                <w:p w14:paraId="4AF7E6C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tulemused nii dünaamiliste kui ka staatiliste näitajate osas vastavad artikli 13 lõikes 2 sätestatud nõuetele ning</w:t>
                  </w:r>
                </w:p>
              </w:tc>
            </w:tr>
          </w:tbl>
          <w:p w14:paraId="26589CF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2"/>
              <w:gridCol w:w="8961"/>
            </w:tblGrid>
            <w:tr w:rsidR="008E1A17" w:rsidRPr="00A2039D" w14:paraId="0D7C24D1" w14:textId="77777777">
              <w:trPr>
                <w:tblCellSpacing w:w="0" w:type="dxa"/>
              </w:trPr>
              <w:tc>
                <w:tcPr>
                  <w:tcW w:w="0" w:type="auto"/>
                  <w:hideMark/>
                </w:tcPr>
                <w:p w14:paraId="308ABC1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555DE08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astmelise muutuse sageduskaja ei tekita summutamata võnkumisi.</w:t>
                  </w:r>
                </w:p>
              </w:tc>
            </w:tr>
          </w:tbl>
          <w:p w14:paraId="6E9D241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44BEE3B"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206936EE"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3B1CB02F" w14:textId="1FFF4E3D"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45</w:t>
      </w:r>
    </w:p>
    <w:p w14:paraId="569FDF7A"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C-tüüpi sünkroonmoodulite vastavuskatsed</w:t>
      </w:r>
    </w:p>
    <w:p w14:paraId="4E4D347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artiklis 44 kirjeldatud B-tüüpi sünkroonmoodulite vastavuskatsetele peavad tootmisüksuse omanikud tegema C-tüüpi sünkroonmoodulitega vastavuskatseid, nagu on sätestatud käesoleva artikli lõigetes 2, 3, 4 ja 6. Isekäivitusvõimega tootmismoodulitega peavad tootmisüksuse omanikud tegema ka lõikes 5 kirjeldatud katsed. Asjakohase katse asemel on tootmisüksuse omanikul õigus tõendada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tõendiga asjaomase seadme vastavust asjaomastele nõuetele. Sel juhul tuleb seadme tõendid esitada asjaomasele võrguettevõtjale.</w:t>
      </w:r>
    </w:p>
    <w:p w14:paraId="02E1CD3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Sageduskaja katsete korral alasagedusega piiratud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10EDA72" w14:textId="77777777" w:rsidTr="008E1A17">
        <w:trPr>
          <w:tblCellSpacing w:w="0" w:type="dxa"/>
        </w:trPr>
        <w:tc>
          <w:tcPr>
            <w:tcW w:w="0" w:type="auto"/>
            <w:hideMark/>
          </w:tcPr>
          <w:p w14:paraId="2B8960C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051E6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katsetega tuleb näidata, et tootmismoodul on tehniliselt suuteline pidevalt muutma aktiivvõimsust maksimumvõimsusest väiksema võimsusega talitluspunktides, et aidata kaasa sagedusjuhtimisele sageduse suure languse puhul süsteemis;</w:t>
            </w:r>
          </w:p>
        </w:tc>
      </w:tr>
    </w:tbl>
    <w:p w14:paraId="61DF412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15A8A23" w14:textId="77777777" w:rsidTr="008E1A17">
        <w:trPr>
          <w:tblCellSpacing w:w="0" w:type="dxa"/>
        </w:trPr>
        <w:tc>
          <w:tcPr>
            <w:tcW w:w="0" w:type="auto"/>
            <w:hideMark/>
          </w:tcPr>
          <w:p w14:paraId="4CD415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F40BB3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katses tuleb modelleerida sobivaid aktiivvõimsuse tarbimispunkte sageduse väikeste astmeliste ja sujuvmuutustega, mis on piisavad, et tekitada aktiivvõimsuse muutust, mis on vähemalt 10 % maksimumvõimsusest,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seadeid ja tundetuspiirkonda. Vajaduse korral saadetakse modelleeritud sageduse kõrvalekalde signaalid üheaegselt nii kiirus- kui ka koormusregulaatori ahelatesse;</w:t>
            </w:r>
          </w:p>
        </w:tc>
      </w:tr>
    </w:tbl>
    <w:p w14:paraId="39724F3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536C40A" w14:textId="77777777" w:rsidTr="008E1A17">
        <w:trPr>
          <w:tblCellSpacing w:w="0" w:type="dxa"/>
        </w:trPr>
        <w:tc>
          <w:tcPr>
            <w:tcW w:w="0" w:type="auto"/>
            <w:hideMark/>
          </w:tcPr>
          <w:p w14:paraId="715687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F9E66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3B0E3FCB" w14:textId="77777777">
              <w:trPr>
                <w:tblCellSpacing w:w="0" w:type="dxa"/>
              </w:trPr>
              <w:tc>
                <w:tcPr>
                  <w:tcW w:w="0" w:type="auto"/>
                  <w:hideMark/>
                </w:tcPr>
                <w:p w14:paraId="1ABE326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D9F80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tulemused on nii dünaamiliste kui ka staatiliste näitajate osas kooskõlas artikli 15 lõike 2 punktiga c ning</w:t>
                  </w:r>
                </w:p>
              </w:tc>
            </w:tr>
          </w:tbl>
          <w:p w14:paraId="2CB22E0E"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2"/>
              <w:gridCol w:w="8961"/>
            </w:tblGrid>
            <w:tr w:rsidR="008E1A17" w:rsidRPr="00A2039D" w14:paraId="51C21555" w14:textId="77777777">
              <w:trPr>
                <w:tblCellSpacing w:w="0" w:type="dxa"/>
              </w:trPr>
              <w:tc>
                <w:tcPr>
                  <w:tcW w:w="0" w:type="auto"/>
                  <w:hideMark/>
                </w:tcPr>
                <w:p w14:paraId="4A9DAAB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DAB5A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astmelise muutuse sageduskaja ei tekita summutamata võnkumisi.</w:t>
                  </w:r>
                </w:p>
              </w:tc>
            </w:tr>
          </w:tbl>
          <w:p w14:paraId="1DB93519"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10BAA2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Sageduskaja katsete korral sagedustundlikus talitluses kehtivad järgmised nõuded: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7D49017" w14:textId="77777777" w:rsidTr="008E1A17">
        <w:trPr>
          <w:tblCellSpacing w:w="0" w:type="dxa"/>
        </w:trPr>
        <w:tc>
          <w:tcPr>
            <w:tcW w:w="0" w:type="auto"/>
            <w:hideMark/>
          </w:tcPr>
          <w:p w14:paraId="378C1B1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4F8620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katsetega tuleb näidata, et tootmismoodul on tehniliselt suuteline pidevalt muutma aktiivvõimsust kogu talitlusvahemikus maksimumvõimsusest </w:t>
            </w:r>
            <w:proofErr w:type="spellStart"/>
            <w:r w:rsidRPr="004D5219">
              <w:rPr>
                <w:rFonts w:ascii="inherit" w:eastAsia="Times New Roman" w:hAnsi="inherit" w:cs="Times New Roman"/>
                <w:sz w:val="24"/>
                <w:szCs w:val="24"/>
                <w:lang w:val="et-EE" w:bidi="ar-SA"/>
              </w:rPr>
              <w:t>miinimumreguleerimistasemeni</w:t>
            </w:r>
            <w:proofErr w:type="spellEnd"/>
            <w:r w:rsidRPr="004D5219">
              <w:rPr>
                <w:rFonts w:ascii="inherit" w:eastAsia="Times New Roman" w:hAnsi="inherit" w:cs="Times New Roman"/>
                <w:sz w:val="24"/>
                <w:szCs w:val="24"/>
                <w:lang w:val="et-EE" w:bidi="ar-SA"/>
              </w:rPr>
              <w:t xml:space="preserve">, et aidata kaasa sageduse reguleerimisele. Tuleb kontrollida püsitalitluse näitajaid, nagu </w:t>
            </w: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ja tundetuspiirkond, ning dünaamilisi näitajaid, nagu talitluskindlus sageduse astmelise muutuse kaja korral ning sageduse suurte ja kiirete kõrvalekallete korral;</w:t>
            </w:r>
          </w:p>
        </w:tc>
      </w:tr>
    </w:tbl>
    <w:p w14:paraId="50A8800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09F8C69" w14:textId="77777777" w:rsidTr="008E1A17">
        <w:trPr>
          <w:tblCellSpacing w:w="0" w:type="dxa"/>
        </w:trPr>
        <w:tc>
          <w:tcPr>
            <w:tcW w:w="0" w:type="auto"/>
            <w:hideMark/>
          </w:tcPr>
          <w:p w14:paraId="6B442C7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16A93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selliste sageduse astmeliste ja sujuvmuutuste modelleerimisega, mis on piisavalt suured, et aktiveerida kogu aktiivvõimsuse sageduskaja vahemik,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seadeid, tundetuspiirkonda ning suutlikkust suurendada või vähendada väljundaktiivvõimsust talitluspunkti suhtes. Vajaduse korral tuleb saata modelleeritud sageduse kõrvalekalde signaalid üheaegselt nii kiirus- kui ka koormusregulaatori ahelatesse või jaama juhtimissüsteemi;</w:t>
            </w:r>
          </w:p>
        </w:tc>
      </w:tr>
    </w:tbl>
    <w:p w14:paraId="63DA7EA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51FC178" w14:textId="77777777" w:rsidTr="008E1A17">
        <w:trPr>
          <w:tblCellSpacing w:w="0" w:type="dxa"/>
        </w:trPr>
        <w:tc>
          <w:tcPr>
            <w:tcW w:w="0" w:type="auto"/>
            <w:hideMark/>
          </w:tcPr>
          <w:p w14:paraId="50396C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5FEFF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7B16B67D" w14:textId="77777777">
              <w:trPr>
                <w:tblCellSpacing w:w="0" w:type="dxa"/>
              </w:trPr>
              <w:tc>
                <w:tcPr>
                  <w:tcW w:w="0" w:type="auto"/>
                  <w:hideMark/>
                </w:tcPr>
                <w:p w14:paraId="629347C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735EEC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kogu aktiivvõimsuse sageduskaja vahemiku aktiveerimise kestus sageduse astmelise muutuse korral ei ole suurem, kui nõutud artikli 15 lõike 2 punktiga d;</w:t>
                  </w:r>
                </w:p>
              </w:tc>
            </w:tr>
          </w:tbl>
          <w:p w14:paraId="3163C3F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2"/>
              <w:gridCol w:w="8961"/>
            </w:tblGrid>
            <w:tr w:rsidR="008E1A17" w:rsidRPr="00A2039D" w14:paraId="2AF06CDA" w14:textId="77777777">
              <w:trPr>
                <w:tblCellSpacing w:w="0" w:type="dxa"/>
              </w:trPr>
              <w:tc>
                <w:tcPr>
                  <w:tcW w:w="0" w:type="auto"/>
                  <w:hideMark/>
                </w:tcPr>
                <w:p w14:paraId="5B6173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448E877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astmelise muutuse sageduskaja ei tekita summutamata võnkumisi;</w:t>
                  </w:r>
                </w:p>
              </w:tc>
            </w:tr>
          </w:tbl>
          <w:p w14:paraId="648CA1A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79"/>
              <w:gridCol w:w="8784"/>
            </w:tblGrid>
            <w:tr w:rsidR="008E1A17" w:rsidRPr="00A2039D" w14:paraId="643FC3D1" w14:textId="77777777">
              <w:trPr>
                <w:tblCellSpacing w:w="0" w:type="dxa"/>
              </w:trPr>
              <w:tc>
                <w:tcPr>
                  <w:tcW w:w="0" w:type="auto"/>
                  <w:hideMark/>
                </w:tcPr>
                <w:p w14:paraId="0221DE2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685371C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algviivitus on kooskõlas artikli 15 lõike 2 punktiga d;</w:t>
                  </w:r>
                </w:p>
              </w:tc>
            </w:tr>
          </w:tbl>
          <w:p w14:paraId="7D481D7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186FB15B" w14:textId="77777777">
              <w:trPr>
                <w:tblCellSpacing w:w="0" w:type="dxa"/>
              </w:trPr>
              <w:tc>
                <w:tcPr>
                  <w:tcW w:w="0" w:type="auto"/>
                  <w:hideMark/>
                </w:tcPr>
                <w:p w14:paraId="529E3CD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iv)</w:t>
                  </w:r>
                </w:p>
              </w:tc>
              <w:tc>
                <w:tcPr>
                  <w:tcW w:w="0" w:type="auto"/>
                  <w:hideMark/>
                </w:tcPr>
                <w:p w14:paraId="1B90AD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 hõlmab kogu vahemikku, mis on määratud kindlaks artikli 15 lõike 2 punktis d, ja tundetuspiirkond (piirmäär) ei ole suurem kui kõnealuses artiklis sätestatud väärtus ning</w:t>
                  </w:r>
                </w:p>
              </w:tc>
            </w:tr>
          </w:tbl>
          <w:p w14:paraId="0FF3BFD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3"/>
            </w:tblGrid>
            <w:tr w:rsidR="008E1A17" w:rsidRPr="00A2039D" w14:paraId="124BE1ED" w14:textId="77777777">
              <w:trPr>
                <w:tblCellSpacing w:w="0" w:type="dxa"/>
              </w:trPr>
              <w:tc>
                <w:tcPr>
                  <w:tcW w:w="0" w:type="auto"/>
                  <w:hideMark/>
                </w:tcPr>
                <w:p w14:paraId="15141F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400B73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sageduskaja tundetus ei ületa üheski asjakohases talitluspunktis artikli 15 lõike 2 punktis d sätestatud nõuetega kindlaksmääratud piirmäära.</w:t>
                  </w:r>
                </w:p>
              </w:tc>
            </w:tr>
          </w:tbl>
          <w:p w14:paraId="0426F208"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E4E0B0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4.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25D7247" w14:textId="77777777" w:rsidTr="008E1A17">
        <w:trPr>
          <w:tblCellSpacing w:w="0" w:type="dxa"/>
        </w:trPr>
        <w:tc>
          <w:tcPr>
            <w:tcW w:w="0" w:type="auto"/>
            <w:hideMark/>
          </w:tcPr>
          <w:p w14:paraId="6309339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30C852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tootmismooduli tehnilist suutlikkust osaleda sageduse taastamise juhtimises ning tuleb kontrollida sageduse taastamise juhtimise ja sagedustundliku talitluse kooskõla;</w:t>
            </w:r>
          </w:p>
        </w:tc>
      </w:tr>
    </w:tbl>
    <w:p w14:paraId="15F5D55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EBAE04A" w14:textId="77777777" w:rsidTr="008E1A17">
        <w:trPr>
          <w:tblCellSpacing w:w="0" w:type="dxa"/>
        </w:trPr>
        <w:tc>
          <w:tcPr>
            <w:tcW w:w="0" w:type="auto"/>
            <w:hideMark/>
          </w:tcPr>
          <w:p w14:paraId="1306A31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0AB17C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tulemuslikuks, kui nii dünaamilised kui ka staatilised näitajad on kooskõlas artikli 15 lõike 2 punktiga e.</w:t>
            </w:r>
          </w:p>
        </w:tc>
      </w:tr>
    </w:tbl>
    <w:p w14:paraId="223B51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Isekäivitusvõime 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9BBA3BB" w14:textId="77777777" w:rsidTr="008E1A17">
        <w:trPr>
          <w:tblCellSpacing w:w="0" w:type="dxa"/>
        </w:trPr>
        <w:tc>
          <w:tcPr>
            <w:tcW w:w="0" w:type="auto"/>
            <w:hideMark/>
          </w:tcPr>
          <w:p w14:paraId="58C2A44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E24ED9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isekäivitusvõimega tootmismoodulite korral tuleb näidata, et väljalülitatud tootmismoodul suudab käivituda välise toiteta;</w:t>
            </w:r>
          </w:p>
        </w:tc>
      </w:tr>
    </w:tbl>
    <w:p w14:paraId="1E8509A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4988A22" w14:textId="77777777" w:rsidTr="008E1A17">
        <w:trPr>
          <w:tblCellSpacing w:w="0" w:type="dxa"/>
        </w:trPr>
        <w:tc>
          <w:tcPr>
            <w:tcW w:w="0" w:type="auto"/>
            <w:hideMark/>
          </w:tcPr>
          <w:p w14:paraId="70D072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7BB397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käivitusaeg jääb artikli 15 lõike 5 punkti a alapunktis iii sätestatud aja piiresse.</w:t>
            </w:r>
          </w:p>
        </w:tc>
      </w:tr>
    </w:tbl>
    <w:p w14:paraId="5AF8168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Omatarbele ülemineku suutlikkuse katse korral tuleb järgida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36C9ED8" w14:textId="77777777" w:rsidTr="008E1A17">
        <w:trPr>
          <w:tblCellSpacing w:w="0" w:type="dxa"/>
        </w:trPr>
        <w:tc>
          <w:tcPr>
            <w:tcW w:w="0" w:type="auto"/>
            <w:hideMark/>
          </w:tcPr>
          <w:p w14:paraId="7A84897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99A66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katsega tuleb näidata, et tootmismoodul on tehniliselt suuteline omatarvet toitvale talitlusele üle minema ja stabiilselt töötama;</w:t>
            </w:r>
          </w:p>
        </w:tc>
      </w:tr>
    </w:tbl>
    <w:p w14:paraId="3916962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6EAE50A" w14:textId="77777777" w:rsidTr="008E1A17">
        <w:trPr>
          <w:tblCellSpacing w:w="0" w:type="dxa"/>
        </w:trPr>
        <w:tc>
          <w:tcPr>
            <w:tcW w:w="0" w:type="auto"/>
            <w:hideMark/>
          </w:tcPr>
          <w:p w14:paraId="328ABC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F6D15D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tootmismooduli maksimumvõimsusel ja nimireaktiivvõimsusel enne tootmismooduli koormuse </w:t>
            </w:r>
            <w:proofErr w:type="spellStart"/>
            <w:r w:rsidRPr="004D5219">
              <w:rPr>
                <w:rFonts w:ascii="inherit" w:eastAsia="Times New Roman" w:hAnsi="inherit" w:cs="Times New Roman"/>
                <w:sz w:val="24"/>
                <w:szCs w:val="24"/>
                <w:lang w:val="et-EE" w:bidi="ar-SA"/>
              </w:rPr>
              <w:t>lahtiühendamist</w:t>
            </w:r>
            <w:proofErr w:type="spellEnd"/>
            <w:r w:rsidRPr="004D5219">
              <w:rPr>
                <w:rFonts w:ascii="inherit" w:eastAsia="Times New Roman" w:hAnsi="inherit" w:cs="Times New Roman"/>
                <w:sz w:val="24"/>
                <w:szCs w:val="24"/>
                <w:lang w:val="et-EE" w:bidi="ar-SA"/>
              </w:rPr>
              <w:t>;</w:t>
            </w:r>
          </w:p>
        </w:tc>
      </w:tr>
    </w:tbl>
    <w:p w14:paraId="5C61A2F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C78EA44" w14:textId="77777777" w:rsidTr="008E1A17">
        <w:trPr>
          <w:tblCellSpacing w:w="0" w:type="dxa"/>
        </w:trPr>
        <w:tc>
          <w:tcPr>
            <w:tcW w:w="0" w:type="auto"/>
            <w:hideMark/>
          </w:tcPr>
          <w:p w14:paraId="28B60B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6ADDDD1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asjaomasel võrguettevõtjal peab olema õigus kehtestada täiendavaid tingimusi, võttes arvesse artikli 15 lõike 5 punkti c;</w:t>
            </w:r>
          </w:p>
        </w:tc>
      </w:tr>
    </w:tbl>
    <w:p w14:paraId="25C0243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97E1265" w14:textId="77777777" w:rsidTr="008E1A17">
        <w:trPr>
          <w:tblCellSpacing w:w="0" w:type="dxa"/>
        </w:trPr>
        <w:tc>
          <w:tcPr>
            <w:tcW w:w="0" w:type="auto"/>
            <w:hideMark/>
          </w:tcPr>
          <w:p w14:paraId="573A594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7480BA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loetakse edukaks, kui omatarbele üleminek on kulgenud edukalt ja on näidatud, et omatarbetalitlus on stabiilne artikli 15 lõike 5 punktis c sätestatud aja jooksul ning </w:t>
            </w:r>
            <w:proofErr w:type="spellStart"/>
            <w:r w:rsidRPr="004D5219">
              <w:rPr>
                <w:rFonts w:ascii="inherit" w:eastAsia="Times New Roman" w:hAnsi="inherit" w:cs="Times New Roman"/>
                <w:sz w:val="24"/>
                <w:szCs w:val="24"/>
                <w:lang w:val="et-EE" w:bidi="ar-SA"/>
              </w:rPr>
              <w:t>resünkroniseerimine</w:t>
            </w:r>
            <w:proofErr w:type="spellEnd"/>
            <w:r w:rsidRPr="004D5219">
              <w:rPr>
                <w:rFonts w:ascii="inherit" w:eastAsia="Times New Roman" w:hAnsi="inherit" w:cs="Times New Roman"/>
                <w:sz w:val="24"/>
                <w:szCs w:val="24"/>
                <w:lang w:val="et-EE" w:bidi="ar-SA"/>
              </w:rPr>
              <w:t xml:space="preserve"> võrguga on kulgenud edukalt.</w:t>
            </w:r>
          </w:p>
        </w:tc>
      </w:tr>
    </w:tbl>
    <w:p w14:paraId="449451C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6698D82" w14:textId="77777777" w:rsidTr="008E1A17">
        <w:trPr>
          <w:tblCellSpacing w:w="0" w:type="dxa"/>
        </w:trPr>
        <w:tc>
          <w:tcPr>
            <w:tcW w:w="0" w:type="auto"/>
            <w:hideMark/>
          </w:tcPr>
          <w:p w14:paraId="09123C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B9962A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peab tehniliselt olema suuteline talitlema ennetava ja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reaktiivvõimsusega vastavalt artikli 18 lõike 2 punktidele b ja c;</w:t>
            </w:r>
          </w:p>
        </w:tc>
      </w:tr>
    </w:tbl>
    <w:p w14:paraId="7A6697F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AE26AEA" w14:textId="77777777" w:rsidTr="008E1A17">
        <w:trPr>
          <w:tblCellSpacing w:w="0" w:type="dxa"/>
        </w:trPr>
        <w:tc>
          <w:tcPr>
            <w:tcW w:w="0" w:type="auto"/>
            <w:hideMark/>
          </w:tcPr>
          <w:p w14:paraId="4CE062C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73A3E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51B00905" w14:textId="77777777">
              <w:trPr>
                <w:tblCellSpacing w:w="0" w:type="dxa"/>
              </w:trPr>
              <w:tc>
                <w:tcPr>
                  <w:tcW w:w="0" w:type="auto"/>
                  <w:hideMark/>
                </w:tcPr>
                <w:p w14:paraId="708D64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7B5302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 talitleb vähemalt tund aega nii ennetava kui ka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maksimumreaktiivvõimsusega</w:t>
                  </w:r>
                </w:p>
                <w:tbl>
                  <w:tblPr>
                    <w:tblW w:w="5000" w:type="pct"/>
                    <w:tblCellSpacing w:w="0" w:type="dxa"/>
                    <w:tblCellMar>
                      <w:left w:w="0" w:type="dxa"/>
                      <w:right w:w="0" w:type="dxa"/>
                    </w:tblCellMar>
                    <w:tblLook w:val="04A0" w:firstRow="1" w:lastRow="0" w:firstColumn="1" w:lastColumn="0" w:noHBand="0" w:noVBand="1"/>
                  </w:tblPr>
                  <w:tblGrid>
                    <w:gridCol w:w="555"/>
                    <w:gridCol w:w="8548"/>
                  </w:tblGrid>
                  <w:tr w:rsidR="008E1A17" w:rsidRPr="004D5219" w14:paraId="7EDC0D39" w14:textId="77777777">
                    <w:trPr>
                      <w:tblCellSpacing w:w="0" w:type="dxa"/>
                    </w:trPr>
                    <w:tc>
                      <w:tcPr>
                        <w:tcW w:w="0" w:type="auto"/>
                        <w:hideMark/>
                      </w:tcPr>
                      <w:p w14:paraId="3A8316E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52115A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minimaalsel stabiilse talitluse tasemel,</w:t>
                        </w:r>
                      </w:p>
                    </w:tc>
                  </w:tr>
                </w:tbl>
                <w:p w14:paraId="5AF42CD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90"/>
                    <w:gridCol w:w="8313"/>
                  </w:tblGrid>
                  <w:tr w:rsidR="008E1A17" w:rsidRPr="004D5219" w14:paraId="4D818297" w14:textId="77777777">
                    <w:trPr>
                      <w:tblCellSpacing w:w="0" w:type="dxa"/>
                    </w:trPr>
                    <w:tc>
                      <w:tcPr>
                        <w:tcW w:w="0" w:type="auto"/>
                        <w:hideMark/>
                      </w:tcPr>
                      <w:p w14:paraId="6468BB3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0E35D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maksimumvõimsusel ning</w:t>
                        </w:r>
                      </w:p>
                    </w:tc>
                  </w:tr>
                </w:tbl>
                <w:p w14:paraId="7C7BB17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7"/>
                    <w:gridCol w:w="8816"/>
                  </w:tblGrid>
                  <w:tr w:rsidR="008E1A17" w:rsidRPr="00A2039D" w14:paraId="22AA3A3B" w14:textId="77777777">
                    <w:trPr>
                      <w:tblCellSpacing w:w="0" w:type="dxa"/>
                    </w:trPr>
                    <w:tc>
                      <w:tcPr>
                        <w:tcW w:w="0" w:type="auto"/>
                        <w:hideMark/>
                      </w:tcPr>
                      <w:p w14:paraId="305447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w:t>
                        </w:r>
                      </w:p>
                    </w:tc>
                    <w:tc>
                      <w:tcPr>
                        <w:tcW w:w="0" w:type="auto"/>
                        <w:hideMark/>
                      </w:tcPr>
                      <w:p w14:paraId="2C570D6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talitluspunktiga nimetatud suurima ja vähima väärtuse vahel;</w:t>
                        </w:r>
                      </w:p>
                    </w:tc>
                  </w:tr>
                </w:tbl>
                <w:p w14:paraId="7788AF0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956DE5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36"/>
            </w:tblGrid>
            <w:tr w:rsidR="008E1A17" w:rsidRPr="00A2039D" w14:paraId="1A199413" w14:textId="77777777">
              <w:trPr>
                <w:tblCellSpacing w:w="0" w:type="dxa"/>
              </w:trPr>
              <w:tc>
                <w:tcPr>
                  <w:tcW w:w="0" w:type="auto"/>
                  <w:hideMark/>
                </w:tcPr>
                <w:p w14:paraId="449D253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5BA9BF3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katsega näidatakse, et tootmismoodul suudab muuta reaktiivvõimsust iga reaktiivvõimsuse sihtväärtuseni kokku lepitud või kindlaks määratud reaktiivvõimsuse vahemikus.</w:t>
                  </w:r>
                </w:p>
              </w:tc>
            </w:tr>
          </w:tbl>
          <w:p w14:paraId="6252506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B2C460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46</w:t>
      </w:r>
    </w:p>
    <w:p w14:paraId="5C87957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sünkroonmoodulite vastavuskatsed</w:t>
      </w:r>
    </w:p>
    <w:p w14:paraId="587EF4E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D-tüüpi sünkroonmoodulitele tuleb teha artiklites 44 ja 45 kirjeldatud B- ja C-tüüpi sünkroonmoodulite vastavuskatsed.</w:t>
      </w:r>
    </w:p>
    <w:p w14:paraId="19859AC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Asjakohase katse asemel on tootmisüksuse omanikul õigus tõendada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tõenditega asjaomase seadme vastavust asjaomastele nõuetele. Sel juhul tuleb seadme tõendid esitada asjaomasele võrguettevõtjale.</w:t>
      </w:r>
    </w:p>
    <w:p w14:paraId="14D3034D"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6B5A5765"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06355099"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3590B1B8" w14:textId="03D7BB33"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3. PEATÜKK</w:t>
      </w:r>
    </w:p>
    <w:p w14:paraId="0AFEB45E"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Energiapargimoodulite vastavuskatsed</w:t>
      </w:r>
    </w:p>
    <w:p w14:paraId="685A296D"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47</w:t>
      </w:r>
    </w:p>
    <w:p w14:paraId="65F42C09"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B-tüüpi energiapargimoodulite vastavuskatsed</w:t>
      </w:r>
    </w:p>
    <w:p w14:paraId="634A559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Tootmisüksuse omanikud peavad B-tüüpi energiapargimoodulitega tegema sageduskaja vastavuskatseid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w:t>
      </w:r>
    </w:p>
    <w:p w14:paraId="35C3945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Asjakohase katse asemel on tootmisüksuse omanikul õigus tõendada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tõendiga asjaomase seadme vastavust asjaomasele nõudele. Sel juhul tuleb seadme tõendid esitada asjaomasele võrguettevõtjale.</w:t>
      </w:r>
    </w:p>
    <w:p w14:paraId="2B1FD1A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B-tüüpi energiapargimoodulite sageduskaja katsetes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tuleb võtta arvesse juhtimispõhimõtete valikut, mille on teinud asjaomane võrguettevõtja.</w:t>
      </w:r>
    </w:p>
    <w:p w14:paraId="7EBB0F5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Sageduskaja katsete korral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D91113F" w14:textId="77777777" w:rsidTr="008E1A17">
        <w:trPr>
          <w:tblCellSpacing w:w="0" w:type="dxa"/>
        </w:trPr>
        <w:tc>
          <w:tcPr>
            <w:tcW w:w="0" w:type="auto"/>
            <w:hideMark/>
          </w:tcPr>
          <w:p w14:paraId="6949743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1FC77E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et energiapargimoodul on tehniliselt suuteline pidevalt muutma aktiivvõimsust, et osaleda sageduse juhtimises, kui sagedus suureneb süsteemis. Tuleb kontrollida püsitalitluse reguleerimisnäitajaid, nagu </w:t>
            </w: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ja tundetuspiirkond, ja dünaamilisi näitajaid;</w:t>
            </w:r>
          </w:p>
        </w:tc>
      </w:tr>
    </w:tbl>
    <w:p w14:paraId="114F4B1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AE72962" w14:textId="77777777" w:rsidTr="008E1A17">
        <w:trPr>
          <w:tblCellSpacing w:w="0" w:type="dxa"/>
        </w:trPr>
        <w:tc>
          <w:tcPr>
            <w:tcW w:w="0" w:type="auto"/>
            <w:hideMark/>
          </w:tcPr>
          <w:p w14:paraId="29FFB95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27559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selliste sageduse astmeliste ja sujuvmuutuste modelleerimisega, mis on piisavalt suured, et tekitada aktiivvõimsuse muutust, mis on vähemalt 10 % maksimumvõimsusest,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seadeid ja tundetuspiirkonda. Sellise katse tegemiseks tuleb saata sageduse kõrvalekalde modelleeritud signaalid üheaegselt kontrollsüsteemi võrdlusahelatesse;</w:t>
            </w:r>
          </w:p>
        </w:tc>
      </w:tr>
    </w:tbl>
    <w:p w14:paraId="112B7BA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02F3963" w14:textId="77777777" w:rsidTr="008E1A17">
        <w:trPr>
          <w:tblCellSpacing w:w="0" w:type="dxa"/>
        </w:trPr>
        <w:tc>
          <w:tcPr>
            <w:tcW w:w="0" w:type="auto"/>
            <w:hideMark/>
          </w:tcPr>
          <w:p w14:paraId="4C32A00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D325D3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tulemuslikuks, kui katses saadud dünaamilised ja staatilised näitajad on kooskõlas artikli 13 lõikega 2.</w:t>
            </w:r>
          </w:p>
        </w:tc>
      </w:tr>
    </w:tbl>
    <w:p w14:paraId="4EB95119"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48</w:t>
      </w:r>
    </w:p>
    <w:p w14:paraId="3669068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C-tüüpi energiapargimoodulite vastavuskatsed</w:t>
      </w:r>
    </w:p>
    <w:p w14:paraId="762BFF5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artiklis 47 kirjeldatud B-tüüpi energiapargimoodulite vastavuskatsetele peavad tootmisüksuse omanikud tegema C-tüüpi energiapargimoodulite vastavuskatseid, nagu sätestatud käesoleva artikli lõigetes 2–9. Asjakohase katse asemel on tootmisüksuse omanikul õigus tõendada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tõendiga asjaomase seadme vastavust asjaomastele nõuetele. Sel juhul tuleb seadme tõend esitada asjaomasele võrguettevõtjale.</w:t>
      </w:r>
    </w:p>
    <w:p w14:paraId="10F0BE4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Aktiivvõimsuse juhitavuse ja juhtimisulatuse katsete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0D041A3" w14:textId="77777777" w:rsidTr="008E1A17">
        <w:trPr>
          <w:tblCellSpacing w:w="0" w:type="dxa"/>
        </w:trPr>
        <w:tc>
          <w:tcPr>
            <w:tcW w:w="0" w:type="auto"/>
            <w:hideMark/>
          </w:tcPr>
          <w:p w14:paraId="7EC13A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5FDB33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on tehniliselt suuteline talitlema tarbimise korral, mis jääb allapoole seadeväärtuse taset, mille on sätestanud asjaomane võrguettevõtja või asjaomane põhivõrguettevõtja;</w:t>
            </w:r>
          </w:p>
        </w:tc>
      </w:tr>
    </w:tbl>
    <w:p w14:paraId="5072ADB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47"/>
        <w:gridCol w:w="9203"/>
      </w:tblGrid>
      <w:tr w:rsidR="008E1A17" w:rsidRPr="00A2039D" w14:paraId="604D0EEA" w14:textId="77777777" w:rsidTr="008E1A17">
        <w:trPr>
          <w:tblCellSpacing w:w="0" w:type="dxa"/>
        </w:trPr>
        <w:tc>
          <w:tcPr>
            <w:tcW w:w="0" w:type="auto"/>
            <w:hideMark/>
          </w:tcPr>
          <w:p w14:paraId="5A7FBC8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1701A9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202"/>
              <w:gridCol w:w="9001"/>
            </w:tblGrid>
            <w:tr w:rsidR="008E1A17" w:rsidRPr="00A2039D" w14:paraId="35B7D1E5" w14:textId="77777777">
              <w:trPr>
                <w:tblCellSpacing w:w="0" w:type="dxa"/>
              </w:trPr>
              <w:tc>
                <w:tcPr>
                  <w:tcW w:w="0" w:type="auto"/>
                  <w:hideMark/>
                </w:tcPr>
                <w:p w14:paraId="74B949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3357AE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energiapargimooduli koormust hoitakse seadeväärtusest madalamal;</w:t>
                  </w:r>
                </w:p>
              </w:tc>
            </w:tr>
          </w:tbl>
          <w:p w14:paraId="67FC14F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9"/>
              <w:gridCol w:w="8924"/>
            </w:tblGrid>
            <w:tr w:rsidR="008E1A17" w:rsidRPr="00A2039D" w14:paraId="36B017E1" w14:textId="77777777">
              <w:trPr>
                <w:tblCellSpacing w:w="0" w:type="dxa"/>
              </w:trPr>
              <w:tc>
                <w:tcPr>
                  <w:tcW w:w="0" w:type="auto"/>
                  <w:hideMark/>
                </w:tcPr>
                <w:p w14:paraId="4CBCF8E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08A4D5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seadeväärtus vastab artikli 15 lõike 2 punktis a sätestatud nõuetele ning</w:t>
                  </w:r>
                </w:p>
              </w:tc>
            </w:tr>
          </w:tbl>
          <w:p w14:paraId="1C90D55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46"/>
              <w:gridCol w:w="8857"/>
            </w:tblGrid>
            <w:tr w:rsidR="008E1A17" w:rsidRPr="00A2039D" w14:paraId="0D685BB6" w14:textId="77777777">
              <w:trPr>
                <w:tblCellSpacing w:w="0" w:type="dxa"/>
              </w:trPr>
              <w:tc>
                <w:tcPr>
                  <w:tcW w:w="0" w:type="auto"/>
                  <w:hideMark/>
                </w:tcPr>
                <w:p w14:paraId="7B55A3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iii)</w:t>
                  </w:r>
                </w:p>
              </w:tc>
              <w:tc>
                <w:tcPr>
                  <w:tcW w:w="0" w:type="auto"/>
                  <w:hideMark/>
                </w:tcPr>
                <w:p w14:paraId="1F6F56F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 vastab artikli 15 lõike 2 punktis a sätestatud väärtusele.</w:t>
                  </w:r>
                </w:p>
              </w:tc>
            </w:tr>
          </w:tbl>
          <w:p w14:paraId="77931301"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742031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3.   Sageduskaja katse korral alasagedusega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CED2DEC" w14:textId="77777777" w:rsidTr="008E1A17">
        <w:trPr>
          <w:tblCellSpacing w:w="0" w:type="dxa"/>
        </w:trPr>
        <w:tc>
          <w:tcPr>
            <w:tcW w:w="0" w:type="auto"/>
            <w:hideMark/>
          </w:tcPr>
          <w:p w14:paraId="0A7D92A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E6ED4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on tehniliselt suuteline pidevalt muutma aktiivvõimsust sageduse reguleerimiseks sageduse märgatava languse korral süsteemis;</w:t>
            </w:r>
          </w:p>
        </w:tc>
      </w:tr>
    </w:tbl>
    <w:p w14:paraId="42078BE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9F379E6" w14:textId="77777777" w:rsidTr="008E1A17">
        <w:trPr>
          <w:tblCellSpacing w:w="0" w:type="dxa"/>
        </w:trPr>
        <w:tc>
          <w:tcPr>
            <w:tcW w:w="0" w:type="auto"/>
            <w:hideMark/>
          </w:tcPr>
          <w:p w14:paraId="368FF11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B20F2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selliste sageduse astmeliste ja sujuvmuutuste modelleerimisega, mis on piisavalt suured, et tekitada aktiivvõimsuse muutus, mis on vähemalt 10 % maksimumvõimsusest, kui koormus lähtepunktis on kuni 80 % maksimumvõimsusest,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seadeid ja tundetuspiirkonda;</w:t>
            </w:r>
          </w:p>
        </w:tc>
      </w:tr>
    </w:tbl>
    <w:p w14:paraId="1C9852D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4C15518" w14:textId="77777777" w:rsidTr="008E1A17">
        <w:trPr>
          <w:tblCellSpacing w:w="0" w:type="dxa"/>
        </w:trPr>
        <w:tc>
          <w:tcPr>
            <w:tcW w:w="0" w:type="auto"/>
            <w:hideMark/>
          </w:tcPr>
          <w:p w14:paraId="1AAE8C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5600D0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19FCAEFB" w14:textId="77777777">
              <w:trPr>
                <w:tblCellSpacing w:w="0" w:type="dxa"/>
              </w:trPr>
              <w:tc>
                <w:tcPr>
                  <w:tcW w:w="0" w:type="auto"/>
                  <w:hideMark/>
                </w:tcPr>
                <w:p w14:paraId="40E085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064116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tulemused on nii dünaamiliste kui ka staatiliste näitajate poolest kooskõlas artikli 15 lõike 2 punktiga c ning</w:t>
                  </w:r>
                </w:p>
              </w:tc>
            </w:tr>
          </w:tbl>
          <w:p w14:paraId="0DD191C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2"/>
              <w:gridCol w:w="8961"/>
            </w:tblGrid>
            <w:tr w:rsidR="008E1A17" w:rsidRPr="00A2039D" w14:paraId="37201377" w14:textId="77777777">
              <w:trPr>
                <w:tblCellSpacing w:w="0" w:type="dxa"/>
              </w:trPr>
              <w:tc>
                <w:tcPr>
                  <w:tcW w:w="0" w:type="auto"/>
                  <w:hideMark/>
                </w:tcPr>
                <w:p w14:paraId="3BD14E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7B5739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astmelise muutuse sageduskaja ei tekita summutamata võnkumisi.</w:t>
                  </w:r>
                </w:p>
              </w:tc>
            </w:tr>
          </w:tbl>
          <w:p w14:paraId="64978B21"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7EA46F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Sageduskaja katse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7D0F355" w14:textId="77777777" w:rsidTr="008E1A17">
        <w:trPr>
          <w:tblCellSpacing w:w="0" w:type="dxa"/>
        </w:trPr>
        <w:tc>
          <w:tcPr>
            <w:tcW w:w="0" w:type="auto"/>
            <w:hideMark/>
          </w:tcPr>
          <w:p w14:paraId="61B17C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0FC3D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energiapargimoodul peab olema tehniliselt suuteline pidevalt muutma aktiivvõimsust kogu talitlusvahemikus maksimumvõimsusest </w:t>
            </w:r>
            <w:proofErr w:type="spellStart"/>
            <w:r w:rsidRPr="004D5219">
              <w:rPr>
                <w:rFonts w:ascii="inherit" w:eastAsia="Times New Roman" w:hAnsi="inherit" w:cs="Times New Roman"/>
                <w:sz w:val="24"/>
                <w:szCs w:val="24"/>
                <w:lang w:val="et-EE" w:bidi="ar-SA"/>
              </w:rPr>
              <w:t>miinimumreguleerimistasemeni</w:t>
            </w:r>
            <w:proofErr w:type="spellEnd"/>
            <w:r w:rsidRPr="004D5219">
              <w:rPr>
                <w:rFonts w:ascii="inherit" w:eastAsia="Times New Roman" w:hAnsi="inherit" w:cs="Times New Roman"/>
                <w:sz w:val="24"/>
                <w:szCs w:val="24"/>
                <w:lang w:val="et-EE" w:bidi="ar-SA"/>
              </w:rPr>
              <w:t xml:space="preserve">, et aidata kaasa sagedusjuhtimisele. Tuleb kontrollida püsitalitluse reguleerimise näitajaid, nagu tundetus, </w:t>
            </w: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tundetuspiirkond ja reguleerimisvahemik, ning dünaamilisi näitajaid, sealhulgas sageduse astmelise muutuse kaja;</w:t>
            </w:r>
          </w:p>
        </w:tc>
      </w:tr>
    </w:tbl>
    <w:p w14:paraId="4613B97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5C28AE21" w14:textId="77777777" w:rsidTr="008E1A17">
        <w:trPr>
          <w:tblCellSpacing w:w="0" w:type="dxa"/>
        </w:trPr>
        <w:tc>
          <w:tcPr>
            <w:tcW w:w="0" w:type="auto"/>
            <w:hideMark/>
          </w:tcPr>
          <w:p w14:paraId="7DBE6C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D4647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selliste sageduse astmeliste ja sujuvmuutuste modelleerimisega, mis on piisavalt suured, et aktiveerida kogu aktiivvõimsuse sageduskaja vahemik,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seadistust ja tundetuspiirkonda. Katse tegemiseks tuleb sisestada modelleeritud sageduse kõrvalekalde signaale;</w:t>
            </w:r>
          </w:p>
        </w:tc>
      </w:tr>
    </w:tbl>
    <w:p w14:paraId="1FAD0B3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53B9F92" w14:textId="77777777" w:rsidTr="008E1A17">
        <w:trPr>
          <w:tblCellSpacing w:w="0" w:type="dxa"/>
        </w:trPr>
        <w:tc>
          <w:tcPr>
            <w:tcW w:w="0" w:type="auto"/>
            <w:hideMark/>
          </w:tcPr>
          <w:p w14:paraId="4C93438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489234A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29E50194" w14:textId="77777777">
              <w:trPr>
                <w:tblCellSpacing w:w="0" w:type="dxa"/>
              </w:trPr>
              <w:tc>
                <w:tcPr>
                  <w:tcW w:w="0" w:type="auto"/>
                  <w:hideMark/>
                </w:tcPr>
                <w:p w14:paraId="2BFB0E1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595841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kogu aktiivvõimsuse sageduskaja vahemiku aktiveerimise kestus sageduse astmelise muutuse korral ei ole suurem, kui nõutud artikli 15 lõike 2 punktiga d;</w:t>
                  </w:r>
                </w:p>
              </w:tc>
            </w:tr>
          </w:tbl>
          <w:p w14:paraId="517A4941"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06"/>
              <w:gridCol w:w="8957"/>
            </w:tblGrid>
            <w:tr w:rsidR="008E1A17" w:rsidRPr="00A2039D" w14:paraId="081CF09F" w14:textId="77777777">
              <w:trPr>
                <w:tblCellSpacing w:w="0" w:type="dxa"/>
              </w:trPr>
              <w:tc>
                <w:tcPr>
                  <w:tcW w:w="0" w:type="auto"/>
                  <w:hideMark/>
                </w:tcPr>
                <w:p w14:paraId="5B592F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0773FF7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astmelise muutuse sageduskajast ei jää summutamata võnkumisi;</w:t>
                  </w:r>
                </w:p>
              </w:tc>
            </w:tr>
          </w:tbl>
          <w:p w14:paraId="5947BC8E"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79"/>
              <w:gridCol w:w="8784"/>
            </w:tblGrid>
            <w:tr w:rsidR="008E1A17" w:rsidRPr="00A2039D" w14:paraId="692CB630" w14:textId="77777777">
              <w:trPr>
                <w:tblCellSpacing w:w="0" w:type="dxa"/>
              </w:trPr>
              <w:tc>
                <w:tcPr>
                  <w:tcW w:w="0" w:type="auto"/>
                  <w:hideMark/>
                </w:tcPr>
                <w:p w14:paraId="301987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5E75D30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algviivitus on kooskõlas artikli 15 lõike 2 punktiga d;</w:t>
                  </w:r>
                </w:p>
              </w:tc>
            </w:tr>
          </w:tbl>
          <w:p w14:paraId="73562DB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7"/>
              <w:gridCol w:w="8996"/>
            </w:tblGrid>
            <w:tr w:rsidR="008E1A17" w:rsidRPr="00A2039D" w14:paraId="0339DDD3" w14:textId="77777777">
              <w:trPr>
                <w:tblCellSpacing w:w="0" w:type="dxa"/>
              </w:trPr>
              <w:tc>
                <w:tcPr>
                  <w:tcW w:w="0" w:type="auto"/>
                  <w:hideMark/>
                </w:tcPr>
                <w:p w14:paraId="4C23F2D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1A27C8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seadistused hõlmavad kogu vahemikku, mis on määratud kindlaks artikli 15 lõike 2 punktis d, ja tundetuspiirkond (piirmäär) ei ole suurem kui põhivõrguettevõtja valitud väärtus ning</w:t>
                  </w:r>
                </w:p>
              </w:tc>
            </w:tr>
          </w:tbl>
          <w:p w14:paraId="5DFF9F5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063"/>
            </w:tblGrid>
            <w:tr w:rsidR="008E1A17" w:rsidRPr="00A2039D" w14:paraId="01B40EE7" w14:textId="77777777">
              <w:trPr>
                <w:tblCellSpacing w:w="0" w:type="dxa"/>
              </w:trPr>
              <w:tc>
                <w:tcPr>
                  <w:tcW w:w="0" w:type="auto"/>
                  <w:hideMark/>
                </w:tcPr>
                <w:p w14:paraId="32900B6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w:t>
                  </w:r>
                </w:p>
              </w:tc>
              <w:tc>
                <w:tcPr>
                  <w:tcW w:w="0" w:type="auto"/>
                  <w:hideMark/>
                </w:tcPr>
                <w:p w14:paraId="5B12F7A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aktiivvõimsuse sageduskaja tundetus ei ületa artikli 15 lõike 2 punktis d sätestatud nõuetega kindlaks määratud piirmäära.</w:t>
                  </w:r>
                </w:p>
              </w:tc>
            </w:tr>
          </w:tbl>
          <w:p w14:paraId="73AC54BC"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B656467"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Sageduse taastamise juhtimise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4D5219" w14:paraId="0498F40F" w14:textId="77777777" w:rsidTr="008E1A17">
        <w:trPr>
          <w:tblCellSpacing w:w="0" w:type="dxa"/>
        </w:trPr>
        <w:tc>
          <w:tcPr>
            <w:tcW w:w="0" w:type="auto"/>
            <w:hideMark/>
          </w:tcPr>
          <w:p w14:paraId="0BC99E6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0CDDC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on tehniliselt suuteline osalema sageduse taastamise juhtimises. Tuleb kontrollida sagedustundliku talitluse ja sageduse taastamise juhtimise kooskõla;</w:t>
            </w:r>
          </w:p>
        </w:tc>
      </w:tr>
    </w:tbl>
    <w:p w14:paraId="7AD790E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3D005C0" w14:textId="77777777" w:rsidTr="008E1A17">
        <w:trPr>
          <w:tblCellSpacing w:w="0" w:type="dxa"/>
        </w:trPr>
        <w:tc>
          <w:tcPr>
            <w:tcW w:w="0" w:type="auto"/>
            <w:hideMark/>
          </w:tcPr>
          <w:p w14:paraId="3ADFDE1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958EE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nii dünaamilised kui ka staatilised näitajad on kooskõlas artikli 15 lõike 2 punktiga e.</w:t>
            </w:r>
          </w:p>
        </w:tc>
      </w:tr>
    </w:tbl>
    <w:p w14:paraId="7E79677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Reaktiivvõimsussuutlikkuse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C992DCF" w14:textId="77777777" w:rsidTr="008E1A17">
        <w:trPr>
          <w:tblCellSpacing w:w="0" w:type="dxa"/>
        </w:trPr>
        <w:tc>
          <w:tcPr>
            <w:tcW w:w="0" w:type="auto"/>
            <w:hideMark/>
          </w:tcPr>
          <w:p w14:paraId="128272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167F7C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et energiapargimoodul on tehniliselt suuteline talitlema ennetava ja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reaktiivvõimsusega vastavalt artikli 21 lõike 3 punktidele b ja c;</w:t>
            </w:r>
          </w:p>
        </w:tc>
      </w:tr>
    </w:tbl>
    <w:p w14:paraId="1B7F57F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4D5219" w14:paraId="565BD9BC" w14:textId="77777777" w:rsidTr="008E1A17">
        <w:trPr>
          <w:tblCellSpacing w:w="0" w:type="dxa"/>
        </w:trPr>
        <w:tc>
          <w:tcPr>
            <w:tcW w:w="0" w:type="auto"/>
            <w:hideMark/>
          </w:tcPr>
          <w:p w14:paraId="7F5E324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BBC040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katse tuleb teha nii ennetava kui ka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70"/>
              <w:gridCol w:w="8980"/>
            </w:tblGrid>
            <w:tr w:rsidR="008E1A17" w:rsidRPr="004D5219" w14:paraId="60E25BC6" w14:textId="77777777">
              <w:trPr>
                <w:tblCellSpacing w:w="0" w:type="dxa"/>
              </w:trPr>
              <w:tc>
                <w:tcPr>
                  <w:tcW w:w="0" w:type="auto"/>
                  <w:hideMark/>
                </w:tcPr>
                <w:p w14:paraId="56F3041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3EFC8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talitlus üle 60 % maksimumvõimsusest 30 minutit;</w:t>
                  </w:r>
                </w:p>
              </w:tc>
            </w:tr>
          </w:tbl>
          <w:p w14:paraId="66E7A5ED"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99"/>
              <w:gridCol w:w="8951"/>
            </w:tblGrid>
            <w:tr w:rsidR="008E1A17" w:rsidRPr="004D5219" w14:paraId="128FC9E2" w14:textId="77777777">
              <w:trPr>
                <w:tblCellSpacing w:w="0" w:type="dxa"/>
              </w:trPr>
              <w:tc>
                <w:tcPr>
                  <w:tcW w:w="0" w:type="auto"/>
                  <w:hideMark/>
                </w:tcPr>
                <w:p w14:paraId="5FD55D9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77585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talitlus vahemikus 30–50 % maksimumvõimsusest 30 minutit ning</w:t>
                  </w:r>
                </w:p>
              </w:tc>
            </w:tr>
          </w:tbl>
          <w:p w14:paraId="3140AE0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13"/>
              <w:gridCol w:w="8837"/>
            </w:tblGrid>
            <w:tr w:rsidR="008E1A17" w:rsidRPr="004D5219" w14:paraId="565DDBF5" w14:textId="77777777">
              <w:trPr>
                <w:tblCellSpacing w:w="0" w:type="dxa"/>
              </w:trPr>
              <w:tc>
                <w:tcPr>
                  <w:tcW w:w="0" w:type="auto"/>
                  <w:hideMark/>
                </w:tcPr>
                <w:p w14:paraId="196134F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iii)</w:t>
                  </w:r>
                </w:p>
              </w:tc>
              <w:tc>
                <w:tcPr>
                  <w:tcW w:w="0" w:type="auto"/>
                  <w:hideMark/>
                </w:tcPr>
                <w:p w14:paraId="413982D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talitlus vahemikus 10–20 % maksimumvõimsusest 60 minutit;</w:t>
                  </w:r>
                </w:p>
              </w:tc>
            </w:tr>
          </w:tbl>
          <w:p w14:paraId="69CC1C0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CBCED0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B3E8BC8" w14:textId="77777777" w:rsidTr="008E1A17">
        <w:trPr>
          <w:tblCellSpacing w:w="0" w:type="dxa"/>
        </w:trPr>
        <w:tc>
          <w:tcPr>
            <w:tcW w:w="0" w:type="auto"/>
            <w:hideMark/>
          </w:tcPr>
          <w:p w14:paraId="16DEA07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5BF4E3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1565DEEB" w14:textId="77777777">
              <w:trPr>
                <w:tblCellSpacing w:w="0" w:type="dxa"/>
              </w:trPr>
              <w:tc>
                <w:tcPr>
                  <w:tcW w:w="0" w:type="auto"/>
                  <w:hideMark/>
                </w:tcPr>
                <w:p w14:paraId="4728BB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0B75C8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energiapargimoodul suudab talitleda nii ennetava kui ka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maksimumreaktiivvõimsusega vähemalt nii kaua, kui on nõutav talitlusaeg kõigi lõike 6 punktis b sätestatud juhtude korral;</w:t>
                  </w:r>
                </w:p>
              </w:tc>
            </w:tr>
          </w:tbl>
          <w:p w14:paraId="0025AD7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4A05D1DC" w14:textId="77777777">
              <w:trPr>
                <w:tblCellSpacing w:w="0" w:type="dxa"/>
              </w:trPr>
              <w:tc>
                <w:tcPr>
                  <w:tcW w:w="0" w:type="auto"/>
                  <w:hideMark/>
                </w:tcPr>
                <w:p w14:paraId="407CC09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0CF5BA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 suudab tõendatult muuta reaktiivvõimsust iga sihtväärtuseni asjaomase reaktiivvõimsuse kokku lepitud või kindlaks määratud reaktiivvõimsuse vahemikus ning</w:t>
                  </w:r>
                </w:p>
              </w:tc>
            </w:tr>
          </w:tbl>
          <w:p w14:paraId="5C50CC2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11"/>
              <w:gridCol w:w="8952"/>
            </w:tblGrid>
            <w:tr w:rsidR="008E1A17" w:rsidRPr="00A2039D" w14:paraId="65DE61B4" w14:textId="77777777">
              <w:trPr>
                <w:tblCellSpacing w:w="0" w:type="dxa"/>
              </w:trPr>
              <w:tc>
                <w:tcPr>
                  <w:tcW w:w="0" w:type="auto"/>
                  <w:hideMark/>
                </w:tcPr>
                <w:p w14:paraId="22B5995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2BC9556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graafikuga määratud talitluspiirides ei toimu kaitsete rakendumist.</w:t>
                  </w:r>
                </w:p>
              </w:tc>
            </w:tr>
          </w:tbl>
          <w:p w14:paraId="1F5717F3"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98574E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w:t>
      </w:r>
      <w:proofErr w:type="spellStart"/>
      <w:r w:rsidRPr="004D5219">
        <w:rPr>
          <w:rFonts w:ascii="inherit" w:eastAsia="Times New Roman" w:hAnsi="inherit" w:cs="Times New Roman"/>
          <w:color w:val="000000"/>
          <w:sz w:val="24"/>
          <w:szCs w:val="24"/>
          <w:lang w:val="et-EE" w:bidi="ar-SA"/>
        </w:rPr>
        <w:t>Pingejuhtimisseisundi</w:t>
      </w:r>
      <w:proofErr w:type="spellEnd"/>
      <w:r w:rsidRPr="004D5219">
        <w:rPr>
          <w:rFonts w:ascii="inherit" w:eastAsia="Times New Roman" w:hAnsi="inherit" w:cs="Times New Roman"/>
          <w:color w:val="000000"/>
          <w:sz w:val="24"/>
          <w:szCs w:val="24"/>
          <w:lang w:val="et-EE" w:bidi="ar-SA"/>
        </w:rPr>
        <w:t xml:space="preserv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5203B23" w14:textId="77777777" w:rsidTr="008E1A17">
        <w:trPr>
          <w:tblCellSpacing w:w="0" w:type="dxa"/>
        </w:trPr>
        <w:tc>
          <w:tcPr>
            <w:tcW w:w="0" w:type="auto"/>
            <w:hideMark/>
          </w:tcPr>
          <w:p w14:paraId="6FE3E9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586F2E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et energiapargimoodul suudab talitleda </w:t>
            </w:r>
            <w:proofErr w:type="spellStart"/>
            <w:r w:rsidRPr="004D5219">
              <w:rPr>
                <w:rFonts w:ascii="inherit" w:eastAsia="Times New Roman" w:hAnsi="inherit" w:cs="Times New Roman"/>
                <w:sz w:val="24"/>
                <w:szCs w:val="24"/>
                <w:lang w:val="et-EE" w:bidi="ar-SA"/>
              </w:rPr>
              <w:t>pingejuhtimisseisundis</w:t>
            </w:r>
            <w:proofErr w:type="spellEnd"/>
            <w:r w:rsidRPr="004D5219">
              <w:rPr>
                <w:rFonts w:ascii="inherit" w:eastAsia="Times New Roman" w:hAnsi="inherit" w:cs="Times New Roman"/>
                <w:sz w:val="24"/>
                <w:szCs w:val="24"/>
                <w:lang w:val="et-EE" w:bidi="ar-SA"/>
              </w:rPr>
              <w:t xml:space="preserve"> tingimustel, mis on sätestatud artikli 21 lõike 3 punkti d alapunktides ii–iv;</w:t>
            </w:r>
          </w:p>
        </w:tc>
      </w:tr>
    </w:tbl>
    <w:p w14:paraId="70899DA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6"/>
        <w:gridCol w:w="9174"/>
      </w:tblGrid>
      <w:tr w:rsidR="008E1A17" w:rsidRPr="004D5219" w14:paraId="7F4FE6CF" w14:textId="77777777" w:rsidTr="008E1A17">
        <w:trPr>
          <w:tblCellSpacing w:w="0" w:type="dxa"/>
        </w:trPr>
        <w:tc>
          <w:tcPr>
            <w:tcW w:w="0" w:type="auto"/>
            <w:hideMark/>
          </w:tcPr>
          <w:p w14:paraId="6A721E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6FF96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proofErr w:type="spellStart"/>
            <w:r w:rsidRPr="004D5219">
              <w:rPr>
                <w:rFonts w:ascii="inherit" w:eastAsia="Times New Roman" w:hAnsi="inherit" w:cs="Times New Roman"/>
                <w:sz w:val="24"/>
                <w:szCs w:val="24"/>
                <w:lang w:val="et-EE" w:bidi="ar-SA"/>
              </w:rPr>
              <w:t>pingejuhtimisseisundi</w:t>
            </w:r>
            <w:proofErr w:type="spellEnd"/>
            <w:r w:rsidRPr="004D5219">
              <w:rPr>
                <w:rFonts w:ascii="inherit" w:eastAsia="Times New Roman" w:hAnsi="inherit" w:cs="Times New Roman"/>
                <w:sz w:val="24"/>
                <w:szCs w:val="24"/>
                <w:lang w:val="et-EE" w:bidi="ar-SA"/>
              </w:rPr>
              <w:t xml:space="preserve"> katses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03"/>
              <w:gridCol w:w="8971"/>
            </w:tblGrid>
            <w:tr w:rsidR="008E1A17" w:rsidRPr="00A2039D" w14:paraId="3B23D3CF" w14:textId="77777777">
              <w:trPr>
                <w:tblCellSpacing w:w="0" w:type="dxa"/>
              </w:trPr>
              <w:tc>
                <w:tcPr>
                  <w:tcW w:w="0" w:type="auto"/>
                  <w:hideMark/>
                </w:tcPr>
                <w:p w14:paraId="064DF0D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771D53C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kalle ja tundetusala artikli 21 lõike 3 punkti d alapunkti iii kohaselt;</w:t>
                  </w:r>
                </w:p>
              </w:tc>
            </w:tr>
          </w:tbl>
          <w:p w14:paraId="68816FDB"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943"/>
              <w:gridCol w:w="8231"/>
            </w:tblGrid>
            <w:tr w:rsidR="008E1A17" w:rsidRPr="004D5219" w14:paraId="336DEDC7" w14:textId="77777777">
              <w:trPr>
                <w:tblCellSpacing w:w="0" w:type="dxa"/>
              </w:trPr>
              <w:tc>
                <w:tcPr>
                  <w:tcW w:w="0" w:type="auto"/>
                  <w:hideMark/>
                </w:tcPr>
                <w:p w14:paraId="48AD25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587BD1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w:t>
                  </w:r>
                </w:p>
              </w:tc>
            </w:tr>
          </w:tbl>
          <w:p w14:paraId="1B47BDA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872"/>
              <w:gridCol w:w="8302"/>
            </w:tblGrid>
            <w:tr w:rsidR="008E1A17" w:rsidRPr="004D5219" w14:paraId="39CD50FD" w14:textId="77777777">
              <w:trPr>
                <w:tblCellSpacing w:w="0" w:type="dxa"/>
              </w:trPr>
              <w:tc>
                <w:tcPr>
                  <w:tcW w:w="0" w:type="auto"/>
                  <w:hideMark/>
                </w:tcPr>
                <w:p w14:paraId="2A4307F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6895118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reguleerimise tundetus ning</w:t>
                  </w:r>
                </w:p>
              </w:tc>
            </w:tr>
          </w:tbl>
          <w:p w14:paraId="14A8CC8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89"/>
              <w:gridCol w:w="8485"/>
            </w:tblGrid>
            <w:tr w:rsidR="008E1A17" w:rsidRPr="004D5219" w14:paraId="6D894AE2" w14:textId="77777777">
              <w:trPr>
                <w:tblCellSpacing w:w="0" w:type="dxa"/>
              </w:trPr>
              <w:tc>
                <w:tcPr>
                  <w:tcW w:w="0" w:type="auto"/>
                  <w:hideMark/>
                </w:tcPr>
                <w:p w14:paraId="2ABC4AD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iv)</w:t>
                  </w:r>
                </w:p>
              </w:tc>
              <w:tc>
                <w:tcPr>
                  <w:tcW w:w="0" w:type="auto"/>
                  <w:hideMark/>
                </w:tcPr>
                <w:p w14:paraId="148FD9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aktiveerimisaeg;</w:t>
                  </w:r>
                </w:p>
              </w:tc>
            </w:tr>
          </w:tbl>
          <w:p w14:paraId="470AAB0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756870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5DB5599" w14:textId="77777777" w:rsidTr="008E1A17">
        <w:trPr>
          <w:tblCellSpacing w:w="0" w:type="dxa"/>
        </w:trPr>
        <w:tc>
          <w:tcPr>
            <w:tcW w:w="0" w:type="auto"/>
            <w:hideMark/>
          </w:tcPr>
          <w:p w14:paraId="0D875D9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D1DD38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671C9E89" w14:textId="77777777">
              <w:trPr>
                <w:tblCellSpacing w:w="0" w:type="dxa"/>
              </w:trPr>
              <w:tc>
                <w:tcPr>
                  <w:tcW w:w="0" w:type="auto"/>
                  <w:hideMark/>
                </w:tcPr>
                <w:p w14:paraId="1C48B6F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C9EE74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reguleerimisvahemik ja seadistatav </w:t>
                  </w:r>
                  <w:proofErr w:type="spellStart"/>
                  <w:r w:rsidRPr="004D5219">
                    <w:rPr>
                      <w:rFonts w:ascii="inherit" w:eastAsia="Times New Roman" w:hAnsi="inherit" w:cs="Times New Roman"/>
                      <w:sz w:val="24"/>
                      <w:szCs w:val="24"/>
                      <w:lang w:val="et-EE" w:bidi="ar-SA"/>
                    </w:rPr>
                    <w:t>statism</w:t>
                  </w:r>
                  <w:proofErr w:type="spellEnd"/>
                  <w:r w:rsidRPr="004D5219">
                    <w:rPr>
                      <w:rFonts w:ascii="inherit" w:eastAsia="Times New Roman" w:hAnsi="inherit" w:cs="Times New Roman"/>
                      <w:sz w:val="24"/>
                      <w:szCs w:val="24"/>
                      <w:lang w:val="et-EE" w:bidi="ar-SA"/>
                    </w:rPr>
                    <w:t xml:space="preserve"> ning tundetuspiirkond on kooskõlas kokku lepitud või kindlaks määratud iseloomulike näitajatega, mis on sätestatud artikli 21 lõike 3 punktis d;</w:t>
                  </w:r>
                </w:p>
              </w:tc>
            </w:tr>
          </w:tbl>
          <w:p w14:paraId="4FFAC9A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6"/>
              <w:gridCol w:w="9047"/>
            </w:tblGrid>
            <w:tr w:rsidR="008E1A17" w:rsidRPr="00A2039D" w14:paraId="00A57720" w14:textId="77777777">
              <w:trPr>
                <w:tblCellSpacing w:w="0" w:type="dxa"/>
              </w:trPr>
              <w:tc>
                <w:tcPr>
                  <w:tcW w:w="0" w:type="auto"/>
                  <w:hideMark/>
                </w:tcPr>
                <w:p w14:paraId="631619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1EA9D6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pingejuhtimise tundetus ei ole suurem kui 0,01 </w:t>
                  </w:r>
                  <w:proofErr w:type="spellStart"/>
                  <w:r w:rsidRPr="004D5219">
                    <w:rPr>
                      <w:rFonts w:ascii="inherit" w:eastAsia="Times New Roman" w:hAnsi="inherit" w:cs="Times New Roman"/>
                      <w:sz w:val="24"/>
                      <w:szCs w:val="24"/>
                      <w:lang w:val="et-EE" w:bidi="ar-SA"/>
                    </w:rPr>
                    <w:t>s.ü</w:t>
                  </w:r>
                  <w:proofErr w:type="spellEnd"/>
                  <w:r w:rsidRPr="004D5219">
                    <w:rPr>
                      <w:rFonts w:ascii="inherit" w:eastAsia="Times New Roman" w:hAnsi="inherit" w:cs="Times New Roman"/>
                      <w:sz w:val="24"/>
                      <w:szCs w:val="24"/>
                      <w:lang w:val="et-EE" w:bidi="ar-SA"/>
                    </w:rPr>
                    <w:t>. vastavalt artikli 21 lõike 3 punktile d ning</w:t>
                  </w:r>
                </w:p>
              </w:tc>
            </w:tr>
          </w:tbl>
          <w:p w14:paraId="66D7C00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8983"/>
            </w:tblGrid>
            <w:tr w:rsidR="008E1A17" w:rsidRPr="00A2039D" w14:paraId="037ABA6B" w14:textId="77777777">
              <w:trPr>
                <w:tblCellSpacing w:w="0" w:type="dxa"/>
              </w:trPr>
              <w:tc>
                <w:tcPr>
                  <w:tcW w:w="0" w:type="auto"/>
                  <w:hideMark/>
                </w:tcPr>
                <w:p w14:paraId="7DEE5EE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3CBB961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pinge astmelisel muutumisel saavutatakse 90 % väljundreaktiivvõimsuse muutus artikli 21 lõike 3 punktis d sätestatud aja ja hälbega.</w:t>
                  </w:r>
                </w:p>
              </w:tc>
            </w:tr>
          </w:tbl>
          <w:p w14:paraId="164E5338"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A6FA8A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8.   Reaktiivvõimsuse juhtimise katse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0D8D651" w14:textId="77777777" w:rsidTr="008E1A17">
        <w:trPr>
          <w:tblCellSpacing w:w="0" w:type="dxa"/>
        </w:trPr>
        <w:tc>
          <w:tcPr>
            <w:tcW w:w="0" w:type="auto"/>
            <w:hideMark/>
          </w:tcPr>
          <w:p w14:paraId="08A5A88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63EC3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suudab talitleda reaktiivvõimsuse juhtimisseisundis tingimustel, mis on sätestatud artikli 21 lõike 3 punkti d alapunktis v;</w:t>
            </w:r>
          </w:p>
        </w:tc>
      </w:tr>
    </w:tbl>
    <w:p w14:paraId="59A2C8F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28"/>
        <w:gridCol w:w="9222"/>
      </w:tblGrid>
      <w:tr w:rsidR="008E1A17" w:rsidRPr="00A2039D" w14:paraId="1D415909" w14:textId="77777777" w:rsidTr="008E1A17">
        <w:trPr>
          <w:tblCellSpacing w:w="0" w:type="dxa"/>
        </w:trPr>
        <w:tc>
          <w:tcPr>
            <w:tcW w:w="0" w:type="auto"/>
            <w:hideMark/>
          </w:tcPr>
          <w:p w14:paraId="5504F9B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AEC7B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juhtimise katse peab täiendama reaktiivvõimsussuutlikkuse katset;</w:t>
            </w:r>
          </w:p>
        </w:tc>
      </w:tr>
    </w:tbl>
    <w:p w14:paraId="6F0181B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52"/>
        <w:gridCol w:w="9198"/>
      </w:tblGrid>
      <w:tr w:rsidR="008E1A17" w:rsidRPr="004D5219" w14:paraId="2B37FC02" w14:textId="77777777" w:rsidTr="008E1A17">
        <w:trPr>
          <w:tblCellSpacing w:w="0" w:type="dxa"/>
        </w:trPr>
        <w:tc>
          <w:tcPr>
            <w:tcW w:w="0" w:type="auto"/>
            <w:hideMark/>
          </w:tcPr>
          <w:p w14:paraId="27DB16D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B07EE3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16"/>
              <w:gridCol w:w="8982"/>
            </w:tblGrid>
            <w:tr w:rsidR="008E1A17" w:rsidRPr="00A2039D" w14:paraId="5A1BA015" w14:textId="77777777">
              <w:trPr>
                <w:tblCellSpacing w:w="0" w:type="dxa"/>
              </w:trPr>
              <w:tc>
                <w:tcPr>
                  <w:tcW w:w="0" w:type="auto"/>
                  <w:hideMark/>
                </w:tcPr>
                <w:p w14:paraId="1A4B02C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4AB6991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seadeväärtuste vahemik ja reguleerimissamm;</w:t>
                  </w:r>
                </w:p>
              </w:tc>
            </w:tr>
          </w:tbl>
          <w:p w14:paraId="70D91D38"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87"/>
              <w:gridCol w:w="8411"/>
            </w:tblGrid>
            <w:tr w:rsidR="008E1A17" w:rsidRPr="004D5219" w14:paraId="57F732DC" w14:textId="77777777">
              <w:trPr>
                <w:tblCellSpacing w:w="0" w:type="dxa"/>
              </w:trPr>
              <w:tc>
                <w:tcPr>
                  <w:tcW w:w="0" w:type="auto"/>
                  <w:hideMark/>
                </w:tcPr>
                <w:p w14:paraId="5442D42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2D1716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 ning</w:t>
                  </w:r>
                </w:p>
              </w:tc>
            </w:tr>
          </w:tbl>
          <w:p w14:paraId="41670A9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690"/>
              <w:gridCol w:w="8508"/>
            </w:tblGrid>
            <w:tr w:rsidR="008E1A17" w:rsidRPr="004D5219" w14:paraId="449F868E" w14:textId="77777777">
              <w:trPr>
                <w:tblCellSpacing w:w="0" w:type="dxa"/>
              </w:trPr>
              <w:tc>
                <w:tcPr>
                  <w:tcW w:w="0" w:type="auto"/>
                  <w:hideMark/>
                </w:tcPr>
                <w:p w14:paraId="290E5FE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2782165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aktiveerimise aeg;</w:t>
                  </w:r>
                </w:p>
              </w:tc>
            </w:tr>
          </w:tbl>
          <w:p w14:paraId="36F9E0F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1DCBACE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E13F0F1" w14:textId="77777777" w:rsidTr="008E1A17">
        <w:trPr>
          <w:tblCellSpacing w:w="0" w:type="dxa"/>
        </w:trPr>
        <w:tc>
          <w:tcPr>
            <w:tcW w:w="0" w:type="auto"/>
            <w:hideMark/>
          </w:tcPr>
          <w:p w14:paraId="29B3C02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6FE05E0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3B44E45B" w14:textId="77777777">
              <w:trPr>
                <w:tblCellSpacing w:w="0" w:type="dxa"/>
              </w:trPr>
              <w:tc>
                <w:tcPr>
                  <w:tcW w:w="0" w:type="auto"/>
                  <w:hideMark/>
                </w:tcPr>
                <w:p w14:paraId="0D84310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3597E0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seadeväärtuste vahemik ja reguleerimissamm on kooskõlas artikli 21 lõike 3 punktiga d ning</w:t>
                  </w:r>
                </w:p>
              </w:tc>
            </w:tr>
          </w:tbl>
          <w:p w14:paraId="5CF93CAA"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0"/>
              <w:gridCol w:w="8990"/>
            </w:tblGrid>
            <w:tr w:rsidR="008E1A17" w:rsidRPr="00A2039D" w14:paraId="6954E958" w14:textId="77777777">
              <w:trPr>
                <w:tblCellSpacing w:w="0" w:type="dxa"/>
              </w:trPr>
              <w:tc>
                <w:tcPr>
                  <w:tcW w:w="0" w:type="auto"/>
                  <w:hideMark/>
                </w:tcPr>
                <w:p w14:paraId="60993C2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71A530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 vastab artikli 21 lõike 3 punktis d sätestatud tingimustele.</w:t>
                  </w:r>
                </w:p>
              </w:tc>
            </w:tr>
          </w:tbl>
          <w:p w14:paraId="7988BEFD"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E0EF8F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9.   Võimsusteguri juhtimisseisundi katse korral kohaldatakse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DD8E2D7" w14:textId="77777777" w:rsidTr="008E1A17">
        <w:trPr>
          <w:tblCellSpacing w:w="0" w:type="dxa"/>
        </w:trPr>
        <w:tc>
          <w:tcPr>
            <w:tcW w:w="0" w:type="auto"/>
            <w:hideMark/>
          </w:tcPr>
          <w:p w14:paraId="0F70C9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4E2DA2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suudab talitleda võimsusteguri juhtimisseisundis tingimustel, mis on sätestatud artikli 21 lõike 3 punkti d alapunktis vi;</w:t>
            </w:r>
          </w:p>
        </w:tc>
      </w:tr>
    </w:tbl>
    <w:p w14:paraId="44831A9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0"/>
        <w:gridCol w:w="9170"/>
      </w:tblGrid>
      <w:tr w:rsidR="008E1A17" w:rsidRPr="00A2039D" w14:paraId="60195498" w14:textId="77777777" w:rsidTr="008E1A17">
        <w:trPr>
          <w:tblCellSpacing w:w="0" w:type="dxa"/>
        </w:trPr>
        <w:tc>
          <w:tcPr>
            <w:tcW w:w="0" w:type="auto"/>
            <w:hideMark/>
          </w:tcPr>
          <w:p w14:paraId="749ED2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0C01C14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võimsusteguri juhtimise katsega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44"/>
              <w:gridCol w:w="8826"/>
            </w:tblGrid>
            <w:tr w:rsidR="008E1A17" w:rsidRPr="004D5219" w14:paraId="412723A4" w14:textId="77777777">
              <w:trPr>
                <w:tblCellSpacing w:w="0" w:type="dxa"/>
              </w:trPr>
              <w:tc>
                <w:tcPr>
                  <w:tcW w:w="0" w:type="auto"/>
                  <w:hideMark/>
                </w:tcPr>
                <w:p w14:paraId="3A5F785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7B993F8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võimsusteguri seadeväärtuste vahemik;</w:t>
                  </w:r>
                </w:p>
              </w:tc>
            </w:tr>
          </w:tbl>
          <w:p w14:paraId="158F1F53"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785"/>
              <w:gridCol w:w="8385"/>
            </w:tblGrid>
            <w:tr w:rsidR="008E1A17" w:rsidRPr="004D5219" w14:paraId="3E583BE7" w14:textId="77777777">
              <w:trPr>
                <w:tblCellSpacing w:w="0" w:type="dxa"/>
              </w:trPr>
              <w:tc>
                <w:tcPr>
                  <w:tcW w:w="0" w:type="auto"/>
                  <w:hideMark/>
                </w:tcPr>
                <w:p w14:paraId="2EB177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93C035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 ning</w:t>
                  </w:r>
                </w:p>
              </w:tc>
            </w:tr>
          </w:tbl>
          <w:p w14:paraId="59FEE1F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16"/>
              <w:gridCol w:w="8754"/>
            </w:tblGrid>
            <w:tr w:rsidR="008E1A17" w:rsidRPr="00A2039D" w14:paraId="3341406A" w14:textId="77777777">
              <w:trPr>
                <w:tblCellSpacing w:w="0" w:type="dxa"/>
              </w:trPr>
              <w:tc>
                <w:tcPr>
                  <w:tcW w:w="0" w:type="auto"/>
                  <w:hideMark/>
                </w:tcPr>
                <w:p w14:paraId="222F7A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2787C3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reaktiivvõimsuse kaja aktiivvõimsuse astmelisel muutumisel;</w:t>
                  </w:r>
                </w:p>
              </w:tc>
            </w:tr>
          </w:tbl>
          <w:p w14:paraId="6950E97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6CF274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D42371B" w14:textId="77777777" w:rsidTr="008E1A17">
        <w:trPr>
          <w:tblCellSpacing w:w="0" w:type="dxa"/>
        </w:trPr>
        <w:tc>
          <w:tcPr>
            <w:tcW w:w="0" w:type="auto"/>
            <w:hideMark/>
          </w:tcPr>
          <w:p w14:paraId="1423BE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c)</w:t>
            </w:r>
          </w:p>
        </w:tc>
        <w:tc>
          <w:tcPr>
            <w:tcW w:w="0" w:type="auto"/>
            <w:hideMark/>
          </w:tcPr>
          <w:p w14:paraId="3A46215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05861F17" w14:textId="77777777">
              <w:trPr>
                <w:tblCellSpacing w:w="0" w:type="dxa"/>
              </w:trPr>
              <w:tc>
                <w:tcPr>
                  <w:tcW w:w="0" w:type="auto"/>
                  <w:hideMark/>
                </w:tcPr>
                <w:p w14:paraId="2F7B12F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1F93D60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võimsusteguri seadeväärtuste vahemik ja reguleerimissamm on kooskõlas artikli 21 lõike 3 punktiga d;</w:t>
                  </w:r>
                </w:p>
              </w:tc>
            </w:tr>
          </w:tbl>
          <w:p w14:paraId="05635B59"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2CEB4B44" w14:textId="77777777">
              <w:trPr>
                <w:tblCellSpacing w:w="0" w:type="dxa"/>
              </w:trPr>
              <w:tc>
                <w:tcPr>
                  <w:tcW w:w="0" w:type="auto"/>
                  <w:hideMark/>
                </w:tcPr>
                <w:p w14:paraId="4FB41C5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4BAFA8C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aeg reaktiivvõimsuse aktiveerumiseks aktiivvõimsuse astmelise muutuse tagajärjel ei ole pikem kui aeg, mis on sätestatud artikli 21 lõike 3 punktis d, ning</w:t>
                  </w:r>
                </w:p>
              </w:tc>
            </w:tr>
          </w:tbl>
          <w:p w14:paraId="59B3292C"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48"/>
              <w:gridCol w:w="8915"/>
            </w:tblGrid>
            <w:tr w:rsidR="008E1A17" w:rsidRPr="00A2039D" w14:paraId="38EBEBB8" w14:textId="77777777">
              <w:trPr>
                <w:tblCellSpacing w:w="0" w:type="dxa"/>
              </w:trPr>
              <w:tc>
                <w:tcPr>
                  <w:tcW w:w="0" w:type="auto"/>
                  <w:hideMark/>
                </w:tcPr>
                <w:p w14:paraId="493F630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iii)</w:t>
                  </w:r>
                </w:p>
              </w:tc>
              <w:tc>
                <w:tcPr>
                  <w:tcW w:w="0" w:type="auto"/>
                  <w:hideMark/>
                </w:tcPr>
                <w:p w14:paraId="1FC739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reguleerimistäpsus vastab artikli 21 lõike 3 punktis d sätestatud väärtusele.</w:t>
                  </w:r>
                </w:p>
              </w:tc>
            </w:tr>
          </w:tbl>
          <w:p w14:paraId="4DBED6C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048E41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10.   Lõigetes 7, 8 ja 9 osutatud katsetest võib võrguettevõtja valida kontrollimiseks välja kolmest ainult ühe.</w:t>
      </w:r>
    </w:p>
    <w:p w14:paraId="67634C07"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49</w:t>
      </w:r>
    </w:p>
    <w:p w14:paraId="6768842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energiapargimoodulite vastavuskatsed</w:t>
      </w:r>
    </w:p>
    <w:p w14:paraId="2FA3B82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D-tüüpi energiapargimoodulitega tuleb teha samasugused vastavuskatsed nagu B- ja C-tüüpi energiapargimoodulite puhul vastavalt artiklites 47 ja 48 esitatud tingimustele.</w:t>
      </w:r>
    </w:p>
    <w:p w14:paraId="36DD333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Asjakohase katse asemel on tootmisüksuse omanikul õigus asjaomase seadme vastavust asjaomastele nõuetele tõendada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tõenditega. Sel juhul tuleb seadme tõendid esitada asjaomasele võrguettevõtjale.</w:t>
      </w:r>
    </w:p>
    <w:p w14:paraId="5F01DC61"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4. PEATÜKK</w:t>
      </w:r>
    </w:p>
    <w:p w14:paraId="65705F8F"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Avamere energiapargimoodulite vastavuskatsed</w:t>
      </w:r>
    </w:p>
    <w:p w14:paraId="230EE77D"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50</w:t>
      </w:r>
    </w:p>
    <w:p w14:paraId="0DD3678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Avamere energiapargimoodulite vastavuskatsed</w:t>
      </w:r>
    </w:p>
    <w:p w14:paraId="0237539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Avamere energiapargimoodulite suhtes kohaldatakse vastavuskatseid, mis on sätestatud artikli 44 lõikes 2 ning artikli 48 lõigetes 2–5 ja 7–9.</w:t>
      </w:r>
    </w:p>
    <w:p w14:paraId="1F8EFF35"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5. PEATÜKK</w:t>
      </w:r>
    </w:p>
    <w:p w14:paraId="4BE159F0"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Sünkroonmoodulite vastavusmodelleerimised</w:t>
      </w:r>
    </w:p>
    <w:p w14:paraId="1F443A2F"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51</w:t>
      </w:r>
    </w:p>
    <w:p w14:paraId="1778E96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B-tüüpi sünkroonmoodulite vastavusmodelleerimine</w:t>
      </w:r>
    </w:p>
    <w:p w14:paraId="149FD7F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B-tüüpi tootmismoodulite korral peavad tootmisüksuse omanikud modelleerima sageduskaja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Tootmisüksuse omanikul on õigus asjaomase modelleerimise asemel teatavale nõudele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seadme tõendeid. Sel juhul tuleb seadme tõendid esitada asjaomasele võrguettevõtjale.</w:t>
      </w:r>
    </w:p>
    <w:p w14:paraId="532CB84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sageduskaja modelleerimisel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2D1588E" w14:textId="77777777" w:rsidTr="008E1A17">
        <w:trPr>
          <w:tblCellSpacing w:w="0" w:type="dxa"/>
        </w:trPr>
        <w:tc>
          <w:tcPr>
            <w:tcW w:w="0" w:type="auto"/>
            <w:hideMark/>
          </w:tcPr>
          <w:p w14:paraId="75A679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E969B5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modelleerimise teel tuleb tõendada tootmismooduli suutlikkust muuta aktiivvõimsust </w:t>
            </w:r>
            <w:proofErr w:type="spellStart"/>
            <w:r w:rsidRPr="004D5219">
              <w:rPr>
                <w:rFonts w:ascii="inherit" w:eastAsia="Times New Roman" w:hAnsi="inherit" w:cs="Times New Roman"/>
                <w:sz w:val="24"/>
                <w:szCs w:val="24"/>
                <w:lang w:val="et-EE" w:bidi="ar-SA"/>
              </w:rPr>
              <w:t>ülesagedusel</w:t>
            </w:r>
            <w:proofErr w:type="spellEnd"/>
            <w:r w:rsidRPr="004D5219">
              <w:rPr>
                <w:rFonts w:ascii="inherit" w:eastAsia="Times New Roman" w:hAnsi="inherit" w:cs="Times New Roman"/>
                <w:sz w:val="24"/>
                <w:szCs w:val="24"/>
                <w:lang w:val="et-EE" w:bidi="ar-SA"/>
              </w:rPr>
              <w:t xml:space="preserve"> vastavalt artikli 13 lõikele 2;</w:t>
            </w:r>
          </w:p>
        </w:tc>
      </w:tr>
    </w:tbl>
    <w:p w14:paraId="743F092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C6FC69A" w14:textId="77777777" w:rsidTr="008E1A17">
        <w:trPr>
          <w:tblCellSpacing w:w="0" w:type="dxa"/>
        </w:trPr>
        <w:tc>
          <w:tcPr>
            <w:tcW w:w="0" w:type="auto"/>
            <w:hideMark/>
          </w:tcPr>
          <w:p w14:paraId="314F78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0C83A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w:t>
            </w:r>
            <w:proofErr w:type="spellStart"/>
            <w:r w:rsidRPr="004D5219">
              <w:rPr>
                <w:rFonts w:ascii="inherit" w:eastAsia="Times New Roman" w:hAnsi="inherit" w:cs="Times New Roman"/>
                <w:sz w:val="24"/>
                <w:szCs w:val="24"/>
                <w:lang w:val="et-EE" w:bidi="ar-SA"/>
              </w:rPr>
              <w:t>ülesagedusel</w:t>
            </w:r>
            <w:proofErr w:type="spellEnd"/>
            <w:r w:rsidRPr="004D5219">
              <w:rPr>
                <w:rFonts w:ascii="inherit" w:eastAsia="Times New Roman" w:hAnsi="inherit" w:cs="Times New Roman"/>
                <w:sz w:val="24"/>
                <w:szCs w:val="24"/>
                <w:lang w:val="et-EE" w:bidi="ar-SA"/>
              </w:rPr>
              <w:t xml:space="preserve"> tuleb sooritada sageduse astmeliste ja sujuvmuutustega, minimaalse reguleerimistaseme saavutamiseni,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5722C68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A69A218" w14:textId="77777777" w:rsidTr="008E1A17">
        <w:trPr>
          <w:tblCellSpacing w:w="0" w:type="dxa"/>
        </w:trPr>
        <w:tc>
          <w:tcPr>
            <w:tcW w:w="0" w:type="auto"/>
            <w:hideMark/>
          </w:tcPr>
          <w:p w14:paraId="6C26246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E5009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2A7B3A8D" w14:textId="77777777">
              <w:trPr>
                <w:tblCellSpacing w:w="0" w:type="dxa"/>
              </w:trPr>
              <w:tc>
                <w:tcPr>
                  <w:tcW w:w="0" w:type="auto"/>
                  <w:hideMark/>
                </w:tcPr>
                <w:p w14:paraId="2F92950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56B8FE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tootmismooduli modelleerimismudel on valideeritud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sagedustundliku talitluse vastavuskatsega, nagu on kirjeldatud artikli 44 lõikes 2, ning</w:t>
                  </w:r>
                </w:p>
              </w:tc>
            </w:tr>
          </w:tbl>
          <w:p w14:paraId="5481F336"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96"/>
              <w:gridCol w:w="8867"/>
            </w:tblGrid>
            <w:tr w:rsidR="008E1A17" w:rsidRPr="00A2039D" w14:paraId="2943E6F6" w14:textId="77777777">
              <w:trPr>
                <w:tblCellSpacing w:w="0" w:type="dxa"/>
              </w:trPr>
              <w:tc>
                <w:tcPr>
                  <w:tcW w:w="0" w:type="auto"/>
                  <w:hideMark/>
                </w:tcPr>
                <w:p w14:paraId="185C3D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ii)</w:t>
                  </w:r>
                </w:p>
              </w:tc>
              <w:tc>
                <w:tcPr>
                  <w:tcW w:w="0" w:type="auto"/>
                  <w:hideMark/>
                </w:tcPr>
                <w:p w14:paraId="25A0EA2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13 lõike 2 nõue on täidetud.</w:t>
                  </w:r>
                </w:p>
              </w:tc>
            </w:tr>
          </w:tbl>
          <w:p w14:paraId="2D002A7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17C598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 xml:space="preserve">3.   B-tüüpi sünkroonmoodulite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modelleerimise korral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1D9A579" w14:textId="77777777" w:rsidTr="008E1A17">
        <w:trPr>
          <w:tblCellSpacing w:w="0" w:type="dxa"/>
        </w:trPr>
        <w:tc>
          <w:tcPr>
            <w:tcW w:w="0" w:type="auto"/>
            <w:hideMark/>
          </w:tcPr>
          <w:p w14:paraId="5A8325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438CB3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modelleerimisega tuleb näidata, et tootmismoodul suudab rikke läbida artikli 14 lõike 3 punkti a tingimustel;</w:t>
            </w:r>
          </w:p>
        </w:tc>
      </w:tr>
    </w:tbl>
    <w:p w14:paraId="55ADE35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026C20A" w14:textId="77777777" w:rsidTr="008E1A17">
        <w:trPr>
          <w:tblCellSpacing w:w="0" w:type="dxa"/>
        </w:trPr>
        <w:tc>
          <w:tcPr>
            <w:tcW w:w="0" w:type="auto"/>
            <w:hideMark/>
          </w:tcPr>
          <w:p w14:paraId="0AF7F01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4C1F6D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14 lõike 3 punkti a nõue on täidetud.</w:t>
            </w:r>
          </w:p>
        </w:tc>
      </w:tr>
    </w:tbl>
    <w:p w14:paraId="69EEB4C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FB85900" w14:textId="77777777" w:rsidTr="008E1A17">
        <w:trPr>
          <w:tblCellSpacing w:w="0" w:type="dxa"/>
        </w:trPr>
        <w:tc>
          <w:tcPr>
            <w:tcW w:w="0" w:type="auto"/>
            <w:hideMark/>
          </w:tcPr>
          <w:p w14:paraId="05990FA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BFA631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tootmismoodul suudab rikkejärgselt aktiivvõimsuse taastada artikli 17 lõike 3 tingimustel;</w:t>
            </w:r>
          </w:p>
        </w:tc>
      </w:tr>
    </w:tbl>
    <w:p w14:paraId="4E3B213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0E118E5" w14:textId="77777777" w:rsidTr="008E1A17">
        <w:trPr>
          <w:tblCellSpacing w:w="0" w:type="dxa"/>
        </w:trPr>
        <w:tc>
          <w:tcPr>
            <w:tcW w:w="0" w:type="auto"/>
            <w:hideMark/>
          </w:tcPr>
          <w:p w14:paraId="4D75975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33AC69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17 lõike 3 nõue on täidetud.</w:t>
            </w:r>
          </w:p>
        </w:tc>
      </w:tr>
    </w:tbl>
    <w:p w14:paraId="0684F01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52</w:t>
      </w:r>
    </w:p>
    <w:p w14:paraId="34FAA52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C-tüüpi sünkroonmoodulite vastavusmodelleerimine</w:t>
      </w:r>
    </w:p>
    <w:p w14:paraId="0E9E8F0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artiklis 51 sätestatud B-tüüpi sünkroonmoodulite vastavusmodelleerimisele tuleb C-tüüpi sünkroonmoodulitega teha ka lõigetes 2–5 sätestatud vastavusmodelleerimine. Tootmisüksuse omanikul on õigus osa või kõigi asjaomaste modelleerimiste asemel teatavale nõudele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tõendeid, mis tuleb esitada asjaomasele võrguettevõtjale.</w:t>
      </w:r>
    </w:p>
    <w:p w14:paraId="73E0D7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AF2518E" w14:textId="77777777" w:rsidTr="008E1A17">
        <w:trPr>
          <w:tblCellSpacing w:w="0" w:type="dxa"/>
        </w:trPr>
        <w:tc>
          <w:tcPr>
            <w:tcW w:w="0" w:type="auto"/>
            <w:hideMark/>
          </w:tcPr>
          <w:p w14:paraId="13C892A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0AE54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tõendada tootmismooduli suutlikkust muuta aktiivvõimsust alasagedusel vastavalt artikli 15 lõike 2 punktile c;</w:t>
            </w:r>
          </w:p>
        </w:tc>
      </w:tr>
    </w:tbl>
    <w:p w14:paraId="0D2F619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AF3D28E" w14:textId="77777777" w:rsidTr="008E1A17">
        <w:trPr>
          <w:tblCellSpacing w:w="0" w:type="dxa"/>
        </w:trPr>
        <w:tc>
          <w:tcPr>
            <w:tcW w:w="0" w:type="auto"/>
            <w:hideMark/>
          </w:tcPr>
          <w:p w14:paraId="6DC0CA9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8297ED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tuleb sooritada alasagedusel sageduse astmeliste ja sujuvmuutustega kuni maksimumvõimsuseni,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46E139E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88E1A60" w14:textId="77777777" w:rsidTr="008E1A17">
        <w:trPr>
          <w:tblCellSpacing w:w="0" w:type="dxa"/>
        </w:trPr>
        <w:tc>
          <w:tcPr>
            <w:tcW w:w="0" w:type="auto"/>
            <w:hideMark/>
          </w:tcPr>
          <w:p w14:paraId="4976FBC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4A4F4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47FE93B4" w14:textId="77777777">
              <w:trPr>
                <w:tblCellSpacing w:w="0" w:type="dxa"/>
              </w:trPr>
              <w:tc>
                <w:tcPr>
                  <w:tcW w:w="0" w:type="auto"/>
                  <w:hideMark/>
                </w:tcPr>
                <w:p w14:paraId="774D66B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6F69C6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modelleerimismudel on valideeritud alasagedusega piiratud sagedustundliku talitluse vastavuskatsega, nagu on kirjeldatud artikli 45 lõikes 2, ning</w:t>
                  </w:r>
                </w:p>
              </w:tc>
            </w:tr>
          </w:tbl>
          <w:p w14:paraId="0C7539A2"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39"/>
              <w:gridCol w:w="8924"/>
            </w:tblGrid>
            <w:tr w:rsidR="008E1A17" w:rsidRPr="00A2039D" w14:paraId="5233F521" w14:textId="77777777">
              <w:trPr>
                <w:tblCellSpacing w:w="0" w:type="dxa"/>
              </w:trPr>
              <w:tc>
                <w:tcPr>
                  <w:tcW w:w="0" w:type="auto"/>
                  <w:hideMark/>
                </w:tcPr>
                <w:p w14:paraId="0830BC2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50AE85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15 lõike 2 punkti c nõue on täidetud.</w:t>
                  </w:r>
                </w:p>
              </w:tc>
            </w:tr>
          </w:tbl>
          <w:p w14:paraId="2E4FDAEA"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0E96A6C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ED967AF" w14:textId="77777777" w:rsidTr="008E1A17">
        <w:trPr>
          <w:tblCellSpacing w:w="0" w:type="dxa"/>
        </w:trPr>
        <w:tc>
          <w:tcPr>
            <w:tcW w:w="0" w:type="auto"/>
            <w:hideMark/>
          </w:tcPr>
          <w:p w14:paraId="4488C1D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D81FD2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tõendada tootmismooduli suutlikkust muuta aktiivvõimsust kogu sagedusvahemikus vastavalt artikli 15 lõike 2 punktile d;</w:t>
            </w:r>
          </w:p>
        </w:tc>
      </w:tr>
    </w:tbl>
    <w:p w14:paraId="456B65F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2396192" w14:textId="77777777" w:rsidTr="008E1A17">
        <w:trPr>
          <w:tblCellSpacing w:w="0" w:type="dxa"/>
        </w:trPr>
        <w:tc>
          <w:tcPr>
            <w:tcW w:w="0" w:type="auto"/>
            <w:hideMark/>
          </w:tcPr>
          <w:p w14:paraId="4434645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28FA37B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tuleb sooritada selliste sageduse astmeliste ja sujuvmuutustega, mis on piisavalt suured, et aktiveerida kogu aktiivvõimsuse sageduskaja vahemik,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0E60E6F3"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B3E002B" w14:textId="77777777" w:rsidTr="008E1A17">
        <w:trPr>
          <w:tblCellSpacing w:w="0" w:type="dxa"/>
        </w:trPr>
        <w:tc>
          <w:tcPr>
            <w:tcW w:w="0" w:type="auto"/>
            <w:hideMark/>
          </w:tcPr>
          <w:p w14:paraId="3688A1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2ADCE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14D19B74" w14:textId="77777777">
              <w:trPr>
                <w:tblCellSpacing w:w="0" w:type="dxa"/>
              </w:trPr>
              <w:tc>
                <w:tcPr>
                  <w:tcW w:w="0" w:type="auto"/>
                  <w:hideMark/>
                </w:tcPr>
                <w:p w14:paraId="50CE0D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BDC130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modelleerimismudel on valideeritud sagedustundliku talitluse vastavuskatsega, nagu on kirjeldatud artikli 45 lõikes 3, ning</w:t>
                  </w:r>
                </w:p>
              </w:tc>
            </w:tr>
          </w:tbl>
          <w:p w14:paraId="48456A5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38"/>
              <w:gridCol w:w="8925"/>
            </w:tblGrid>
            <w:tr w:rsidR="008E1A17" w:rsidRPr="00A2039D" w14:paraId="47057219" w14:textId="77777777">
              <w:trPr>
                <w:tblCellSpacing w:w="0" w:type="dxa"/>
              </w:trPr>
              <w:tc>
                <w:tcPr>
                  <w:tcW w:w="0" w:type="auto"/>
                  <w:hideMark/>
                </w:tcPr>
                <w:p w14:paraId="2A0C493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462A29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15 lõike 2 punkti d nõue on täidetud.</w:t>
                  </w:r>
                </w:p>
              </w:tc>
            </w:tr>
          </w:tbl>
          <w:p w14:paraId="36F6F5BC"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5499476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Saartalitluse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848F9F5" w14:textId="77777777" w:rsidTr="008E1A17">
        <w:trPr>
          <w:tblCellSpacing w:w="0" w:type="dxa"/>
        </w:trPr>
        <w:tc>
          <w:tcPr>
            <w:tcW w:w="0" w:type="auto"/>
            <w:hideMark/>
          </w:tcPr>
          <w:p w14:paraId="1755868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4716946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tootmismoodul suudab töötada saartalitluses artikli 15 lõike 5 punkti b tingimustel;</w:t>
            </w:r>
          </w:p>
        </w:tc>
      </w:tr>
    </w:tbl>
    <w:p w14:paraId="32A9F61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647E4E3C" w14:textId="77777777" w:rsidTr="008E1A17">
        <w:trPr>
          <w:tblCellSpacing w:w="0" w:type="dxa"/>
        </w:trPr>
        <w:tc>
          <w:tcPr>
            <w:tcW w:w="0" w:type="auto"/>
            <w:hideMark/>
          </w:tcPr>
          <w:p w14:paraId="3D535C4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4208BE6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modelleerimise võib lugeda edukaks, kui tootmismoodul vähendab või suurendab väljundaktiivvõimsust P-Q graafiku ühest talitluspunktist mis tahes teise punkti liikumisel </w:t>
            </w:r>
            <w:r w:rsidRPr="004D5219">
              <w:rPr>
                <w:rFonts w:ascii="inherit" w:eastAsia="Times New Roman" w:hAnsi="inherit" w:cs="Times New Roman"/>
                <w:sz w:val="24"/>
                <w:szCs w:val="24"/>
                <w:lang w:val="et-EE" w:bidi="ar-SA"/>
              </w:rPr>
              <w:lastRenderedPageBreak/>
              <w:t xml:space="preserve">artikli 15 lõike 5 punktis b esitatud piirides ega katkesta saarega ühendust ala- või </w:t>
            </w:r>
            <w:proofErr w:type="spellStart"/>
            <w:r w:rsidRPr="004D5219">
              <w:rPr>
                <w:rFonts w:ascii="inherit" w:eastAsia="Times New Roman" w:hAnsi="inherit" w:cs="Times New Roman"/>
                <w:sz w:val="24"/>
                <w:szCs w:val="24"/>
                <w:lang w:val="et-EE" w:bidi="ar-SA"/>
              </w:rPr>
              <w:t>ülesageduse</w:t>
            </w:r>
            <w:proofErr w:type="spellEnd"/>
            <w:r w:rsidRPr="004D5219">
              <w:rPr>
                <w:rFonts w:ascii="inherit" w:eastAsia="Times New Roman" w:hAnsi="inherit" w:cs="Times New Roman"/>
                <w:sz w:val="24"/>
                <w:szCs w:val="24"/>
                <w:lang w:val="et-EE" w:bidi="ar-SA"/>
              </w:rPr>
              <w:t xml:space="preserve"> tõttu.</w:t>
            </w:r>
          </w:p>
        </w:tc>
      </w:tr>
    </w:tbl>
    <w:p w14:paraId="5C8C508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5.   Reaktiivvõimsussuutlikkuse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AD47645" w14:textId="77777777" w:rsidTr="008E1A17">
        <w:trPr>
          <w:tblCellSpacing w:w="0" w:type="dxa"/>
        </w:trPr>
        <w:tc>
          <w:tcPr>
            <w:tcW w:w="0" w:type="auto"/>
            <w:hideMark/>
          </w:tcPr>
          <w:p w14:paraId="0DFB1BA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55F79E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et tootmismoodul on suuteline talitlema ennetava ja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reaktiivvõimsusega vastavalt artikli 18 lõike 2 punktide b ja c tingimustele;</w:t>
            </w:r>
          </w:p>
        </w:tc>
      </w:tr>
    </w:tbl>
    <w:p w14:paraId="73CA2FD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5AD7354" w14:textId="77777777" w:rsidTr="008E1A17">
        <w:trPr>
          <w:tblCellSpacing w:w="0" w:type="dxa"/>
        </w:trPr>
        <w:tc>
          <w:tcPr>
            <w:tcW w:w="0" w:type="auto"/>
            <w:hideMark/>
          </w:tcPr>
          <w:p w14:paraId="2E9B732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C9C68D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modelleerimine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75BE4830" w14:textId="77777777">
              <w:trPr>
                <w:tblCellSpacing w:w="0" w:type="dxa"/>
              </w:trPr>
              <w:tc>
                <w:tcPr>
                  <w:tcW w:w="0" w:type="auto"/>
                  <w:hideMark/>
                </w:tcPr>
                <w:p w14:paraId="376FE9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5B4EB68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modelleerimismudel on valideeritud reaktiivvõimsussuutlikkuse vastavuskatsega, nagu on kirjeldatud artikli 45 lõikes 7, ning</w:t>
                  </w:r>
                </w:p>
              </w:tc>
            </w:tr>
          </w:tbl>
          <w:p w14:paraId="1FE45B24"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94"/>
              <w:gridCol w:w="8956"/>
            </w:tblGrid>
            <w:tr w:rsidR="008E1A17" w:rsidRPr="00A2039D" w14:paraId="1E13C9C0" w14:textId="77777777">
              <w:trPr>
                <w:tblCellSpacing w:w="0" w:type="dxa"/>
              </w:trPr>
              <w:tc>
                <w:tcPr>
                  <w:tcW w:w="0" w:type="auto"/>
                  <w:hideMark/>
                </w:tcPr>
                <w:p w14:paraId="168937B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92C285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18 lõike 2 punktide b ja c nõuded on täidetud.</w:t>
                  </w:r>
                </w:p>
              </w:tc>
            </w:tr>
          </w:tbl>
          <w:p w14:paraId="782F9D2B"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7A2E4F54"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53</w:t>
      </w:r>
    </w:p>
    <w:p w14:paraId="5DA64658"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sünkroonmoodulite vastavusmodelleerimine</w:t>
      </w:r>
    </w:p>
    <w:p w14:paraId="4EE58F7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artiklites 51 ja 52 sätestatud B- ja C-tüüpi sünkroonmoodulite vastavusmodelleerimisele, välja arvatud artikli 51 lõikes 3 osutatud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modelleerimine, tuleb D-tüüpi sünkroonmoodulite puhul teha vastavusmodelleerimine, nagu on sätestatud lõigetes 2 ja 3. Tootmisüksuse omanikul on õigus osa või kõigi asjaomaste modelleerimiste asemel teatavale nõudele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tõendeid, mis tuleb esitada asjaomasele võrguettevõtjale.</w:t>
      </w:r>
    </w:p>
    <w:p w14:paraId="57BE690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4C9404C" w14:textId="77777777" w:rsidTr="008E1A17">
        <w:trPr>
          <w:tblCellSpacing w:w="0" w:type="dxa"/>
        </w:trPr>
        <w:tc>
          <w:tcPr>
            <w:tcW w:w="0" w:type="auto"/>
            <w:hideMark/>
          </w:tcPr>
          <w:p w14:paraId="3ECF26D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C124AB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tootmismooduli talitluse juhtimissüsteem koos elektrisüsteemi stabilisaatoriga suudab summutada aktiivvõimsuse võnkumisi vastavalt artikli 19 lõikes 2 sätestatud tingimustele;</w:t>
            </w:r>
          </w:p>
        </w:tc>
      </w:tr>
    </w:tbl>
    <w:p w14:paraId="47B47A14"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4146DB8" w14:textId="77777777" w:rsidTr="008E1A17">
        <w:trPr>
          <w:tblCellSpacing w:w="0" w:type="dxa"/>
        </w:trPr>
        <w:tc>
          <w:tcPr>
            <w:tcW w:w="0" w:type="auto"/>
            <w:hideMark/>
          </w:tcPr>
          <w:p w14:paraId="71BC1C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895561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häälestamisega tuleb saavutada, et elektrisüsteemi stabilisaatori funktsiooniga automaatpingeregulaator toimiks aktiivvõimsuse kaja summutamisel paremini kui ilma selleta;</w:t>
            </w:r>
          </w:p>
        </w:tc>
      </w:tr>
    </w:tbl>
    <w:p w14:paraId="4EC222F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013CFC0" w14:textId="77777777" w:rsidTr="008E1A17">
        <w:trPr>
          <w:tblCellSpacing w:w="0" w:type="dxa"/>
        </w:trPr>
        <w:tc>
          <w:tcPr>
            <w:tcW w:w="0" w:type="auto"/>
            <w:hideMark/>
          </w:tcPr>
          <w:p w14:paraId="08C4C9D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07FB1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modelleerimine loetakse edukaks, kui korraga kehtib järgmine:</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308BA6A3" w14:textId="77777777">
              <w:trPr>
                <w:tblCellSpacing w:w="0" w:type="dxa"/>
              </w:trPr>
              <w:tc>
                <w:tcPr>
                  <w:tcW w:w="0" w:type="auto"/>
                  <w:hideMark/>
                </w:tcPr>
                <w:p w14:paraId="3DC0631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18A5ED4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tänu elektrisüsteemi stabilisaatori funktsioonile summutatakse tootmismooduli aktiivvõimsuse võnkumised asjaomase põhivõrguettevõtja täpsustatud sagedusvahemikus, mis peab sisaldama tootmismooduli enda sagedusi ja eeldatavaid võrgu võnkumisi, ning</w:t>
                  </w:r>
                </w:p>
              </w:tc>
            </w:tr>
          </w:tbl>
          <w:p w14:paraId="788494C0"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14"/>
              <w:gridCol w:w="9049"/>
            </w:tblGrid>
            <w:tr w:rsidR="008E1A17" w:rsidRPr="00A2039D" w14:paraId="3A9593CE" w14:textId="77777777">
              <w:trPr>
                <w:tblCellSpacing w:w="0" w:type="dxa"/>
              </w:trPr>
              <w:tc>
                <w:tcPr>
                  <w:tcW w:w="0" w:type="auto"/>
                  <w:hideMark/>
                </w:tcPr>
                <w:p w14:paraId="114B8C4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1A51437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tarbimise järsk kahanemine 1-st 0,6 suhtelise ühikuni ei põhjusta tootmismooduli aktiiv- ega reaktiivvõimsuse summutamata võnkumisi.</w:t>
                  </w:r>
                </w:p>
              </w:tc>
            </w:tr>
          </w:tbl>
          <w:p w14:paraId="17541770"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6315A4B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D-tüüpi sünkroonmoodulite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6259476" w14:textId="77777777" w:rsidTr="008E1A17">
        <w:trPr>
          <w:tblCellSpacing w:w="0" w:type="dxa"/>
        </w:trPr>
        <w:tc>
          <w:tcPr>
            <w:tcW w:w="0" w:type="auto"/>
            <w:hideMark/>
          </w:tcPr>
          <w:p w14:paraId="505D8B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FC43B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modelleerimisega tuleb näidata, et tootmismoodul suudab rikke läbida artikli 16 lõike 3 punkti a tingimustel;</w:t>
            </w:r>
          </w:p>
        </w:tc>
      </w:tr>
    </w:tbl>
    <w:p w14:paraId="3ABD1F2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FBDA7DB" w14:textId="77777777" w:rsidTr="008E1A17">
        <w:trPr>
          <w:tblCellSpacing w:w="0" w:type="dxa"/>
        </w:trPr>
        <w:tc>
          <w:tcPr>
            <w:tcW w:w="0" w:type="auto"/>
            <w:hideMark/>
          </w:tcPr>
          <w:p w14:paraId="0460DC0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2E6EA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16 lõike 3 punkti a nõue on täidetud.</w:t>
            </w:r>
          </w:p>
        </w:tc>
      </w:tr>
    </w:tbl>
    <w:p w14:paraId="2D08FBAA"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6A705CBE"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4A9CDB1D"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46440A0C"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77742E3C" w14:textId="77777777" w:rsidR="004812B6" w:rsidRDefault="004812B6" w:rsidP="008E1A17">
      <w:pPr>
        <w:widowControl/>
        <w:autoSpaceDE/>
        <w:autoSpaceDN/>
        <w:spacing w:before="480"/>
        <w:jc w:val="center"/>
        <w:rPr>
          <w:rFonts w:ascii="inherit" w:eastAsia="Times New Roman" w:hAnsi="inherit" w:cs="Times New Roman"/>
          <w:b/>
          <w:bCs/>
          <w:i/>
          <w:iCs/>
          <w:color w:val="000000"/>
          <w:sz w:val="24"/>
          <w:szCs w:val="24"/>
          <w:lang w:val="et-EE" w:bidi="ar-SA"/>
        </w:rPr>
      </w:pPr>
    </w:p>
    <w:p w14:paraId="69DD411E" w14:textId="5E785373"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6. PEATÜKK</w:t>
      </w:r>
    </w:p>
    <w:p w14:paraId="6817FD74"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Energiapargimoodulite vastavusmodelleerimised</w:t>
      </w:r>
    </w:p>
    <w:p w14:paraId="7B63380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54</w:t>
      </w:r>
    </w:p>
    <w:p w14:paraId="2868A202"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B-tüüpi energiapargimoodulite vastavusmodelleerimine</w:t>
      </w:r>
    </w:p>
    <w:p w14:paraId="511BF52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B-tüüpi energiapargimoodulite puhul tuleb teha lõigetes 2–5 sätestatud vastavusmodelleerimine. Tootmisüksuse omanikul on õigus osa või kõigi asjaomaste katsete tegemise asemel teatavale nõudele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tõendeid, mis tuleb esitada asjaomasele võrguettevõtjale.</w:t>
      </w:r>
    </w:p>
    <w:p w14:paraId="3899A00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Sageduskaja modelleerimise korral </w:t>
      </w:r>
      <w:proofErr w:type="spellStart"/>
      <w:r w:rsidRPr="004D5219">
        <w:rPr>
          <w:rFonts w:ascii="inherit" w:eastAsia="Times New Roman" w:hAnsi="inherit" w:cs="Times New Roman"/>
          <w:color w:val="000000"/>
          <w:sz w:val="24"/>
          <w:szCs w:val="24"/>
          <w:lang w:val="et-EE" w:bidi="ar-SA"/>
        </w:rPr>
        <w:t>ülesagedusega</w:t>
      </w:r>
      <w:proofErr w:type="spellEnd"/>
      <w:r w:rsidRPr="004D5219">
        <w:rPr>
          <w:rFonts w:ascii="inherit" w:eastAsia="Times New Roman" w:hAnsi="inherit" w:cs="Times New Roman"/>
          <w:color w:val="000000"/>
          <w:sz w:val="24"/>
          <w:szCs w:val="24"/>
          <w:lang w:val="et-EE" w:bidi="ar-SA"/>
        </w:rPr>
        <w:t xml:space="preserve"> piiratud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F8B3BFE" w14:textId="77777777" w:rsidTr="008E1A17">
        <w:trPr>
          <w:tblCellSpacing w:w="0" w:type="dxa"/>
        </w:trPr>
        <w:tc>
          <w:tcPr>
            <w:tcW w:w="0" w:type="auto"/>
            <w:hideMark/>
          </w:tcPr>
          <w:p w14:paraId="789C2C5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A5DE79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modelleerimisega tuleb tõendada energiapargimooduli suutlikkust muuta aktiivvõimsust </w:t>
            </w:r>
            <w:proofErr w:type="spellStart"/>
            <w:r w:rsidRPr="004D5219">
              <w:rPr>
                <w:rFonts w:ascii="inherit" w:eastAsia="Times New Roman" w:hAnsi="inherit" w:cs="Times New Roman"/>
                <w:sz w:val="24"/>
                <w:szCs w:val="24"/>
                <w:lang w:val="et-EE" w:bidi="ar-SA"/>
              </w:rPr>
              <w:t>ülesagedusel</w:t>
            </w:r>
            <w:proofErr w:type="spellEnd"/>
            <w:r w:rsidRPr="004D5219">
              <w:rPr>
                <w:rFonts w:ascii="inherit" w:eastAsia="Times New Roman" w:hAnsi="inherit" w:cs="Times New Roman"/>
                <w:sz w:val="24"/>
                <w:szCs w:val="24"/>
                <w:lang w:val="et-EE" w:bidi="ar-SA"/>
              </w:rPr>
              <w:t xml:space="preserve"> vastavalt artikli 13 lõikele 2;</w:t>
            </w:r>
          </w:p>
        </w:tc>
      </w:tr>
    </w:tbl>
    <w:p w14:paraId="3B893D7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B620658" w14:textId="77777777" w:rsidTr="008E1A17">
        <w:trPr>
          <w:tblCellSpacing w:w="0" w:type="dxa"/>
        </w:trPr>
        <w:tc>
          <w:tcPr>
            <w:tcW w:w="0" w:type="auto"/>
            <w:hideMark/>
          </w:tcPr>
          <w:p w14:paraId="1B07CEE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59A4B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tuleb sooritada </w:t>
            </w:r>
            <w:proofErr w:type="spellStart"/>
            <w:r w:rsidRPr="004D5219">
              <w:rPr>
                <w:rFonts w:ascii="inherit" w:eastAsia="Times New Roman" w:hAnsi="inherit" w:cs="Times New Roman"/>
                <w:sz w:val="24"/>
                <w:szCs w:val="24"/>
                <w:lang w:val="et-EE" w:bidi="ar-SA"/>
              </w:rPr>
              <w:t>ülesagedusel</w:t>
            </w:r>
            <w:proofErr w:type="spellEnd"/>
            <w:r w:rsidRPr="004D5219">
              <w:rPr>
                <w:rFonts w:ascii="inherit" w:eastAsia="Times New Roman" w:hAnsi="inherit" w:cs="Times New Roman"/>
                <w:sz w:val="24"/>
                <w:szCs w:val="24"/>
                <w:lang w:val="et-EE" w:bidi="ar-SA"/>
              </w:rPr>
              <w:t xml:space="preserve">, kasutades sageduse astmelisi ja sujuvmuutusi, minimaalse reguleerimistaseme saavutamiseni,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5A9A4B3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2845671" w14:textId="77777777" w:rsidTr="008E1A17">
        <w:trPr>
          <w:tblCellSpacing w:w="0" w:type="dxa"/>
        </w:trPr>
        <w:tc>
          <w:tcPr>
            <w:tcW w:w="0" w:type="auto"/>
            <w:hideMark/>
          </w:tcPr>
          <w:p w14:paraId="6C44506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13CC531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3C455469" w14:textId="77777777">
              <w:trPr>
                <w:tblCellSpacing w:w="0" w:type="dxa"/>
              </w:trPr>
              <w:tc>
                <w:tcPr>
                  <w:tcW w:w="0" w:type="auto"/>
                  <w:hideMark/>
                </w:tcPr>
                <w:p w14:paraId="209C2F2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22CA0C4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energiapargimooduli modelleerimismudel on valideeritud sageduskaja vastavuskatsega </w:t>
                  </w:r>
                  <w:proofErr w:type="spellStart"/>
                  <w:r w:rsidRPr="004D5219">
                    <w:rPr>
                      <w:rFonts w:ascii="inherit" w:eastAsia="Times New Roman" w:hAnsi="inherit" w:cs="Times New Roman"/>
                      <w:sz w:val="24"/>
                      <w:szCs w:val="24"/>
                      <w:lang w:val="et-EE" w:bidi="ar-SA"/>
                    </w:rPr>
                    <w:t>ülesagedusega</w:t>
                  </w:r>
                  <w:proofErr w:type="spellEnd"/>
                  <w:r w:rsidRPr="004D5219">
                    <w:rPr>
                      <w:rFonts w:ascii="inherit" w:eastAsia="Times New Roman" w:hAnsi="inherit" w:cs="Times New Roman"/>
                      <w:sz w:val="24"/>
                      <w:szCs w:val="24"/>
                      <w:lang w:val="et-EE" w:bidi="ar-SA"/>
                    </w:rPr>
                    <w:t xml:space="preserve"> piiratud sagedustundlikus talitluses, nagu on kirjeldatud artikli 47 lõikes 3, ning</w:t>
                  </w:r>
                </w:p>
              </w:tc>
            </w:tr>
          </w:tbl>
          <w:p w14:paraId="4AC4137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96"/>
              <w:gridCol w:w="8867"/>
            </w:tblGrid>
            <w:tr w:rsidR="008E1A17" w:rsidRPr="00A2039D" w14:paraId="1C135BE2" w14:textId="77777777">
              <w:trPr>
                <w:tblCellSpacing w:w="0" w:type="dxa"/>
              </w:trPr>
              <w:tc>
                <w:tcPr>
                  <w:tcW w:w="0" w:type="auto"/>
                  <w:hideMark/>
                </w:tcPr>
                <w:p w14:paraId="5F2B95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2612033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13 lõike 2 nõue on täidetud.</w:t>
                  </w:r>
                </w:p>
              </w:tc>
            </w:tr>
          </w:tbl>
          <w:p w14:paraId="2DB8B855"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9F5046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266E275D" w14:textId="77777777" w:rsidTr="008E1A17">
        <w:trPr>
          <w:tblCellSpacing w:w="0" w:type="dxa"/>
        </w:trPr>
        <w:tc>
          <w:tcPr>
            <w:tcW w:w="0" w:type="auto"/>
            <w:hideMark/>
          </w:tcPr>
          <w:p w14:paraId="57B74E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E55A38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suudab sisestada kiiret rikkevoolu vastavalt artikli 20 lõike 2 punkti b nõuetele;</w:t>
            </w:r>
          </w:p>
        </w:tc>
      </w:tr>
    </w:tbl>
    <w:p w14:paraId="6AE8E7A9"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5127AF84" w14:textId="77777777" w:rsidTr="008E1A17">
        <w:trPr>
          <w:tblCellSpacing w:w="0" w:type="dxa"/>
        </w:trPr>
        <w:tc>
          <w:tcPr>
            <w:tcW w:w="0" w:type="auto"/>
            <w:hideMark/>
          </w:tcPr>
          <w:p w14:paraId="040C262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1212F7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20 lõike 2 punkti b nõue on täidetud.</w:t>
            </w:r>
          </w:p>
        </w:tc>
      </w:tr>
    </w:tbl>
    <w:p w14:paraId="7A85446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4.   B-tüüpi energiapargimoodulite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modelleerimisel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15DC57C" w14:textId="77777777" w:rsidTr="008E1A17">
        <w:trPr>
          <w:tblCellSpacing w:w="0" w:type="dxa"/>
        </w:trPr>
        <w:tc>
          <w:tcPr>
            <w:tcW w:w="0" w:type="auto"/>
            <w:hideMark/>
          </w:tcPr>
          <w:p w14:paraId="659D068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40FE8A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modelleerimisega tuleb näidata, et tootmismoodul suudab rikke läbida artikli 14 lõike 3 punkti a tingimustel;</w:t>
            </w:r>
          </w:p>
        </w:tc>
      </w:tr>
    </w:tbl>
    <w:p w14:paraId="056DE5F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9EA3B0E" w14:textId="77777777" w:rsidTr="008E1A17">
        <w:trPr>
          <w:tblCellSpacing w:w="0" w:type="dxa"/>
        </w:trPr>
        <w:tc>
          <w:tcPr>
            <w:tcW w:w="0" w:type="auto"/>
            <w:hideMark/>
          </w:tcPr>
          <w:p w14:paraId="641BE5E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D4EFA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14 lõike 3 punkti a nõue on täidetud.</w:t>
            </w:r>
          </w:p>
        </w:tc>
      </w:tr>
    </w:tbl>
    <w:p w14:paraId="29E873E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0C60E7CA" w14:textId="77777777" w:rsidTr="008E1A17">
        <w:trPr>
          <w:tblCellSpacing w:w="0" w:type="dxa"/>
        </w:trPr>
        <w:tc>
          <w:tcPr>
            <w:tcW w:w="0" w:type="auto"/>
            <w:hideMark/>
          </w:tcPr>
          <w:p w14:paraId="55B373C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06E8E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modelleerimisega tuleb näidata, et energiapargimoodul suudab rikkejärgselt taastada aktiivvõimsuse artikli 20 lõike 3 tingimustel;</w:t>
            </w:r>
          </w:p>
        </w:tc>
      </w:tr>
    </w:tbl>
    <w:p w14:paraId="7CA8D4F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582167E" w14:textId="77777777" w:rsidTr="008E1A17">
        <w:trPr>
          <w:tblCellSpacing w:w="0" w:type="dxa"/>
        </w:trPr>
        <w:tc>
          <w:tcPr>
            <w:tcW w:w="0" w:type="auto"/>
            <w:hideMark/>
          </w:tcPr>
          <w:p w14:paraId="73FE3A5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B10907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20 lõike 3 nõue on täidetud.</w:t>
            </w:r>
          </w:p>
        </w:tc>
      </w:tr>
    </w:tbl>
    <w:p w14:paraId="2AA5B8B7"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55</w:t>
      </w:r>
    </w:p>
    <w:p w14:paraId="32AC0F4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C-tüüpi energiapargimoodulite vastavusmodelleerimine</w:t>
      </w:r>
    </w:p>
    <w:p w14:paraId="0DD23B7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artiklis 54 sätestatud B-tüüpi energiapargimoodulite vastavusmodelleerimisele tuleb C-tüüpi energiapargimoodulite puhul teha ka lõigetes 2–7 sätestatud vastavusmodelleerimine. Tootmisüksuse omanikul on õigus osa või kõigi asjaomaste katsete tegemise asemel teatavale nõudele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tõendeid, mis tuleb esitada asjaomasele võrguettevõtjale.</w:t>
      </w:r>
    </w:p>
    <w:p w14:paraId="553FC13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2.   Sageduskaja modelleerimise korral alasagedusega piiratud sagedustundlikus talitluses tuleb täita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269B6B9" w14:textId="77777777" w:rsidTr="008E1A17">
        <w:trPr>
          <w:tblCellSpacing w:w="0" w:type="dxa"/>
        </w:trPr>
        <w:tc>
          <w:tcPr>
            <w:tcW w:w="0" w:type="auto"/>
            <w:hideMark/>
          </w:tcPr>
          <w:p w14:paraId="09E4EA7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E02F47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tõendada, et energiapark on suuteline muutma aktiivvõimsust alasagedusel vastavalt artikli 15 lõike 2 punktile c;</w:t>
            </w:r>
          </w:p>
        </w:tc>
      </w:tr>
    </w:tbl>
    <w:p w14:paraId="6C93BF35"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39F271A" w14:textId="77777777" w:rsidTr="008E1A17">
        <w:trPr>
          <w:tblCellSpacing w:w="0" w:type="dxa"/>
        </w:trPr>
        <w:tc>
          <w:tcPr>
            <w:tcW w:w="0" w:type="auto"/>
            <w:hideMark/>
          </w:tcPr>
          <w:p w14:paraId="7B1B329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D7098B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tuleb sooritada alasagedusel sageduse astmeliste ja sujuvmuutustega kuni maksimumvõimsuseni,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4BABF7F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B89FA09" w14:textId="77777777" w:rsidTr="008E1A17">
        <w:trPr>
          <w:tblCellSpacing w:w="0" w:type="dxa"/>
        </w:trPr>
        <w:tc>
          <w:tcPr>
            <w:tcW w:w="0" w:type="auto"/>
            <w:hideMark/>
          </w:tcPr>
          <w:p w14:paraId="1F55CC8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99417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33494A78" w14:textId="77777777">
              <w:trPr>
                <w:tblCellSpacing w:w="0" w:type="dxa"/>
              </w:trPr>
              <w:tc>
                <w:tcPr>
                  <w:tcW w:w="0" w:type="auto"/>
                  <w:hideMark/>
                </w:tcPr>
                <w:p w14:paraId="014A2C2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158BE7D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energiapargimooduli modelleerimismudel on valideeritud sageduskaja vastavuskatsega alasagedusega piiratud sagedustundlikus talitluses, nagu on kirjeldatud artikli 48 lõikes 3, ning</w:t>
                  </w:r>
                </w:p>
              </w:tc>
            </w:tr>
          </w:tbl>
          <w:p w14:paraId="1DBAA125"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5"/>
              <w:gridCol w:w="8978"/>
            </w:tblGrid>
            <w:tr w:rsidR="008E1A17" w:rsidRPr="00A2039D" w14:paraId="196F5473" w14:textId="77777777">
              <w:trPr>
                <w:tblCellSpacing w:w="0" w:type="dxa"/>
              </w:trPr>
              <w:tc>
                <w:tcPr>
                  <w:tcW w:w="0" w:type="auto"/>
                  <w:hideMark/>
                </w:tcPr>
                <w:p w14:paraId="1BC4C57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6D877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15 lõike 2 punktis c sätestatud nõue on täidetud.</w:t>
                  </w:r>
                </w:p>
              </w:tc>
            </w:tr>
          </w:tbl>
          <w:p w14:paraId="5F077114"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374A091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Sageduskaja modelleerimise korral sagedustundlikus talitluses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37DCFE4" w14:textId="77777777" w:rsidTr="008E1A17">
        <w:trPr>
          <w:tblCellSpacing w:w="0" w:type="dxa"/>
        </w:trPr>
        <w:tc>
          <w:tcPr>
            <w:tcW w:w="0" w:type="auto"/>
            <w:hideMark/>
          </w:tcPr>
          <w:p w14:paraId="2E4B2D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530281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tõendada energiapargimooduli suutlikkust muuta aktiivvõimsust kogu sagedusvahemiku ulatuses vastavalt artikli 15 lõike 2 punktile d;</w:t>
            </w:r>
          </w:p>
        </w:tc>
      </w:tr>
    </w:tbl>
    <w:p w14:paraId="3C9D551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4ED509C7" w14:textId="77777777" w:rsidTr="008E1A17">
        <w:trPr>
          <w:tblCellSpacing w:w="0" w:type="dxa"/>
        </w:trPr>
        <w:tc>
          <w:tcPr>
            <w:tcW w:w="0" w:type="auto"/>
            <w:hideMark/>
          </w:tcPr>
          <w:p w14:paraId="7AD719F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290C102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modelleerimine tuleb sooritada selliste sageduse astmeliste ja sujuvmuutustega, mis on piisavalt suured, et aktiveerida aktiivvõimsuse sageduskaja kogu ulatuses, võttes arvesse </w:t>
            </w:r>
            <w:proofErr w:type="spellStart"/>
            <w:r w:rsidRPr="004D5219">
              <w:rPr>
                <w:rFonts w:ascii="inherit" w:eastAsia="Times New Roman" w:hAnsi="inherit" w:cs="Times New Roman"/>
                <w:sz w:val="24"/>
                <w:szCs w:val="24"/>
                <w:lang w:val="et-EE" w:bidi="ar-SA"/>
              </w:rPr>
              <w:t>statismi</w:t>
            </w:r>
            <w:proofErr w:type="spellEnd"/>
            <w:r w:rsidRPr="004D5219">
              <w:rPr>
                <w:rFonts w:ascii="inherit" w:eastAsia="Times New Roman" w:hAnsi="inherit" w:cs="Times New Roman"/>
                <w:sz w:val="24"/>
                <w:szCs w:val="24"/>
                <w:lang w:val="et-EE" w:bidi="ar-SA"/>
              </w:rPr>
              <w:t xml:space="preserve"> seadistusi ja tundetuspiirkonda;</w:t>
            </w:r>
          </w:p>
        </w:tc>
      </w:tr>
    </w:tbl>
    <w:p w14:paraId="5DE4EE0F"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19C7A2E" w14:textId="77777777" w:rsidTr="008E1A17">
        <w:trPr>
          <w:tblCellSpacing w:w="0" w:type="dxa"/>
        </w:trPr>
        <w:tc>
          <w:tcPr>
            <w:tcW w:w="0" w:type="auto"/>
            <w:hideMark/>
          </w:tcPr>
          <w:p w14:paraId="328D9C5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7DB3050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w:t>
            </w:r>
          </w:p>
          <w:tbl>
            <w:tblPr>
              <w:tblW w:w="5000" w:type="pct"/>
              <w:tblCellSpacing w:w="0" w:type="dxa"/>
              <w:tblCellMar>
                <w:left w:w="0" w:type="dxa"/>
                <w:right w:w="0" w:type="dxa"/>
              </w:tblCellMar>
              <w:tblLook w:val="04A0" w:firstRow="1" w:lastRow="0" w:firstColumn="1" w:lastColumn="0" w:noHBand="0" w:noVBand="1"/>
            </w:tblPr>
            <w:tblGrid>
              <w:gridCol w:w="147"/>
              <w:gridCol w:w="9116"/>
            </w:tblGrid>
            <w:tr w:rsidR="008E1A17" w:rsidRPr="00A2039D" w14:paraId="5A225230" w14:textId="77777777">
              <w:trPr>
                <w:tblCellSpacing w:w="0" w:type="dxa"/>
              </w:trPr>
              <w:tc>
                <w:tcPr>
                  <w:tcW w:w="0" w:type="auto"/>
                  <w:hideMark/>
                </w:tcPr>
                <w:p w14:paraId="57D5A8F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3ABF5B6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energiapargimooduli modelleerimismudel on valideeritud sageduskaja vastavuskatsega sagedustundlikus talitluses, nagu on kirjeldatud artikli 48 lõikes 4, ning</w:t>
                  </w:r>
                </w:p>
              </w:tc>
            </w:tr>
          </w:tbl>
          <w:p w14:paraId="71B7D81F"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85"/>
              <w:gridCol w:w="8978"/>
            </w:tblGrid>
            <w:tr w:rsidR="008E1A17" w:rsidRPr="00A2039D" w14:paraId="483CC5B1" w14:textId="77777777">
              <w:trPr>
                <w:tblCellSpacing w:w="0" w:type="dxa"/>
              </w:trPr>
              <w:tc>
                <w:tcPr>
                  <w:tcW w:w="0" w:type="auto"/>
                  <w:hideMark/>
                </w:tcPr>
                <w:p w14:paraId="34EB118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390D247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15 lõike 2 punktis d sätestatud nõue on täidetud.</w:t>
                  </w:r>
                </w:p>
              </w:tc>
            </w:tr>
          </w:tbl>
          <w:p w14:paraId="5E78F6AF"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4B08120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Saartalitluse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1C70FA69" w14:textId="77777777" w:rsidTr="008E1A17">
        <w:trPr>
          <w:tblCellSpacing w:w="0" w:type="dxa"/>
        </w:trPr>
        <w:tc>
          <w:tcPr>
            <w:tcW w:w="0" w:type="auto"/>
            <w:hideMark/>
          </w:tcPr>
          <w:p w14:paraId="0FA9405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B14EA6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suudab töötada saartalitluses artikli 15 lõike 5 punkti b tingimustel;</w:t>
            </w:r>
          </w:p>
        </w:tc>
      </w:tr>
    </w:tbl>
    <w:p w14:paraId="35436031"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376E8E83" w14:textId="77777777" w:rsidTr="008E1A17">
        <w:trPr>
          <w:tblCellSpacing w:w="0" w:type="dxa"/>
        </w:trPr>
        <w:tc>
          <w:tcPr>
            <w:tcW w:w="0" w:type="auto"/>
            <w:hideMark/>
          </w:tcPr>
          <w:p w14:paraId="74CE0DA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FEF391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modelleerimise võib lugeda edukaks, kui energiapargimoodul vähendab või suurendab väljundaktiivvõimsust P-Q graafiku ühest talitluspunktist mis tahes teise punkti liikumisel artikli 15 lõike 5 punktis b esitatud piirides ega katkesta saarega ühendust ala- või </w:t>
            </w:r>
            <w:proofErr w:type="spellStart"/>
            <w:r w:rsidRPr="004D5219">
              <w:rPr>
                <w:rFonts w:ascii="inherit" w:eastAsia="Times New Roman" w:hAnsi="inherit" w:cs="Times New Roman"/>
                <w:sz w:val="24"/>
                <w:szCs w:val="24"/>
                <w:lang w:val="et-EE" w:bidi="ar-SA"/>
              </w:rPr>
              <w:t>ülesageduse</w:t>
            </w:r>
            <w:proofErr w:type="spellEnd"/>
            <w:r w:rsidRPr="004D5219">
              <w:rPr>
                <w:rFonts w:ascii="inherit" w:eastAsia="Times New Roman" w:hAnsi="inherit" w:cs="Times New Roman"/>
                <w:sz w:val="24"/>
                <w:szCs w:val="24"/>
                <w:lang w:val="et-EE" w:bidi="ar-SA"/>
              </w:rPr>
              <w:t xml:space="preserve"> tõttu.</w:t>
            </w:r>
          </w:p>
        </w:tc>
      </w:tr>
    </w:tbl>
    <w:p w14:paraId="275DF8E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Tehisinertsi tekitamise suutlikkuse katse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7D11071" w14:textId="77777777" w:rsidTr="008E1A17">
        <w:trPr>
          <w:tblCellSpacing w:w="0" w:type="dxa"/>
        </w:trPr>
        <w:tc>
          <w:tcPr>
            <w:tcW w:w="0" w:type="auto"/>
            <w:hideMark/>
          </w:tcPr>
          <w:p w14:paraId="5B2384E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CAF2FF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modelleerimisega tuleb näidata, et energiapargimoodul suudab tekitada tehisinertsi alasageduse puhul, nagu on sätestatud artikli 21 lõike 2 punktis a;</w:t>
            </w:r>
          </w:p>
        </w:tc>
      </w:tr>
    </w:tbl>
    <w:p w14:paraId="5A70B1E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134EFBC8" w14:textId="77777777" w:rsidTr="008E1A17">
        <w:trPr>
          <w:tblCellSpacing w:w="0" w:type="dxa"/>
        </w:trPr>
        <w:tc>
          <w:tcPr>
            <w:tcW w:w="0" w:type="auto"/>
            <w:hideMark/>
          </w:tcPr>
          <w:p w14:paraId="3066494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F17135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sellega tõendatakse, et artikli 21 lõike 2 nõue on täidetud.</w:t>
            </w:r>
          </w:p>
        </w:tc>
      </w:tr>
    </w:tbl>
    <w:p w14:paraId="581DDA1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Reaktiivvõimsussuutlikkuse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8CEB06C" w14:textId="77777777" w:rsidTr="008E1A17">
        <w:trPr>
          <w:tblCellSpacing w:w="0" w:type="dxa"/>
        </w:trPr>
        <w:tc>
          <w:tcPr>
            <w:tcW w:w="0" w:type="auto"/>
            <w:hideMark/>
          </w:tcPr>
          <w:p w14:paraId="0C443AD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091EA1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 xml:space="preserve">tuleb näidata, et energiapargimoodul suudab talitleda nii ennetava kui ka </w:t>
            </w:r>
            <w:proofErr w:type="spellStart"/>
            <w:r w:rsidRPr="004D5219">
              <w:rPr>
                <w:rFonts w:ascii="inherit" w:eastAsia="Times New Roman" w:hAnsi="inherit" w:cs="Times New Roman"/>
                <w:sz w:val="24"/>
                <w:szCs w:val="24"/>
                <w:lang w:val="et-EE" w:bidi="ar-SA"/>
              </w:rPr>
              <w:t>hilistuva</w:t>
            </w:r>
            <w:proofErr w:type="spellEnd"/>
            <w:r w:rsidRPr="004D5219">
              <w:rPr>
                <w:rFonts w:ascii="inherit" w:eastAsia="Times New Roman" w:hAnsi="inherit" w:cs="Times New Roman"/>
                <w:sz w:val="24"/>
                <w:szCs w:val="24"/>
                <w:lang w:val="et-EE" w:bidi="ar-SA"/>
              </w:rPr>
              <w:t xml:space="preserve"> reaktiivvõimsusega vastavalt artikli 21 lõike 3 punktidele b ja c;</w:t>
            </w:r>
          </w:p>
        </w:tc>
      </w:tr>
    </w:tbl>
    <w:p w14:paraId="5C531C4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D26DE83" w14:textId="77777777" w:rsidTr="008E1A17">
        <w:trPr>
          <w:tblCellSpacing w:w="0" w:type="dxa"/>
        </w:trPr>
        <w:tc>
          <w:tcPr>
            <w:tcW w:w="0" w:type="auto"/>
            <w:hideMark/>
          </w:tcPr>
          <w:p w14:paraId="7B7122C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E508C6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modelleerimine loetakse edukaks, kui korraga on täidetud mõlemad nõuded:</w:t>
            </w:r>
          </w:p>
          <w:tbl>
            <w:tblPr>
              <w:tblW w:w="5000" w:type="pct"/>
              <w:tblCellSpacing w:w="0" w:type="dxa"/>
              <w:tblCellMar>
                <w:left w:w="0" w:type="dxa"/>
                <w:right w:w="0" w:type="dxa"/>
              </w:tblCellMar>
              <w:tblLook w:val="04A0" w:firstRow="1" w:lastRow="0" w:firstColumn="1" w:lastColumn="0" w:noHBand="0" w:noVBand="1"/>
            </w:tblPr>
            <w:tblGrid>
              <w:gridCol w:w="147"/>
              <w:gridCol w:w="9103"/>
            </w:tblGrid>
            <w:tr w:rsidR="008E1A17" w:rsidRPr="00A2039D" w14:paraId="3D05BF83" w14:textId="77777777">
              <w:trPr>
                <w:tblCellSpacing w:w="0" w:type="dxa"/>
              </w:trPr>
              <w:tc>
                <w:tcPr>
                  <w:tcW w:w="0" w:type="auto"/>
                  <w:hideMark/>
                </w:tcPr>
                <w:p w14:paraId="3327305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w:t>
                  </w:r>
                </w:p>
              </w:tc>
              <w:tc>
                <w:tcPr>
                  <w:tcW w:w="0" w:type="auto"/>
                  <w:hideMark/>
                </w:tcPr>
                <w:p w14:paraId="0176938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energiapargimooduli modelleerimismudel on valideeritud reaktiivvõimsussuutlikkuse vastavuskatsega, nagu on kirjeldatud artikli 48 lõikes 6, ning</w:t>
                  </w:r>
                </w:p>
              </w:tc>
            </w:tr>
          </w:tbl>
          <w:p w14:paraId="2090E3E7" w14:textId="77777777" w:rsidR="008E1A17" w:rsidRPr="004D5219" w:rsidRDefault="008E1A17" w:rsidP="008E1A17">
            <w:pPr>
              <w:widowControl/>
              <w:autoSpaceDE/>
              <w:autoSpaceDN/>
              <w:rPr>
                <w:rFonts w:ascii="inherit" w:eastAsia="Times New Roman" w:hAnsi="inherit" w:cs="Times New Roman"/>
                <w:vanish/>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61"/>
              <w:gridCol w:w="8989"/>
            </w:tblGrid>
            <w:tr w:rsidR="008E1A17" w:rsidRPr="00A2039D" w14:paraId="7C49ABE5" w14:textId="77777777">
              <w:trPr>
                <w:tblCellSpacing w:w="0" w:type="dxa"/>
              </w:trPr>
              <w:tc>
                <w:tcPr>
                  <w:tcW w:w="0" w:type="auto"/>
                  <w:hideMark/>
                </w:tcPr>
                <w:p w14:paraId="7183D5A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ii)</w:t>
                  </w:r>
                </w:p>
              </w:tc>
              <w:tc>
                <w:tcPr>
                  <w:tcW w:w="0" w:type="auto"/>
                  <w:hideMark/>
                </w:tcPr>
                <w:p w14:paraId="69A86578"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on näidatud, et artikli 21 lõike 3 punktides b ja c sätestatud nõue on täidetud.</w:t>
                  </w:r>
                </w:p>
              </w:tc>
            </w:tr>
          </w:tbl>
          <w:p w14:paraId="31546156" w14:textId="77777777" w:rsidR="008E1A17" w:rsidRPr="004D5219" w:rsidRDefault="008E1A17" w:rsidP="008E1A17">
            <w:pPr>
              <w:widowControl/>
              <w:autoSpaceDE/>
              <w:autoSpaceDN/>
              <w:rPr>
                <w:rFonts w:ascii="inherit" w:eastAsia="Times New Roman" w:hAnsi="inherit" w:cs="Times New Roman"/>
                <w:sz w:val="24"/>
                <w:szCs w:val="24"/>
                <w:lang w:val="et-EE" w:bidi="ar-SA"/>
              </w:rPr>
            </w:pPr>
          </w:p>
        </w:tc>
      </w:tr>
    </w:tbl>
    <w:p w14:paraId="2732F8E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Võimsuse võnkumise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9AF550D" w14:textId="77777777" w:rsidTr="008E1A17">
        <w:trPr>
          <w:tblCellSpacing w:w="0" w:type="dxa"/>
        </w:trPr>
        <w:tc>
          <w:tcPr>
            <w:tcW w:w="0" w:type="auto"/>
            <w:hideMark/>
          </w:tcPr>
          <w:p w14:paraId="6983309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68EC3B6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tuleb näidata, et energiapargimoodul on suuteline summutama aktiivvõimsuse võnkumist vastavalt artikli 21 lõike 3 punktile f;</w:t>
            </w:r>
          </w:p>
        </w:tc>
      </w:tr>
    </w:tbl>
    <w:p w14:paraId="665EB8E0"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D526E09" w14:textId="77777777" w:rsidTr="008E1A17">
        <w:trPr>
          <w:tblCellSpacing w:w="0" w:type="dxa"/>
        </w:trPr>
        <w:tc>
          <w:tcPr>
            <w:tcW w:w="0" w:type="auto"/>
            <w:hideMark/>
          </w:tcPr>
          <w:p w14:paraId="5AE74B7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b)</w:t>
            </w:r>
          </w:p>
        </w:tc>
        <w:tc>
          <w:tcPr>
            <w:tcW w:w="0" w:type="auto"/>
            <w:hideMark/>
          </w:tcPr>
          <w:p w14:paraId="7646986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modelleerimist võib pidada edukaks, kui mudeliga saab näidata vastavust artikli 21 lõike 3 punktis f sätestatud tingimustele.</w:t>
            </w:r>
          </w:p>
        </w:tc>
      </w:tr>
    </w:tbl>
    <w:p w14:paraId="2E53FA0E"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56</w:t>
      </w:r>
    </w:p>
    <w:p w14:paraId="66ACBA0F"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D-tüüpi energiapargimoodulite vastavusmodelleerimine</w:t>
      </w:r>
    </w:p>
    <w:p w14:paraId="0B6ABC8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1.   Lisaks artiklites 54 ja 55 sätestatud B- ja C-tüüpi energiapargimoodulite vastavusmodelleerimisele, välja arvatud artikli 54 lõikes 4 osutatud B-tüüpi energiapargimoodulite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tuleb D-tüüpi energiapargimoodulitega teha </w:t>
      </w:r>
      <w:proofErr w:type="spellStart"/>
      <w:r w:rsidRPr="004D5219">
        <w:rPr>
          <w:rFonts w:ascii="inherit" w:eastAsia="Times New Roman" w:hAnsi="inherit" w:cs="Times New Roman"/>
          <w:color w:val="000000"/>
          <w:sz w:val="24"/>
          <w:szCs w:val="24"/>
          <w:lang w:val="et-EE" w:bidi="ar-SA"/>
        </w:rPr>
        <w:t>rikkeläbimisvõime</w:t>
      </w:r>
      <w:proofErr w:type="spellEnd"/>
      <w:r w:rsidRPr="004D5219">
        <w:rPr>
          <w:rFonts w:ascii="inherit" w:eastAsia="Times New Roman" w:hAnsi="inherit" w:cs="Times New Roman"/>
          <w:color w:val="000000"/>
          <w:sz w:val="24"/>
          <w:szCs w:val="24"/>
          <w:lang w:val="et-EE" w:bidi="ar-SA"/>
        </w:rPr>
        <w:t xml:space="preserve"> vastavusmodelleerimine.</w:t>
      </w:r>
    </w:p>
    <w:p w14:paraId="18CF29D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Tootmisüksuse omanikul on õigus osa või kõigi lõikes 1 osutatud modelleerimiste asemel vastavuse tõendamiseks kasutada volitatud </w:t>
      </w:r>
      <w:proofErr w:type="spellStart"/>
      <w:r w:rsidRPr="004D5219">
        <w:rPr>
          <w:rFonts w:ascii="inherit" w:eastAsia="Times New Roman" w:hAnsi="inherit" w:cs="Times New Roman"/>
          <w:color w:val="000000"/>
          <w:sz w:val="24"/>
          <w:szCs w:val="24"/>
          <w:lang w:val="et-EE" w:bidi="ar-SA"/>
        </w:rPr>
        <w:t>sertifitseerija</w:t>
      </w:r>
      <w:proofErr w:type="spellEnd"/>
      <w:r w:rsidRPr="004D5219">
        <w:rPr>
          <w:rFonts w:ascii="inherit" w:eastAsia="Times New Roman" w:hAnsi="inherit" w:cs="Times New Roman"/>
          <w:color w:val="000000"/>
          <w:sz w:val="24"/>
          <w:szCs w:val="24"/>
          <w:lang w:val="et-EE" w:bidi="ar-SA"/>
        </w:rPr>
        <w:t xml:space="preserve"> välja antud tõendeid, mis tuleb esitada asjaomasele võrguettevõtjale.</w:t>
      </w:r>
    </w:p>
    <w:p w14:paraId="5E83CED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Tuleb näidata, et energiapargimooduli mudeliga saab modelleerida </w:t>
      </w:r>
      <w:proofErr w:type="spellStart"/>
      <w:r w:rsidRPr="004D5219">
        <w:rPr>
          <w:rFonts w:ascii="inherit" w:eastAsia="Times New Roman" w:hAnsi="inherit" w:cs="Times New Roman"/>
          <w:color w:val="000000"/>
          <w:sz w:val="24"/>
          <w:szCs w:val="24"/>
          <w:lang w:val="et-EE" w:bidi="ar-SA"/>
        </w:rPr>
        <w:t>rikkeläbimisvõimet</w:t>
      </w:r>
      <w:proofErr w:type="spellEnd"/>
      <w:r w:rsidRPr="004D5219">
        <w:rPr>
          <w:rFonts w:ascii="inherit" w:eastAsia="Times New Roman" w:hAnsi="inherit" w:cs="Times New Roman"/>
          <w:color w:val="000000"/>
          <w:sz w:val="24"/>
          <w:szCs w:val="24"/>
          <w:lang w:val="et-EE" w:bidi="ar-SA"/>
        </w:rPr>
        <w:t xml:space="preserve"> vastavalt artikli 16 lõike 3 punktile a.</w:t>
      </w:r>
    </w:p>
    <w:p w14:paraId="01A272B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Modelleerimist võib pidada edukaks, kui mudeliga tõendatakse, et artikli 16 lõike 3 punkti a nõue on täidetud.</w:t>
      </w:r>
    </w:p>
    <w:p w14:paraId="50166AFB"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7. PEATÜKK</w:t>
      </w:r>
    </w:p>
    <w:p w14:paraId="0712FD00"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Avamere energiapargimoodulite vastavusmodelleerimised</w:t>
      </w:r>
    </w:p>
    <w:p w14:paraId="7E809175"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57</w:t>
      </w:r>
    </w:p>
    <w:p w14:paraId="25593901"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Avamere energiapargimoodulite vastavusmodelleerimine</w:t>
      </w:r>
    </w:p>
    <w:p w14:paraId="6AECACC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Avamere energiapargimoodulite suhtes kohaldatakse vastavusmodelleerimist, mis on sätestatud artikli 54 lõigetes 3 ja 5 ning artikli 55 lõigetes 4, 5 ja 7.</w:t>
      </w:r>
    </w:p>
    <w:p w14:paraId="14AE6C0D"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8. PEATÜKK</w:t>
      </w:r>
    </w:p>
    <w:p w14:paraId="0273E31A"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i/>
          <w:iCs/>
          <w:color w:val="000000"/>
          <w:sz w:val="24"/>
          <w:szCs w:val="24"/>
          <w:lang w:val="et-EE" w:bidi="ar-SA"/>
        </w:rPr>
        <w:t>Mittesiduvad juhised ja rakendamise jälgimine</w:t>
      </w:r>
    </w:p>
    <w:p w14:paraId="32DC0EA6"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58</w:t>
      </w:r>
    </w:p>
    <w:p w14:paraId="3F2AC49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Mittesiduvad rakendamisjuhised</w:t>
      </w:r>
    </w:p>
    <w:p w14:paraId="66C5580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Euroopa elektri põhivõrguettevõtjate võrgustik peab koostama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14:paraId="3BCF100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Mittesiduvate juhiste pakkumisel konsulteerib Euroopa elektri põhivõrguettevõtjate võrgustik sidusrühmadega.</w:t>
      </w:r>
    </w:p>
    <w:p w14:paraId="11A7F18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Mittesiduvates juhistes tuleb käsitleda tehnilisi küsimusi, tingimusi ja vastastikuseid seoseid, millega tuleb arvestada käesoleva määruse nõuete täitmisel riigi tasandil.</w:t>
      </w:r>
    </w:p>
    <w:p w14:paraId="72E9BF53"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59</w:t>
      </w:r>
    </w:p>
    <w:p w14:paraId="0C5DD9F4"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Järelevalve</w:t>
      </w:r>
    </w:p>
    <w:p w14:paraId="077F106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46DD1AA" w14:textId="77777777" w:rsidTr="008E1A17">
        <w:trPr>
          <w:tblCellSpacing w:w="0" w:type="dxa"/>
        </w:trPr>
        <w:tc>
          <w:tcPr>
            <w:tcW w:w="0" w:type="auto"/>
            <w:hideMark/>
          </w:tcPr>
          <w:p w14:paraId="30A5F49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lastRenderedPageBreak/>
              <w:t>a)</w:t>
            </w:r>
          </w:p>
        </w:tc>
        <w:tc>
          <w:tcPr>
            <w:tcW w:w="0" w:type="auto"/>
            <w:hideMark/>
          </w:tcPr>
          <w:p w14:paraId="69A4701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kõikide käesoleva määruse riigi tasandil rakendamisel tekkivate lahknevuste väljaselgitamine ning</w:t>
            </w:r>
          </w:p>
        </w:tc>
      </w:tr>
    </w:tbl>
    <w:p w14:paraId="64114B62"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0A0323CA" w14:textId="77777777" w:rsidTr="008E1A17">
        <w:trPr>
          <w:tblCellSpacing w:w="0" w:type="dxa"/>
        </w:trPr>
        <w:tc>
          <w:tcPr>
            <w:tcW w:w="0" w:type="auto"/>
            <w:hideMark/>
          </w:tcPr>
          <w:p w14:paraId="0685ECA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AD3CA4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hinnangute andmine selle kohta, kas tootmismoodulite kohta sätestatud nõuetes on väärtused ja vahemikud jätkuvalt kehtivad.</w:t>
            </w:r>
          </w:p>
        </w:tc>
      </w:tr>
    </w:tbl>
    <w:p w14:paraId="3580BFB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Sellist asjakohase teabe loetelu võib ajakohastada. Euroopa elektri põhivõrguettevõtjate võrgustik peab säilitama koostööameti nõutavat teavet põhjalikus standarditud vorminguga digitaalses andmearhiivis.</w:t>
      </w:r>
    </w:p>
    <w:p w14:paraId="2748C12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Asjaomased põhivõrguettevõtjad peavad esitama Euroopa elektri põhivõrguettevõtjate võrgustikule teavet, mida on vaja lõigetes 1 ja 2 osutatud kohustuste täitmiseks.</w:t>
      </w:r>
    </w:p>
    <w:p w14:paraId="2D27BD6E"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Reguleeriva asutuse taotlusel peavad jaotusvõrguettevõtjad esitama põhivõrguettevõtjatele lõike 2 kohaselt teavet, kuid dubleerimise vältimiseks mitte sel juhul, kui reguleerival asutusel, koostööametil või Euroopa elektri põhivõrguettevõtjate võrgustikul on seoses järelevalveülesannete täitmisega teave juba olemas.</w:t>
      </w:r>
    </w:p>
    <w:p w14:paraId="689AF5E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Kui Euroopa elektri põhivõrguettevõtjate võrgustik või koostööamet määrab kindlaks käesoleva määrusega hõlmatud valdkonnad, mille puhul turu arenguga või käesoleva määruse rakendamisega seoses on selgunud vajadus ühtlustada käesoleva määrusega seotud nõudeid, et edendada turu ühendamist, tuleb neil koostada käesoleva määruse muudatuste kavand vastavalt määruse (EÜ) nr 714/2009 artikli 7 lõikele 1.</w:t>
      </w:r>
    </w:p>
    <w:p w14:paraId="1BD7BF89"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V JAOTIS</w:t>
      </w:r>
    </w:p>
    <w:p w14:paraId="3EDBBBD8"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ERANDID</w:t>
      </w:r>
    </w:p>
    <w:p w14:paraId="0EC2157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60</w:t>
      </w:r>
    </w:p>
    <w:p w14:paraId="46BEB22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Erandite lubamise õigus</w:t>
      </w:r>
    </w:p>
    <w:p w14:paraId="1CC54A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Reguleeriv asutus võib artiklite 61–63 kohaselt lubada tootmisüksuse omaniku või tulevase omaniku, asjaomase võrguettevõtja või põhivõrguettevõtja taotlusel tootmisüksuse omanikele või tulevastele omanikele, asjaomasele võrguettevõtjale või põhivõrguettevõtjale erandi ühe või mitme käesoleva määruse sätte osas uute ja olemasolevate tootmismoodulite jaoks.</w:t>
      </w:r>
    </w:p>
    <w:p w14:paraId="57D827E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Juhul kui liikmesriigis on see kohaldatav, võivad ka muud asutused peale reguleeriva asutuse lubada erandeid ja neid tühistada vastavalt artiklitele 61–63.</w:t>
      </w:r>
    </w:p>
    <w:p w14:paraId="1A7EF56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61</w:t>
      </w:r>
    </w:p>
    <w:p w14:paraId="13982969"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proofErr w:type="spellStart"/>
      <w:r w:rsidRPr="004D5219">
        <w:rPr>
          <w:rFonts w:ascii="inherit" w:eastAsia="Times New Roman" w:hAnsi="inherit" w:cs="Times New Roman"/>
          <w:b/>
          <w:bCs/>
          <w:color w:val="000000"/>
          <w:sz w:val="24"/>
          <w:szCs w:val="24"/>
          <w:lang w:val="et-EE" w:bidi="ar-SA"/>
        </w:rPr>
        <w:t>Üldsätted</w:t>
      </w:r>
      <w:proofErr w:type="spellEnd"/>
    </w:p>
    <w:p w14:paraId="4F796A3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Iga reguleeriv asutus määrab pärast konsulteerimist asjaomaste võrguettevõtjate, tootmisüksuste omanike ja muude huvitatud isikutega, keda nende arvates käesolev määrus puudutab, kindlaks nõuded erandite lubamiseks vastavalt artiklitele 62 ja 63. Vastav reguleeriv asutus peab need nõuded avaldama oma veebilehel ja teatavaks tegema komisjonile hiljemalt üheksa kuud pärast käesoleva määruse jõustumist. Komisjon võib nõuda, et reguleeriv asutus muudaks nõudeid, kui ta leiab, et need ei ole kooskõlas käesoleva määrusega. See võimalus läbi vaadata ja muuta erandite lubamise nõudeid ei tohi mõjutada juba lubatud erandeid, mida kohaldatakse kuni määratud tähtaja lõpuni, nagu on sätestatud erandi tegemise otsuses.</w:t>
      </w:r>
    </w:p>
    <w:p w14:paraId="7FEC042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Kui asjaomane reguleeriv asutus leiab, et süsteemi nõuete muutumisest tingitud muutunud asjaolude tõttu on see vajalik, võib ta lõike 1 kohaselt erandite lubamise nõuded läbi vaadata ja neid </w:t>
      </w:r>
      <w:r w:rsidRPr="004D5219">
        <w:rPr>
          <w:rFonts w:ascii="inherit" w:eastAsia="Times New Roman" w:hAnsi="inherit" w:cs="Times New Roman"/>
          <w:color w:val="000000"/>
          <w:sz w:val="24"/>
          <w:szCs w:val="24"/>
          <w:lang w:val="et-EE" w:bidi="ar-SA"/>
        </w:rPr>
        <w:lastRenderedPageBreak/>
        <w:t>muuta mitte rohkem kui üks kord aastas. Ühtki nõuete muudatust ei tohi kohaldada erandite suhtes, mille taotlus on juba esitatud.</w:t>
      </w:r>
    </w:p>
    <w:p w14:paraId="1C69813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Reguleeriv asutus võib otsustada, et tootmismoodulid, mille kohta on esitatud eranditaotlus vastavalt artiklile 62 või 63, ei pea vastama käesoleva eeskirja nõuetele, mille osas erandit taotletakse, taotluse esitamise päevast kuni reguleeriva asutuse otsuse tegemiseni.</w:t>
      </w:r>
    </w:p>
    <w:p w14:paraId="168F552E"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62</w:t>
      </w:r>
    </w:p>
    <w:p w14:paraId="13C387A7"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Tootmisüksuse omaniku esitatud eranditaotlus</w:t>
      </w:r>
    </w:p>
    <w:p w14:paraId="4F37BF2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Tootmisüksuse omanik või tulevane omanik võib seoses ühe või mitme käesoleva määruse nõudega esitada eranditaotluse oma tootmisüksuse tootmismoodulite kohta.</w:t>
      </w:r>
    </w:p>
    <w:p w14:paraId="28ACF87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Eranditaotlus tuleb esitada asjaomasele võrguettevõtjale ja see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5A0AD762" w14:textId="77777777" w:rsidTr="008E1A17">
        <w:trPr>
          <w:tblCellSpacing w:w="0" w:type="dxa"/>
        </w:trPr>
        <w:tc>
          <w:tcPr>
            <w:tcW w:w="0" w:type="auto"/>
            <w:hideMark/>
          </w:tcPr>
          <w:p w14:paraId="0EC490A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25EEED1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omaniku või tulevase omaniku tunnusandmed ja kontaktisik ühenduse pidamiseks;</w:t>
            </w:r>
          </w:p>
        </w:tc>
      </w:tr>
    </w:tbl>
    <w:p w14:paraId="6CF5BBB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4"/>
        <w:gridCol w:w="9176"/>
      </w:tblGrid>
      <w:tr w:rsidR="008E1A17" w:rsidRPr="00A2039D" w14:paraId="364D08BD" w14:textId="77777777" w:rsidTr="008E1A17">
        <w:trPr>
          <w:tblCellSpacing w:w="0" w:type="dxa"/>
        </w:trPr>
        <w:tc>
          <w:tcPr>
            <w:tcW w:w="0" w:type="auto"/>
            <w:hideMark/>
          </w:tcPr>
          <w:p w14:paraId="2A304C8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19F3BAA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sellis(t)e tootmismooduli(te) kirjeldus, mille jaoks erandit taotletakse;</w:t>
            </w:r>
          </w:p>
        </w:tc>
      </w:tr>
    </w:tbl>
    <w:p w14:paraId="4455139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61C6DFAA" w14:textId="77777777" w:rsidTr="008E1A17">
        <w:trPr>
          <w:tblCellSpacing w:w="0" w:type="dxa"/>
        </w:trPr>
        <w:tc>
          <w:tcPr>
            <w:tcW w:w="0" w:type="auto"/>
            <w:hideMark/>
          </w:tcPr>
          <w:p w14:paraId="0EDDC5B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6CF72EA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viide käesoleva määruse sätetele, millega seoses erandit taotletakse, ja taotletava erandi üksikasjalik kirjeldus;</w:t>
            </w:r>
          </w:p>
        </w:tc>
      </w:tr>
    </w:tbl>
    <w:p w14:paraId="257F72C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18240D3" w14:textId="77777777" w:rsidTr="008E1A17">
        <w:trPr>
          <w:tblCellSpacing w:w="0" w:type="dxa"/>
        </w:trPr>
        <w:tc>
          <w:tcPr>
            <w:tcW w:w="0" w:type="auto"/>
            <w:hideMark/>
          </w:tcPr>
          <w:p w14:paraId="2562CCA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5A5106E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 põhjendus koos asjaomaste dokumentidega ja tasuvusanalüüs vastavalt artikli 39 nõuetele;</w:t>
            </w:r>
          </w:p>
        </w:tc>
      </w:tr>
    </w:tbl>
    <w:p w14:paraId="2CFDE35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26"/>
        <w:gridCol w:w="9224"/>
      </w:tblGrid>
      <w:tr w:rsidR="008E1A17" w:rsidRPr="00A2039D" w14:paraId="33E7E3EF" w14:textId="77777777" w:rsidTr="008E1A17">
        <w:trPr>
          <w:tblCellSpacing w:w="0" w:type="dxa"/>
        </w:trPr>
        <w:tc>
          <w:tcPr>
            <w:tcW w:w="0" w:type="auto"/>
            <w:hideMark/>
          </w:tcPr>
          <w:p w14:paraId="2307C18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7B98E7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tõendus, et taotletav erand ei avalda kahjulikku mõju piiriülesele kaubandusele.</w:t>
            </w:r>
          </w:p>
        </w:tc>
      </w:tr>
    </w:tbl>
    <w:p w14:paraId="622026E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Eranditaotluse saamisest kahe nädala jooksul peab asjaomane võrguettevõtja teatama tootmisüksuse omanikule või tulevasele omanikule, kas taotlus on täielik. Kui asjaomane võrguettevõtja leiab, et taotlus ei ole täielik, peab tootmisüksuse omanik või tulevane omanik esitama täiendava teabe ühe kuu jooksul alates täiendava teabe taotluse saamisest. Kui tootmisüksuse omanik või tulevane omanik ei esita taotletud teavet tähtajaks, loetakse eranditaotlus tagasivõetuks.</w:t>
      </w:r>
    </w:p>
    <w:p w14:paraId="06817F6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Asjaomane võrguettevõtja peab kooskõlastatult asjaomase põhivõrguettevõtjaga ja asjaga seotud naaberpiirkondade jaotusvõrguettevõtja(te)</w:t>
      </w:r>
      <w:proofErr w:type="spellStart"/>
      <w:r w:rsidRPr="004D5219">
        <w:rPr>
          <w:rFonts w:ascii="inherit" w:eastAsia="Times New Roman" w:hAnsi="inherit" w:cs="Times New Roman"/>
          <w:color w:val="000000"/>
          <w:sz w:val="24"/>
          <w:szCs w:val="24"/>
          <w:lang w:val="et-EE" w:bidi="ar-SA"/>
        </w:rPr>
        <w:t>ga</w:t>
      </w:r>
      <w:proofErr w:type="spellEnd"/>
      <w:r w:rsidRPr="004D5219">
        <w:rPr>
          <w:rFonts w:ascii="inherit" w:eastAsia="Times New Roman" w:hAnsi="inherit" w:cs="Times New Roman"/>
          <w:color w:val="000000"/>
          <w:sz w:val="24"/>
          <w:szCs w:val="24"/>
          <w:lang w:val="et-EE" w:bidi="ar-SA"/>
        </w:rPr>
        <w:t xml:space="preserve"> hindama eranditaotlust ja lisatud tasuvusanalüüsi, võttes arvesse reguleeriva asutuse artikli 61 kohaselt kindlaks määratud nõudeid.</w:t>
      </w:r>
    </w:p>
    <w:p w14:paraId="310071B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Kui eranditaotlus käsitleb C- või D-tüüpi tootmismoodulit, mis on ühendatud jaotusvõrku, sealhulgas suletud jaotusvõrku, tuleb asjaomase võrguettevõtja hinnangule lisada asjaomase põhivõrguettevõtja hinnang eranditaotluse kohta. Asjaomane põhivõrguettevõtja peab oma hinnangu esitama kahe kuu jooksul pärast sellise taotluse saamist asjaomaselt võrguettevõtjalt.</w:t>
      </w:r>
    </w:p>
    <w:p w14:paraId="7916A21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Kuue kuu jooksul eranditaotluse saamisest peab asjaomane võrguettevõtja edastama taotluse reguleerivale asutusele ning lisama lõigete 4 ja 5 kohaselt koostatud hinnangu(d). Kõnealust ajavahemikku võib ühe kuu võrra pikendada, kui asjaomane võrguettevõtja küsib tootmisüksuse omanikult või tulevaselt omanikult täiendavat teavet, või kahe kuu võrra, kui asjaomane võrguettevõtja nõuab asjaomaselt põhivõrguettevõtjalt eranditaotluse hinnangut.</w:t>
      </w:r>
    </w:p>
    <w:p w14:paraId="7456145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7.   Reguleeriv asutus peab tegema otsuse eranditaotluse kohta kuue kuu jooksul pärast taotluse saamist. Seda tähtaega võib pikendada kolme kuu võrra enne tähtaja möödumist, kui reguleeriv asutus nõuab täiendavat teavet tootmisüksuse omanikult või tulevaselt omanikult või muult huvitatud isikult. Täiendav periood algab siis, kui täielik teave on saadud.</w:t>
      </w:r>
    </w:p>
    <w:p w14:paraId="255642E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8.   Tootmisüksuse omanik või tulevane omanik peab esitama täiendava teabe, kui seda nõuab reguleeriv asutus, kahe kuu jooksul taotluse saamisest. Kui tootmisüksuse omanik või tulevane omanik ei esita taotletud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89"/>
        <w:gridCol w:w="9061"/>
      </w:tblGrid>
      <w:tr w:rsidR="008E1A17" w:rsidRPr="004D5219" w14:paraId="25BAF048" w14:textId="77777777" w:rsidTr="008E1A17">
        <w:trPr>
          <w:tblCellSpacing w:w="0" w:type="dxa"/>
        </w:trPr>
        <w:tc>
          <w:tcPr>
            <w:tcW w:w="0" w:type="auto"/>
            <w:hideMark/>
          </w:tcPr>
          <w:p w14:paraId="7951DC9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5488F8B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reguleeriv asutus otsustab anda pikendust või</w:t>
            </w:r>
          </w:p>
        </w:tc>
      </w:tr>
    </w:tbl>
    <w:p w14:paraId="0FA0C58A"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C952071" w14:textId="77777777" w:rsidTr="008E1A17">
        <w:trPr>
          <w:tblCellSpacing w:w="0" w:type="dxa"/>
        </w:trPr>
        <w:tc>
          <w:tcPr>
            <w:tcW w:w="0" w:type="auto"/>
            <w:hideMark/>
          </w:tcPr>
          <w:p w14:paraId="25C6E845"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5AC96E3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tootmisüksuse omanik või tulevane omanik esitab reguleerivale asutusele põhjenduse, et erandi tegemise taotlus on täielik.</w:t>
            </w:r>
          </w:p>
        </w:tc>
      </w:tr>
    </w:tbl>
    <w:p w14:paraId="000A9CA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9.   Reguleeriv asutus peab tegema põhjendusega otsuse eranditaotluse kohta. Kui reguleeriv asutus teeb erandi, tuleb täpsustada selle kestus.</w:t>
      </w:r>
    </w:p>
    <w:p w14:paraId="32290B4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10.   Reguleeriv asutus peab teatama oma otsuse asjaomasele tootmisüksuse omanikule või tulevasele omanikule, asjaomasele võrguettevõtjale ja asjaomasele põhivõrguettevõtjale.</w:t>
      </w:r>
    </w:p>
    <w:p w14:paraId="6BA2CE1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11.   Reguleeriv asutus võib tühistada erandit lubava otsuse, kui asjaolud ja selle aluseks olevad põhjused enam ei kehti, või komisjoni põhjendatud soovituse või koostööameti põhjendatud soovituse kohaselt vastavalt käesoleva määruse artikli 65 lõikele 2.</w:t>
      </w:r>
    </w:p>
    <w:p w14:paraId="5FC8C59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12.   A-tüüpi tootmismoodulite korral võib eranditaotluse käesoleva artikli alusel teha kolmas isik tootmisüksuse omaniku või tulevase omaniku nimel. Sellise taotluse võib teha nii ühe kui ka mitme ühesuguse tootmismooduli kohta. Viimasel juhul, kui summaarne maksimumvõimsus on kindlaks tehtud, võib kolmas osaline esitada oma andmed lõike 2 punktis a nõutud andmete asemel.</w:t>
      </w:r>
    </w:p>
    <w:p w14:paraId="3450C9C2"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63</w:t>
      </w:r>
    </w:p>
    <w:p w14:paraId="1A58EF25"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Asjaomase võrguettevõtja või asjaomase põhivõrguettevõtja esitatud eranditaotlus</w:t>
      </w:r>
    </w:p>
    <w:p w14:paraId="60DB25D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Asjaomased võrguettevõtjad või asjaomased põhivõrguettevõtjad võivad taotleda erandeid oma võrku ühendatud või ühendatava tootmismooduli tüübi jaoks.</w:t>
      </w:r>
    </w:p>
    <w:p w14:paraId="5247D3A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756344B4" w14:textId="77777777" w:rsidTr="008E1A17">
        <w:trPr>
          <w:tblCellSpacing w:w="0" w:type="dxa"/>
        </w:trPr>
        <w:tc>
          <w:tcPr>
            <w:tcW w:w="0" w:type="auto"/>
            <w:hideMark/>
          </w:tcPr>
          <w:p w14:paraId="288F244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167083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asjaomase võrguettevõtja või asjaomase põhivõrguettevõtja tunnusandmed ja kontaktisik ühenduse pidamiseks;</w:t>
            </w:r>
          </w:p>
        </w:tc>
      </w:tr>
    </w:tbl>
    <w:p w14:paraId="7C4FA4A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2F2BF750" w14:textId="77777777" w:rsidTr="008E1A17">
        <w:trPr>
          <w:tblCellSpacing w:w="0" w:type="dxa"/>
        </w:trPr>
        <w:tc>
          <w:tcPr>
            <w:tcW w:w="0" w:type="auto"/>
            <w:hideMark/>
          </w:tcPr>
          <w:p w14:paraId="166D614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D39D84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nende tootmismoodulite kirjeldus, mille jaoks taotletakse erandit, kogu olemasolev võimsus ja tootmismoodulite arv;</w:t>
            </w:r>
          </w:p>
        </w:tc>
      </w:tr>
    </w:tbl>
    <w:p w14:paraId="44BB7CE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31C0D457" w14:textId="77777777" w:rsidTr="008E1A17">
        <w:trPr>
          <w:tblCellSpacing w:w="0" w:type="dxa"/>
        </w:trPr>
        <w:tc>
          <w:tcPr>
            <w:tcW w:w="0" w:type="auto"/>
            <w:hideMark/>
          </w:tcPr>
          <w:p w14:paraId="67B440C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926D4D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käesoleva määruse nõue või nõuded, millega seoses erandit taotletakse, ja taotletava erandi üksikasjalik kirjeldus;</w:t>
            </w:r>
          </w:p>
        </w:tc>
      </w:tr>
    </w:tbl>
    <w:p w14:paraId="4D9ECDF8"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77"/>
        <w:gridCol w:w="9173"/>
      </w:tblGrid>
      <w:tr w:rsidR="008E1A17" w:rsidRPr="00A2039D" w14:paraId="38B44BE3" w14:textId="77777777" w:rsidTr="008E1A17">
        <w:trPr>
          <w:tblCellSpacing w:w="0" w:type="dxa"/>
        </w:trPr>
        <w:tc>
          <w:tcPr>
            <w:tcW w:w="0" w:type="auto"/>
            <w:hideMark/>
          </w:tcPr>
          <w:p w14:paraId="60507E0E"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0B00CC8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üksikasjalik põhjendus kõigi asjakohaste tõendavate dokumentidega;</w:t>
            </w:r>
          </w:p>
        </w:tc>
      </w:tr>
    </w:tbl>
    <w:p w14:paraId="77D0174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26"/>
        <w:gridCol w:w="9224"/>
      </w:tblGrid>
      <w:tr w:rsidR="008E1A17" w:rsidRPr="00A2039D" w14:paraId="0B996DA6" w14:textId="77777777" w:rsidTr="008E1A17">
        <w:trPr>
          <w:tblCellSpacing w:w="0" w:type="dxa"/>
        </w:trPr>
        <w:tc>
          <w:tcPr>
            <w:tcW w:w="0" w:type="auto"/>
            <w:hideMark/>
          </w:tcPr>
          <w:p w14:paraId="051B155C"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w:t>
            </w:r>
          </w:p>
        </w:tc>
        <w:tc>
          <w:tcPr>
            <w:tcW w:w="0" w:type="auto"/>
            <w:hideMark/>
          </w:tcPr>
          <w:p w14:paraId="7B0F0E0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tõendus, et taotletav erand ei avalda kahjulikku mõju piiriülesele kaubandusele;</w:t>
            </w:r>
          </w:p>
        </w:tc>
      </w:tr>
    </w:tbl>
    <w:p w14:paraId="181023CB"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60"/>
        <w:gridCol w:w="9290"/>
      </w:tblGrid>
      <w:tr w:rsidR="008E1A17" w:rsidRPr="00A2039D" w14:paraId="2E8CC32D" w14:textId="77777777" w:rsidTr="008E1A17">
        <w:trPr>
          <w:tblCellSpacing w:w="0" w:type="dxa"/>
        </w:trPr>
        <w:tc>
          <w:tcPr>
            <w:tcW w:w="0" w:type="auto"/>
            <w:hideMark/>
          </w:tcPr>
          <w:p w14:paraId="3E39D5D9"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f)</w:t>
            </w:r>
          </w:p>
        </w:tc>
        <w:tc>
          <w:tcPr>
            <w:tcW w:w="0" w:type="auto"/>
            <w:hideMark/>
          </w:tcPr>
          <w:p w14:paraId="4BCDBB0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artikli 39 nõuete kohane tasuvusanalüüs. Kui see on asjakohane, tuleb tasuvusanalüüs teha kooskõlastatult asjaomase põhivõrguettevõtjaga ja naaberpiirkondade jaotusvõrguettevõtja(te)</w:t>
            </w:r>
            <w:proofErr w:type="spellStart"/>
            <w:r w:rsidRPr="004D5219">
              <w:rPr>
                <w:rFonts w:ascii="inherit" w:eastAsia="Times New Roman" w:hAnsi="inherit" w:cs="Times New Roman"/>
                <w:sz w:val="24"/>
                <w:szCs w:val="24"/>
                <w:lang w:val="et-EE" w:bidi="ar-SA"/>
              </w:rPr>
              <w:t>ga</w:t>
            </w:r>
            <w:proofErr w:type="spellEnd"/>
            <w:r w:rsidRPr="004D5219">
              <w:rPr>
                <w:rFonts w:ascii="inherit" w:eastAsia="Times New Roman" w:hAnsi="inherit" w:cs="Times New Roman"/>
                <w:sz w:val="24"/>
                <w:szCs w:val="24"/>
                <w:lang w:val="et-EE" w:bidi="ar-SA"/>
              </w:rPr>
              <w:t>.</w:t>
            </w:r>
          </w:p>
        </w:tc>
      </w:tr>
    </w:tbl>
    <w:p w14:paraId="692861B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61.</w:t>
      </w:r>
    </w:p>
    <w:p w14:paraId="4D38ED6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Kahe nädala jooksul hindamispalve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14:paraId="1BF7D53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14:paraId="0DBC830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6.   Reguleeriv asutus peab tegema otsuse eranditaotluse kohta kuue kuu jooksul pärast taotluse saamist. Kui asjaomane jaotusvõrguettevõtja või suletud jaotusvõrgu ettevõtja esitab eranditaotluse, arvestatakse kuuekuulist tähtaega hinnangu saamisest asjaomaselt põhivõrguettevõtjalt lõike 5 kohaselt.</w:t>
      </w:r>
    </w:p>
    <w:p w14:paraId="13FBF67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14:paraId="442B194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Asjaomane võrguettevõtja peab kahe kuu jooksul taotluse saamisest esitama täiendava teabe, mida nõuab reguleeriv asutus.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89"/>
        <w:gridCol w:w="9061"/>
      </w:tblGrid>
      <w:tr w:rsidR="008E1A17" w:rsidRPr="004D5219" w14:paraId="04A79E02" w14:textId="77777777" w:rsidTr="008E1A17">
        <w:trPr>
          <w:tblCellSpacing w:w="0" w:type="dxa"/>
        </w:trPr>
        <w:tc>
          <w:tcPr>
            <w:tcW w:w="0" w:type="auto"/>
            <w:hideMark/>
          </w:tcPr>
          <w:p w14:paraId="4475C82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758B862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reguleeriv asutus otsustab anda pikendust või</w:t>
            </w:r>
          </w:p>
        </w:tc>
      </w:tr>
    </w:tbl>
    <w:p w14:paraId="2D65599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00"/>
        <w:gridCol w:w="9250"/>
      </w:tblGrid>
      <w:tr w:rsidR="008E1A17" w:rsidRPr="00A2039D" w14:paraId="73C8388C" w14:textId="77777777" w:rsidTr="008E1A17">
        <w:trPr>
          <w:tblCellSpacing w:w="0" w:type="dxa"/>
        </w:trPr>
        <w:tc>
          <w:tcPr>
            <w:tcW w:w="0" w:type="auto"/>
            <w:hideMark/>
          </w:tcPr>
          <w:p w14:paraId="242BC04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3D7CB21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asjaomane võrguettevõtja esitab reguleerivale asutusele põhjenduse, et erandi tegemise taotlus on täielik.</w:t>
            </w:r>
          </w:p>
        </w:tc>
      </w:tr>
    </w:tbl>
    <w:p w14:paraId="632E552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8.   Reguleeriv asutus peab tegema põhjendusega otsuse eranditaotluse kohta. Kui reguleeriv asutus lubab erandi, tuleb täpsustada selle kestus.</w:t>
      </w:r>
    </w:p>
    <w:p w14:paraId="0385DAF1"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9.   Reguleeriv asutus teatab oma otsuse eranditaotluse esitanud asjaomasele võrguettevõtjale, asjaomasele põhivõrguettevõtjale ja koostööametile.</w:t>
      </w:r>
    </w:p>
    <w:p w14:paraId="412D093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10.   Reguleerivad asutused võivad kehtestada täiendavaid nõudeid asjaomaste võrguettevõtjate esitatavate eranditaotluste ettevalmistamise kohta. Sellisel juhul võtab reguleeriv asutus arvesse ülekandesüsteemi ja jaotussüsteemi piire riigi tasandil ning peab nõu võrguettevõtja, tootmisüksuse omanike ja huvitatud isikutega, sealhulgas tootjatega.</w:t>
      </w:r>
    </w:p>
    <w:p w14:paraId="77C88A7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11.   Reguleeriv asutus võib tühistada otsuse, millega lubatakse erand, kui asjaolud ja selle aluseks olevad põhjused enam ei kehti, või komisjoni põhjendatud soovituse või koostööameti põhjendatud soovituse kohaselt vastavalt käesoleva määruse artikli 65 lõikele 2.</w:t>
      </w:r>
    </w:p>
    <w:p w14:paraId="63756D4B"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64</w:t>
      </w:r>
    </w:p>
    <w:p w14:paraId="2AEEC391"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Käesoleva määruse nõuetest lubatud erandite register</w:t>
      </w:r>
    </w:p>
    <w:p w14:paraId="24D16C0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Reguleerivad asutused peavad registrit, mis sisaldab kõiki erandeid, mis on lubatud või mille lubamisest on keeldutud, ning esitavad koostööametile ajakohastatud ja konsolideeritud registri vähemalt üks kord iga kuue kuu tagant, ning selle koopia Euroopa elektri põhivõrguettevõtjate võrgustikule.</w:t>
      </w:r>
    </w:p>
    <w:p w14:paraId="112A97B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Register peab sisaldama eelkõige järgmist:</w:t>
      </w:r>
    </w:p>
    <w:tbl>
      <w:tblPr>
        <w:tblW w:w="5000" w:type="pct"/>
        <w:tblCellSpacing w:w="0" w:type="dxa"/>
        <w:tblCellMar>
          <w:left w:w="0" w:type="dxa"/>
          <w:right w:w="0" w:type="dxa"/>
        </w:tblCellMar>
        <w:tblLook w:val="04A0" w:firstRow="1" w:lastRow="0" w:firstColumn="1" w:lastColumn="0" w:noHBand="0" w:noVBand="1"/>
      </w:tblPr>
      <w:tblGrid>
        <w:gridCol w:w="250"/>
        <w:gridCol w:w="9200"/>
      </w:tblGrid>
      <w:tr w:rsidR="008E1A17" w:rsidRPr="00A2039D" w14:paraId="3275150C" w14:textId="77777777" w:rsidTr="008E1A17">
        <w:trPr>
          <w:tblCellSpacing w:w="0" w:type="dxa"/>
        </w:trPr>
        <w:tc>
          <w:tcPr>
            <w:tcW w:w="0" w:type="auto"/>
            <w:hideMark/>
          </w:tcPr>
          <w:p w14:paraId="2A0B50C0"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0F25A69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nõuet või nõudeid, mille osas on erand lubatud või on sellest keeldutud;</w:t>
            </w:r>
          </w:p>
        </w:tc>
      </w:tr>
    </w:tbl>
    <w:p w14:paraId="50B5428D"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454"/>
        <w:gridCol w:w="7996"/>
      </w:tblGrid>
      <w:tr w:rsidR="008E1A17" w:rsidRPr="004D5219" w14:paraId="4FE50B06" w14:textId="77777777" w:rsidTr="008E1A17">
        <w:trPr>
          <w:tblCellSpacing w:w="0" w:type="dxa"/>
        </w:trPr>
        <w:tc>
          <w:tcPr>
            <w:tcW w:w="0" w:type="auto"/>
            <w:hideMark/>
          </w:tcPr>
          <w:p w14:paraId="54C70937"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72B975B1"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erandi sisu;</w:t>
            </w:r>
          </w:p>
        </w:tc>
      </w:tr>
    </w:tbl>
    <w:p w14:paraId="20E4CB9C"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378"/>
        <w:gridCol w:w="9072"/>
      </w:tblGrid>
      <w:tr w:rsidR="008E1A17" w:rsidRPr="00A2039D" w14:paraId="071480C4" w14:textId="77777777" w:rsidTr="008E1A17">
        <w:trPr>
          <w:tblCellSpacing w:w="0" w:type="dxa"/>
        </w:trPr>
        <w:tc>
          <w:tcPr>
            <w:tcW w:w="0" w:type="auto"/>
            <w:hideMark/>
          </w:tcPr>
          <w:p w14:paraId="0463DEC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0665B66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erandi lubamise või tagasilükkamise põhjused;</w:t>
            </w:r>
          </w:p>
        </w:tc>
      </w:tr>
    </w:tbl>
    <w:p w14:paraId="389C9AC6"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428"/>
        <w:gridCol w:w="9022"/>
      </w:tblGrid>
      <w:tr w:rsidR="008E1A17" w:rsidRPr="00A2039D" w14:paraId="356FDEF9" w14:textId="77777777" w:rsidTr="008E1A17">
        <w:trPr>
          <w:tblCellSpacing w:w="0" w:type="dxa"/>
        </w:trPr>
        <w:tc>
          <w:tcPr>
            <w:tcW w:w="0" w:type="auto"/>
            <w:hideMark/>
          </w:tcPr>
          <w:p w14:paraId="6AEA60EA"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d)</w:t>
            </w:r>
          </w:p>
        </w:tc>
        <w:tc>
          <w:tcPr>
            <w:tcW w:w="0" w:type="auto"/>
            <w:hideMark/>
          </w:tcPr>
          <w:p w14:paraId="3C94D9AF"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tagajärjed, mis tulenevad erandi lubamisest.</w:t>
            </w:r>
          </w:p>
        </w:tc>
      </w:tr>
    </w:tbl>
    <w:p w14:paraId="1FC9CC7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65</w:t>
      </w:r>
    </w:p>
    <w:p w14:paraId="1BB62BE1"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Erandite järelevalve</w:t>
      </w:r>
    </w:p>
    <w:p w14:paraId="36BE1C1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Koostööamet jälgib erandite lubamise menetlust koos reguleeriva asutusega või asjaomaste liikmesriigi asutustega. Kõnealused asutused või liikmesriigi asjakohased asutused peavad esitama koostööametile kogu selleks vajaliku teabe.</w:t>
      </w:r>
    </w:p>
    <w:p w14:paraId="3649B2B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Koostööamet võib reguleerivale asutusele esitada põhjendatud soovituse tühistada erand puuduliku põhjenduse tõttu. Komisjon võib reguleerivale asutusele või liikmesriigi asjaomasele asutusele esitada põhjendatud soovituse tühistada erand puuduliku põhjenduse tõttu.</w:t>
      </w:r>
    </w:p>
    <w:p w14:paraId="445B08E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Komisjon võib nõuda, et koostööamet esitaks aruande lõigete 1 ja 2 kohaldamise kohta koos põhjendustega, kas tuleks taotleda erandi tühistamist või mitte.</w:t>
      </w:r>
    </w:p>
    <w:p w14:paraId="5BB3C246"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61C72879" w14:textId="77777777" w:rsidR="004812B6" w:rsidRDefault="004812B6" w:rsidP="008E1A17">
      <w:pPr>
        <w:widowControl/>
        <w:autoSpaceDE/>
        <w:autoSpaceDN/>
        <w:spacing w:before="480"/>
        <w:jc w:val="center"/>
        <w:rPr>
          <w:rFonts w:ascii="inherit" w:eastAsia="Times New Roman" w:hAnsi="inherit" w:cs="Times New Roman"/>
          <w:b/>
          <w:bCs/>
          <w:color w:val="000000"/>
          <w:sz w:val="24"/>
          <w:szCs w:val="24"/>
          <w:lang w:val="et-EE" w:bidi="ar-SA"/>
        </w:rPr>
      </w:pPr>
    </w:p>
    <w:p w14:paraId="73724722" w14:textId="1A30EB7F"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VI JAOTIS</w:t>
      </w:r>
    </w:p>
    <w:p w14:paraId="021FD7CB"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KUJUNEMISJÄRGUS TEHNIKAGA SEOTUD ÜLEMINEKUKORD</w:t>
      </w:r>
    </w:p>
    <w:p w14:paraId="1AA644B7"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66</w:t>
      </w:r>
    </w:p>
    <w:p w14:paraId="77A6DC46"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Kujunemisjärgus tehnika</w:t>
      </w:r>
    </w:p>
    <w:p w14:paraId="575D585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Käesoleva määruse nõudeid, välja arvatud artikkel 30, ei kohaldata tootmismoodulite suhtes, mis käesolevas jaotises sätestatud korra kohaselt on liigitatud kujunemisjärgus tehnikaks.</w:t>
      </w:r>
    </w:p>
    <w:p w14:paraId="33123B6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Tootmismooduli võib artikli 69 kohaselt liigitada kujunemisjärgus tehnikaks, kui:</w:t>
      </w:r>
    </w:p>
    <w:tbl>
      <w:tblPr>
        <w:tblW w:w="5000" w:type="pct"/>
        <w:tblCellSpacing w:w="0" w:type="dxa"/>
        <w:tblCellMar>
          <w:left w:w="0" w:type="dxa"/>
          <w:right w:w="0" w:type="dxa"/>
        </w:tblCellMar>
        <w:tblLook w:val="04A0" w:firstRow="1" w:lastRow="0" w:firstColumn="1" w:lastColumn="0" w:noHBand="0" w:noVBand="1"/>
      </w:tblPr>
      <w:tblGrid>
        <w:gridCol w:w="1060"/>
        <w:gridCol w:w="8390"/>
      </w:tblGrid>
      <w:tr w:rsidR="008E1A17" w:rsidRPr="004D5219" w14:paraId="433563B8" w14:textId="77777777" w:rsidTr="008E1A17">
        <w:trPr>
          <w:tblCellSpacing w:w="0" w:type="dxa"/>
        </w:trPr>
        <w:tc>
          <w:tcPr>
            <w:tcW w:w="0" w:type="auto"/>
            <w:hideMark/>
          </w:tcPr>
          <w:p w14:paraId="5D7D8A53"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a)</w:t>
            </w:r>
          </w:p>
        </w:tc>
        <w:tc>
          <w:tcPr>
            <w:tcW w:w="0" w:type="auto"/>
            <w:hideMark/>
          </w:tcPr>
          <w:p w14:paraId="34307CED"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see on A-tüüpi;</w:t>
            </w:r>
          </w:p>
        </w:tc>
      </w:tr>
    </w:tbl>
    <w:p w14:paraId="723F5897"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231"/>
        <w:gridCol w:w="9219"/>
      </w:tblGrid>
      <w:tr w:rsidR="008E1A17" w:rsidRPr="004D5219" w14:paraId="0C6F47C1" w14:textId="77777777" w:rsidTr="008E1A17">
        <w:trPr>
          <w:tblCellSpacing w:w="0" w:type="dxa"/>
        </w:trPr>
        <w:tc>
          <w:tcPr>
            <w:tcW w:w="0" w:type="auto"/>
            <w:hideMark/>
          </w:tcPr>
          <w:p w14:paraId="03369564"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b)</w:t>
            </w:r>
          </w:p>
        </w:tc>
        <w:tc>
          <w:tcPr>
            <w:tcW w:w="0" w:type="auto"/>
            <w:hideMark/>
          </w:tcPr>
          <w:p w14:paraId="600DCC9B"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see on kaubanduslikult kättesaadav tehniline lahendus tootmismoodulite jaoks ning</w:t>
            </w:r>
          </w:p>
        </w:tc>
      </w:tr>
    </w:tbl>
    <w:p w14:paraId="242081BE" w14:textId="77777777" w:rsidR="008E1A17" w:rsidRPr="004D5219" w:rsidRDefault="008E1A17" w:rsidP="008E1A17">
      <w:pPr>
        <w:widowControl/>
        <w:autoSpaceDE/>
        <w:autoSpaceDN/>
        <w:rPr>
          <w:rFonts w:ascii="Times New Roman" w:eastAsia="Times New Roman" w:hAnsi="Times New Roman" w:cs="Times New Roman"/>
          <w:vanish/>
          <w:color w:val="000000"/>
          <w:sz w:val="24"/>
          <w:szCs w:val="24"/>
          <w:lang w:val="et-EE" w:bidi="ar-SA"/>
        </w:rPr>
      </w:pPr>
    </w:p>
    <w:tbl>
      <w:tblPr>
        <w:tblW w:w="5000" w:type="pct"/>
        <w:tblCellSpacing w:w="0" w:type="dxa"/>
        <w:tblCellMar>
          <w:left w:w="0" w:type="dxa"/>
          <w:right w:w="0" w:type="dxa"/>
        </w:tblCellMar>
        <w:tblLook w:val="04A0" w:firstRow="1" w:lastRow="0" w:firstColumn="1" w:lastColumn="0" w:noHBand="0" w:noVBand="1"/>
      </w:tblPr>
      <w:tblGrid>
        <w:gridCol w:w="187"/>
        <w:gridCol w:w="9263"/>
      </w:tblGrid>
      <w:tr w:rsidR="008E1A17" w:rsidRPr="00A2039D" w14:paraId="47A71734" w14:textId="77777777" w:rsidTr="008E1A17">
        <w:trPr>
          <w:tblCellSpacing w:w="0" w:type="dxa"/>
        </w:trPr>
        <w:tc>
          <w:tcPr>
            <w:tcW w:w="0" w:type="auto"/>
            <w:hideMark/>
          </w:tcPr>
          <w:p w14:paraId="0E1E2C92"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c)</w:t>
            </w:r>
          </w:p>
        </w:tc>
        <w:tc>
          <w:tcPr>
            <w:tcW w:w="0" w:type="auto"/>
            <w:hideMark/>
          </w:tcPr>
          <w:p w14:paraId="36A088A6" w14:textId="77777777" w:rsidR="008E1A17" w:rsidRPr="004D5219" w:rsidRDefault="008E1A17" w:rsidP="008E1A17">
            <w:pPr>
              <w:widowControl/>
              <w:autoSpaceDE/>
              <w:autoSpaceDN/>
              <w:spacing w:before="120"/>
              <w:jc w:val="both"/>
              <w:rPr>
                <w:rFonts w:ascii="inherit" w:eastAsia="Times New Roman" w:hAnsi="inherit" w:cs="Times New Roman"/>
                <w:sz w:val="24"/>
                <w:szCs w:val="24"/>
                <w:lang w:val="et-EE" w:bidi="ar-SA"/>
              </w:rPr>
            </w:pPr>
            <w:r w:rsidRPr="004D5219">
              <w:rPr>
                <w:rFonts w:ascii="inherit" w:eastAsia="Times New Roman" w:hAnsi="inherit" w:cs="Times New Roman"/>
                <w:sz w:val="24"/>
                <w:szCs w:val="24"/>
                <w:lang w:val="et-EE" w:bidi="ar-SA"/>
              </w:rPr>
              <w:t>tootmismooduli tehniliste lahenduste kogumüük sünkroonalal kujunemisjärgus tehnikaks liigitamise kohaldamise hetkeks ei ületa 25 % summaarse maksimumvõimsuse kõrgeimast tasemest, mis on kindlaks määratud vastavalt artikli 67 lõikele 1.</w:t>
            </w:r>
          </w:p>
        </w:tc>
      </w:tr>
    </w:tbl>
    <w:p w14:paraId="703209FE"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67</w:t>
      </w:r>
    </w:p>
    <w:p w14:paraId="4AB648E3"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Kujunemisjärgus tehnikaks liigitamise piirmäärade kehtestamine</w:t>
      </w:r>
    </w:p>
    <w:p w14:paraId="4E1710C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Kujunemisjärgus tehnikaga tootmismoodulite summaarse maksimumvõimsuse kõrgeim tase sünkroonalal on 0,1 % aastasest maksimumkoormusest 2014. aastal kõnealusel sünkroonalal.</w:t>
      </w:r>
    </w:p>
    <w:p w14:paraId="65EC1DE6"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Liikmesriigid peavad tagama, et nende kujunemisjärgus tehnikaks liigitatud tootmismoodulite summaarse maksimumvõimsuse kõrgeim tase arvutatakse sel teel, et sünkroonala kujunemisjärgus tehnikaks liigitatud tootmismoodulite summaarse maksimumvõimsuse kõrgeim tase korrutatakse liikmesriigis 2014. aastal toodetud elektrienergiaga ning jagatakse kogu asjaomasel sünkroonalal, kuhu liikmesriik kuulub, 2014. aastal toodetud elektrienergiaga.</w:t>
      </w:r>
    </w:p>
    <w:p w14:paraId="2E43FEC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Liikmesriikide puhul, kes kuuluvad eri sünkroonalade osadesse, tehakse arvutus võrdeliselt iga osaga ja kogu asjaomase liikmesriigi osa leitakse kaalutud summana.</w:t>
      </w:r>
    </w:p>
    <w:p w14:paraId="01932784"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3.   Andmed käesoleva artikli kohaldamiseks võetakse Euroopa elektri põhivõrguettevõtjate võrgustiku statistikadokumendist </w:t>
      </w:r>
      <w:proofErr w:type="spellStart"/>
      <w:r w:rsidRPr="004D5219">
        <w:rPr>
          <w:rFonts w:ascii="inherit" w:eastAsia="Times New Roman" w:hAnsi="inherit" w:cs="Times New Roman"/>
          <w:color w:val="000000"/>
          <w:sz w:val="24"/>
          <w:szCs w:val="24"/>
          <w:lang w:val="et-EE" w:bidi="ar-SA"/>
        </w:rPr>
        <w:t>Statistical</w:t>
      </w:r>
      <w:proofErr w:type="spellEnd"/>
      <w:r w:rsidRPr="004D5219">
        <w:rPr>
          <w:rFonts w:ascii="inherit" w:eastAsia="Times New Roman" w:hAnsi="inherit" w:cs="Times New Roman"/>
          <w:color w:val="000000"/>
          <w:sz w:val="24"/>
          <w:szCs w:val="24"/>
          <w:lang w:val="et-EE" w:bidi="ar-SA"/>
        </w:rPr>
        <w:t xml:space="preserve"> </w:t>
      </w:r>
      <w:proofErr w:type="spellStart"/>
      <w:r w:rsidRPr="004D5219">
        <w:rPr>
          <w:rFonts w:ascii="inherit" w:eastAsia="Times New Roman" w:hAnsi="inherit" w:cs="Times New Roman"/>
          <w:color w:val="000000"/>
          <w:sz w:val="24"/>
          <w:szCs w:val="24"/>
          <w:lang w:val="et-EE" w:bidi="ar-SA"/>
        </w:rPr>
        <w:t>Factsheet</w:t>
      </w:r>
      <w:proofErr w:type="spellEnd"/>
      <w:r w:rsidRPr="004D5219">
        <w:rPr>
          <w:rFonts w:ascii="inherit" w:eastAsia="Times New Roman" w:hAnsi="inherit" w:cs="Times New Roman"/>
          <w:color w:val="000000"/>
          <w:sz w:val="24"/>
          <w:szCs w:val="24"/>
          <w:lang w:val="et-EE" w:bidi="ar-SA"/>
        </w:rPr>
        <w:t>, mis on avaldatud 2015. aastal.</w:t>
      </w:r>
    </w:p>
    <w:p w14:paraId="055F9E0A"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68</w:t>
      </w:r>
    </w:p>
    <w:p w14:paraId="403EAA1E"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Kohaldamine seoses kujunemisjärgus tehnikaks liigitamisega</w:t>
      </w:r>
    </w:p>
    <w:p w14:paraId="3F1126FC"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Kuue kuu kestel käesoleva määruse jõustumisest võivad A-tüüpi tootmismoodulite tootjad esitada asjaomasele reguleerivale asutusele taotluse oma toodetava tootmismooduli liigitamiseks kujunemisjärgus tehnikaks.</w:t>
      </w:r>
    </w:p>
    <w:p w14:paraId="10116339"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Seoses lõike 1 kohase taotlusega peab tootja teatama asjaomasele reguleerivale asutusele, milline on vastava tootmismooduli summaarne müügiarv igal sünkroonalal kujunemisjärgus tehnikaks liigitamise taotluse esitamise ajaks.</w:t>
      </w:r>
    </w:p>
    <w:p w14:paraId="061834BD"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Tootja peab tõendama, et lõike 1 kohaselt esitatud taotlus vastab artiklites 66 ja 67 sätestatud sobivuse nõuetele.</w:t>
      </w:r>
    </w:p>
    <w:p w14:paraId="69ABDE85"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4.   Kui see on liikmesriigis asjakohane, võib taotlusi hinnata ja kujunemisjärgus tehnikaks liigitamise või sellise liigitamise tühistamise otsuseid teha muu asutus reguleeriva asutuse asemel.</w:t>
      </w:r>
    </w:p>
    <w:p w14:paraId="0184867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69</w:t>
      </w:r>
    </w:p>
    <w:p w14:paraId="54261C4D"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Kujunemisjärgus tehnikaks liigitamise taotluse hindamine ja heakskiitmine</w:t>
      </w:r>
    </w:p>
    <w:p w14:paraId="551896D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lastRenderedPageBreak/>
        <w:t>1.   Hiljemalt kaheteistkümne kuu jooksul käesoleva määruse jõustumisest peab asjaomane reguleeriv asutus otsustama kooskõlastatult sünkroonala kõigi teiste reguleerivate asutustega, kas ja millised tootmismoodulid tuleks liigitada kujunemisjärgus tehnikaks. Iga asjaomase sünkroonala reguleeriv asutus võib küsida koostööametilt eelnevat seisukohta, mis tuleb anda kolme kuu jooksul pärast sellise taotluse saamist. Asjaomane reguleeriv asutus peab oma otsuse tegemisel võtma arvesse koostööameti seisukohta.</w:t>
      </w:r>
    </w:p>
    <w:p w14:paraId="2B602F8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Sünkroonala iga reguleeriv asutus peab avaldama kujunemisjärgus tehnikana heaks kiidetud tootmismoodulite loetelu.</w:t>
      </w:r>
    </w:p>
    <w:p w14:paraId="240CB520"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70</w:t>
      </w:r>
    </w:p>
    <w:p w14:paraId="168D46FF"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Kujunemisjärgus tehnikaks liigitamise tühistamine</w:t>
      </w:r>
    </w:p>
    <w:p w14:paraId="44E96B38"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Alates artikli 69 lõike 1 kohase reguleerivate asutuste otsuse kuupäevast peab iga kujunemisjärgus tehnikaks liigitatud tootmismooduli tootja esitama iga kahe kuu järel tootmismooduli eelmise kahe kuu ajakohastatud müügiarvud liikmesriikides. Reguleeriv asutus teeb avalikkusele kättesaadavaks kujunemisjärgus tehnikaks liigitatud tootmismooduli summaarse maksimumvõimsuse.</w:t>
      </w:r>
    </w:p>
    <w:p w14:paraId="49C3213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2.   Kui kõigi kujunemisjärgus tehnikaks liigitatud võrku ühendatud tootmismoodulite maksimumvõimsus kokku ületab artiklis 67 kehtestatud piirmäära, peab reguleeriv asutus tühistama vastava kujunemisjärgus tehnikaks liigituse. Tühistamise otsus tuleb avaldada.</w:t>
      </w:r>
    </w:p>
    <w:p w14:paraId="5DDE9EC3"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Kõik sünkroonala reguleerivad asutused võivad otsustada kooskõlastatult tühistada kujunemisjärgus tehnikaks liigituse, ilma et sellega piirataks lõigete 1 ja 2 kohaldamist. Asjaomase sünkroonala reguleerivad asutused võivad küsida koostööametilt eelnevat seisukohta, mis tuleb anda kolme kuu jooksul pärast sellise taotluse saamist. Kui see on asjakohane, peavad reguleerivad asutused oma kooskõlastatud otsuses võtma arvesse koostööameti seisukohta. Tühistamise otsuse peavad avaldama kõik sünkroonala reguleerivad asutused.</w:t>
      </w:r>
    </w:p>
    <w:p w14:paraId="407D7FD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Kujunemisjärgus tehnikaks liigitatud ja enne sellise liigituse tühistamise kuupäeva võrku ühendatud tootmismoodulid loetakse olemasolevateks tootmismooduliteks ja nende suhtes kohaldatakse käesoleva määruse sätteid kooskõlas artikli 4 lõikega 2 ning artiklitega 38 ja 39.</w:t>
      </w:r>
    </w:p>
    <w:p w14:paraId="299F7078" w14:textId="77777777" w:rsidR="008E1A17" w:rsidRPr="004D5219" w:rsidRDefault="008E1A17" w:rsidP="008E1A17">
      <w:pPr>
        <w:widowControl/>
        <w:autoSpaceDE/>
        <w:autoSpaceDN/>
        <w:spacing w:before="48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VII JAOTIS</w:t>
      </w:r>
    </w:p>
    <w:p w14:paraId="64AA78FE" w14:textId="77777777" w:rsidR="008E1A17" w:rsidRPr="004D5219" w:rsidRDefault="008E1A17" w:rsidP="008E1A17">
      <w:pPr>
        <w:widowControl/>
        <w:autoSpaceDE/>
        <w:autoSpaceDN/>
        <w:spacing w:before="75"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LÕPPSÄTTED</w:t>
      </w:r>
    </w:p>
    <w:p w14:paraId="7AF09A76" w14:textId="77777777"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71</w:t>
      </w:r>
    </w:p>
    <w:p w14:paraId="7B629A2C"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Lepingute muutmine ja üldised tingimused</w:t>
      </w:r>
    </w:p>
    <w:p w14:paraId="10C18D3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1.   Reguleerivad asutused tagavad, et kõik asjaomased lepingutingimused ja -sätted, mis on seotud uute tootmismoodulite võrku ühendamisega, viiakse vastavusse käesoleva määruse nõuetega.</w:t>
      </w:r>
    </w:p>
    <w:p w14:paraId="6C522002"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 xml:space="preserve">2.   Kõiki asjaomaseid lepingutingimusi ja </w:t>
      </w:r>
      <w:proofErr w:type="spellStart"/>
      <w:r w:rsidRPr="004D5219">
        <w:rPr>
          <w:rFonts w:ascii="inherit" w:eastAsia="Times New Roman" w:hAnsi="inherit" w:cs="Times New Roman"/>
          <w:color w:val="000000"/>
          <w:sz w:val="24"/>
          <w:szCs w:val="24"/>
          <w:lang w:val="et-EE" w:bidi="ar-SA"/>
        </w:rPr>
        <w:t>üldtingimuste</w:t>
      </w:r>
      <w:proofErr w:type="spellEnd"/>
      <w:r w:rsidRPr="004D5219">
        <w:rPr>
          <w:rFonts w:ascii="inherit" w:eastAsia="Times New Roman" w:hAnsi="inherit" w:cs="Times New Roman"/>
          <w:color w:val="000000"/>
          <w:sz w:val="24"/>
          <w:szCs w:val="24"/>
          <w:lang w:val="et-EE" w:bidi="ar-SA"/>
        </w:rPr>
        <w:t xml:space="preserve"> sätteid, mis on seotud olemasolevate tootmismoodulite ühendamisega võrku ja mille suhtes tuleb kohaldada mõnda käesoleva määruse sätet või kõiki selliseid sätteid vastavalt artikli 4 lõikele 1, tuleb muuta, et need viia vastavusse käesoleva määruse nõuetega. Asjakohased sätted tuleb muuta kolme aasta jooksul pärast reguleeriva asutuse või liikmesriigi otsust, nagu osutatud artikli 4 lõikes 1.</w:t>
      </w:r>
    </w:p>
    <w:p w14:paraId="25A2E80F"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3.   Reguleerivad asutused peavad tagama, et võrguettevõtjate ja käesoleva määruse kohaldamisalasse kuuluvate uute või olemasolevate tootmisüksuste omanike vahelistes riiklikes lepingutes ning tingimustes, mis on seotud tootmismoodulite võrku ühendamisega, eelkõige riiklikes võrgueeskirjades, kajastuksid käesolevas määruses sätestatud nõuded.</w:t>
      </w:r>
    </w:p>
    <w:p w14:paraId="36D3E0EB"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33F1D724" w14:textId="77777777" w:rsidR="004812B6" w:rsidRDefault="004812B6" w:rsidP="008E1A17">
      <w:pPr>
        <w:widowControl/>
        <w:autoSpaceDE/>
        <w:autoSpaceDN/>
        <w:spacing w:before="360" w:after="120"/>
        <w:jc w:val="center"/>
        <w:rPr>
          <w:rFonts w:ascii="inherit" w:eastAsia="Times New Roman" w:hAnsi="inherit" w:cs="Times New Roman"/>
          <w:i/>
          <w:iCs/>
          <w:color w:val="000000"/>
          <w:sz w:val="24"/>
          <w:szCs w:val="24"/>
          <w:lang w:val="et-EE" w:bidi="ar-SA"/>
        </w:rPr>
      </w:pPr>
    </w:p>
    <w:p w14:paraId="75AD60B0" w14:textId="79685E2D" w:rsidR="008E1A17" w:rsidRPr="004D5219" w:rsidRDefault="008E1A17" w:rsidP="008E1A17">
      <w:pPr>
        <w:widowControl/>
        <w:autoSpaceDE/>
        <w:autoSpaceDN/>
        <w:spacing w:before="360" w:after="120"/>
        <w:jc w:val="center"/>
        <w:rPr>
          <w:rFonts w:ascii="inherit" w:eastAsia="Times New Roman" w:hAnsi="inherit" w:cs="Times New Roman"/>
          <w:i/>
          <w:iCs/>
          <w:color w:val="000000"/>
          <w:sz w:val="24"/>
          <w:szCs w:val="24"/>
          <w:lang w:val="et-EE" w:bidi="ar-SA"/>
        </w:rPr>
      </w:pPr>
      <w:r w:rsidRPr="004D5219">
        <w:rPr>
          <w:rFonts w:ascii="inherit" w:eastAsia="Times New Roman" w:hAnsi="inherit" w:cs="Times New Roman"/>
          <w:i/>
          <w:iCs/>
          <w:color w:val="000000"/>
          <w:sz w:val="24"/>
          <w:szCs w:val="24"/>
          <w:lang w:val="et-EE" w:bidi="ar-SA"/>
        </w:rPr>
        <w:t>Artikkel 72</w:t>
      </w:r>
    </w:p>
    <w:p w14:paraId="17632698" w14:textId="77777777" w:rsidR="008E1A17" w:rsidRPr="004D5219" w:rsidRDefault="008E1A17" w:rsidP="008E1A17">
      <w:pPr>
        <w:widowControl/>
        <w:autoSpaceDE/>
        <w:autoSpaceDN/>
        <w:spacing w:before="60" w:after="120"/>
        <w:jc w:val="center"/>
        <w:rPr>
          <w:rFonts w:ascii="inherit" w:eastAsia="Times New Roman" w:hAnsi="inherit" w:cs="Times New Roman"/>
          <w:b/>
          <w:bCs/>
          <w:color w:val="000000"/>
          <w:sz w:val="24"/>
          <w:szCs w:val="24"/>
          <w:lang w:val="et-EE" w:bidi="ar-SA"/>
        </w:rPr>
      </w:pPr>
      <w:r w:rsidRPr="004D5219">
        <w:rPr>
          <w:rFonts w:ascii="inherit" w:eastAsia="Times New Roman" w:hAnsi="inherit" w:cs="Times New Roman"/>
          <w:b/>
          <w:bCs/>
          <w:color w:val="000000"/>
          <w:sz w:val="24"/>
          <w:szCs w:val="24"/>
          <w:lang w:val="et-EE" w:bidi="ar-SA"/>
        </w:rPr>
        <w:t>Jõustumine</w:t>
      </w:r>
    </w:p>
    <w:p w14:paraId="51CC4300"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Käesolev määrus jõustub kahekümnendal päeval pärast selle avaldamist </w:t>
      </w:r>
      <w:r w:rsidRPr="004D5219">
        <w:rPr>
          <w:rFonts w:ascii="inherit" w:eastAsia="Times New Roman" w:hAnsi="inherit" w:cs="Times New Roman"/>
          <w:i/>
          <w:iCs/>
          <w:color w:val="000000"/>
          <w:sz w:val="24"/>
          <w:szCs w:val="24"/>
          <w:lang w:val="et-EE" w:bidi="ar-SA"/>
        </w:rPr>
        <w:t>Euroopa Liidu Teatajas</w:t>
      </w:r>
      <w:r w:rsidRPr="004D5219">
        <w:rPr>
          <w:rFonts w:ascii="inherit" w:eastAsia="Times New Roman" w:hAnsi="inherit" w:cs="Times New Roman"/>
          <w:color w:val="000000"/>
          <w:sz w:val="24"/>
          <w:szCs w:val="24"/>
          <w:lang w:val="et-EE" w:bidi="ar-SA"/>
        </w:rPr>
        <w:t>.</w:t>
      </w:r>
    </w:p>
    <w:p w14:paraId="2433302B"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Ilma et sellega piirataks artikli 4 lõike 2 punkti b, artiklite 7, 58, 59, 61 ning VI jaotise kohaldamist, kohaldatakse käesolevat määrust pärast kolme aasta möödumist avaldamisest.</w:t>
      </w:r>
    </w:p>
    <w:p w14:paraId="5ACB9AF1" w14:textId="77777777" w:rsidR="008E1A17" w:rsidRPr="004D5219" w:rsidRDefault="008E1A17" w:rsidP="008E1A17">
      <w:pPr>
        <w:widowControl/>
        <w:autoSpaceDE/>
        <w:autoSpaceDN/>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Käesolev määrus on tervikuna siduv ja vahetult kohaldatav kõikides liikmesriikides.</w:t>
      </w:r>
    </w:p>
    <w:p w14:paraId="5003E7AA" w14:textId="77777777" w:rsidR="008E1A17" w:rsidRPr="004D5219" w:rsidRDefault="008E1A17" w:rsidP="008E1A17">
      <w:pPr>
        <w:widowControl/>
        <w:autoSpaceDE/>
        <w:autoSpaceDN/>
        <w:spacing w:before="120"/>
        <w:jc w:val="both"/>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Brüssel, 14. aprill 2016</w:t>
      </w:r>
    </w:p>
    <w:p w14:paraId="40DB55FA" w14:textId="77777777" w:rsidR="008E1A17" w:rsidRPr="004D5219" w:rsidRDefault="008E1A17" w:rsidP="008E1A17">
      <w:pPr>
        <w:widowControl/>
        <w:autoSpaceDE/>
        <w:autoSpaceDN/>
        <w:spacing w:before="60" w:after="6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i/>
          <w:iCs/>
          <w:color w:val="000000"/>
          <w:sz w:val="24"/>
          <w:szCs w:val="24"/>
          <w:lang w:val="et-EE" w:bidi="ar-SA"/>
        </w:rPr>
        <w:t>Komisjoni nimel</w:t>
      </w:r>
    </w:p>
    <w:p w14:paraId="397E1CE8" w14:textId="77777777" w:rsidR="008E1A17" w:rsidRPr="004D5219" w:rsidRDefault="008E1A17" w:rsidP="008E1A17">
      <w:pPr>
        <w:widowControl/>
        <w:autoSpaceDE/>
        <w:autoSpaceDN/>
        <w:spacing w:before="60" w:after="6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i/>
          <w:iCs/>
          <w:color w:val="000000"/>
          <w:sz w:val="24"/>
          <w:szCs w:val="24"/>
          <w:lang w:val="et-EE" w:bidi="ar-SA"/>
        </w:rPr>
        <w:t>president</w:t>
      </w:r>
    </w:p>
    <w:p w14:paraId="3627B5E4" w14:textId="77777777" w:rsidR="008E1A17" w:rsidRPr="004D5219" w:rsidRDefault="008E1A17" w:rsidP="008E1A17">
      <w:pPr>
        <w:widowControl/>
        <w:autoSpaceDE/>
        <w:autoSpaceDN/>
        <w:spacing w:before="60" w:after="60"/>
        <w:jc w:val="center"/>
        <w:rPr>
          <w:rFonts w:ascii="inherit" w:eastAsia="Times New Roman" w:hAnsi="inherit" w:cs="Times New Roman"/>
          <w:color w:val="000000"/>
          <w:sz w:val="24"/>
          <w:szCs w:val="24"/>
          <w:lang w:val="et-EE" w:bidi="ar-SA"/>
        </w:rPr>
      </w:pPr>
      <w:r w:rsidRPr="004D5219">
        <w:rPr>
          <w:rFonts w:ascii="inherit" w:eastAsia="Times New Roman" w:hAnsi="inherit" w:cs="Times New Roman"/>
          <w:color w:val="000000"/>
          <w:sz w:val="24"/>
          <w:szCs w:val="24"/>
          <w:lang w:val="et-EE" w:bidi="ar-SA"/>
        </w:rPr>
        <w:t>Jean-Claude JUNCKER</w:t>
      </w:r>
    </w:p>
    <w:p w14:paraId="2C79BBDA" w14:textId="77777777" w:rsidR="008E1A17" w:rsidRPr="004D5219" w:rsidRDefault="00C4789E" w:rsidP="008E1A17">
      <w:pPr>
        <w:widowControl/>
        <w:autoSpaceDE/>
        <w:autoSpaceDN/>
        <w:spacing w:before="240" w:after="60"/>
        <w:rPr>
          <w:rFonts w:ascii="Times New Roman" w:eastAsia="Times New Roman" w:hAnsi="Times New Roman" w:cs="Times New Roman"/>
          <w:color w:val="000000"/>
          <w:sz w:val="24"/>
          <w:szCs w:val="24"/>
          <w:lang w:val="et-EE" w:bidi="ar-SA"/>
        </w:rPr>
      </w:pPr>
      <w:r>
        <w:rPr>
          <w:rFonts w:ascii="Times New Roman" w:eastAsia="Times New Roman" w:hAnsi="Times New Roman" w:cs="Times New Roman"/>
          <w:noProof/>
          <w:color w:val="000000"/>
          <w:sz w:val="24"/>
          <w:szCs w:val="24"/>
          <w:lang w:val="et-EE" w:bidi="ar-SA"/>
        </w:rPr>
        <w:pict w14:anchorId="3BEB8269">
          <v:rect id="_x0000_i1036" alt="" style="width:198.3pt;height:.75pt;mso-width-percent:0;mso-height-percent:0;mso-width-percent:0;mso-height-percent:0" o:hrpct="0" o:hrstd="t" o:hrnoshade="t" o:hr="t" fillcolor="black" stroked="f"/>
        </w:pict>
      </w:r>
    </w:p>
    <w:p w14:paraId="552873BC"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42" w:anchor="ntc1-L_2016112ET.01000101-E0001"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1</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w:t>
      </w:r>
      <w:hyperlink r:id="rId43" w:history="1">
        <w:r w:rsidR="008E1A17" w:rsidRPr="004D5219">
          <w:rPr>
            <w:rFonts w:ascii="inherit" w:eastAsia="Times New Roman" w:hAnsi="inherit" w:cs="Times New Roman"/>
            <w:color w:val="0000FF"/>
            <w:sz w:val="19"/>
            <w:szCs w:val="19"/>
            <w:u w:val="single"/>
            <w:lang w:val="et-EE" w:bidi="ar-SA"/>
          </w:rPr>
          <w:t>ELT L 211, 14.8.2009, lk 15</w:t>
        </w:r>
      </w:hyperlink>
      <w:r w:rsidR="008E1A17" w:rsidRPr="004D5219">
        <w:rPr>
          <w:rFonts w:ascii="inherit" w:eastAsia="Times New Roman" w:hAnsi="inherit" w:cs="Times New Roman"/>
          <w:color w:val="000000"/>
          <w:sz w:val="19"/>
          <w:szCs w:val="19"/>
          <w:lang w:val="et-EE" w:bidi="ar-SA"/>
        </w:rPr>
        <w:t>.</w:t>
      </w:r>
    </w:p>
    <w:p w14:paraId="0BECCF76"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44" w:anchor="ntc2-L_2016112ET.01000101-E0002"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2</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xml:space="preserve">  Euroopa Parlamendi ja nõukogu direktiiv 2009/72/EÜ, 13. juuli 2009, mis käsitleb elektrienergia siseturu </w:t>
      </w:r>
      <w:proofErr w:type="spellStart"/>
      <w:r w:rsidR="008E1A17" w:rsidRPr="004D5219">
        <w:rPr>
          <w:rFonts w:ascii="inherit" w:eastAsia="Times New Roman" w:hAnsi="inherit" w:cs="Times New Roman"/>
          <w:color w:val="000000"/>
          <w:sz w:val="19"/>
          <w:szCs w:val="19"/>
          <w:lang w:val="et-EE" w:bidi="ar-SA"/>
        </w:rPr>
        <w:t>ühiseeskirju</w:t>
      </w:r>
      <w:proofErr w:type="spellEnd"/>
      <w:r w:rsidR="008E1A17" w:rsidRPr="004D5219">
        <w:rPr>
          <w:rFonts w:ascii="inherit" w:eastAsia="Times New Roman" w:hAnsi="inherit" w:cs="Times New Roman"/>
          <w:color w:val="000000"/>
          <w:sz w:val="19"/>
          <w:szCs w:val="19"/>
          <w:lang w:val="et-EE" w:bidi="ar-SA"/>
        </w:rPr>
        <w:t xml:space="preserve"> ning millega tunnistatakse kehtetuks direktiiv 2003/54/EÜ (</w:t>
      </w:r>
      <w:hyperlink r:id="rId45" w:history="1">
        <w:r w:rsidR="008E1A17" w:rsidRPr="004D5219">
          <w:rPr>
            <w:rFonts w:ascii="inherit" w:eastAsia="Times New Roman" w:hAnsi="inherit" w:cs="Times New Roman"/>
            <w:color w:val="0000FF"/>
            <w:sz w:val="19"/>
            <w:szCs w:val="19"/>
            <w:u w:val="single"/>
            <w:lang w:val="et-EE" w:bidi="ar-SA"/>
          </w:rPr>
          <w:t>ELT L 211, 14.8.2009, lk 55</w:t>
        </w:r>
      </w:hyperlink>
      <w:r w:rsidR="008E1A17" w:rsidRPr="004D5219">
        <w:rPr>
          <w:rFonts w:ascii="inherit" w:eastAsia="Times New Roman" w:hAnsi="inherit" w:cs="Times New Roman"/>
          <w:color w:val="000000"/>
          <w:sz w:val="19"/>
          <w:szCs w:val="19"/>
          <w:lang w:val="et-EE" w:bidi="ar-SA"/>
        </w:rPr>
        <w:t>).</w:t>
      </w:r>
    </w:p>
    <w:p w14:paraId="16DFA561"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46" w:anchor="ntc3-L_2016112ET.01000101-E0003"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3</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Euroopa Parlamendi ja nõukogu direktiiv 2012/27/EL, 25. oktoober 2012, milles käsitletakse energiatõhusust, muudetakse direktiive 2009/125/EÜ ja 2010/30/EL ning tunnistatakse kehtetuks direktiivid 2004/8/EÜ ja 2006/32/EÜ (</w:t>
      </w:r>
      <w:hyperlink r:id="rId47" w:history="1">
        <w:r w:rsidR="008E1A17" w:rsidRPr="004D5219">
          <w:rPr>
            <w:rFonts w:ascii="inherit" w:eastAsia="Times New Roman" w:hAnsi="inherit" w:cs="Times New Roman"/>
            <w:color w:val="0000FF"/>
            <w:sz w:val="19"/>
            <w:szCs w:val="19"/>
            <w:u w:val="single"/>
            <w:lang w:val="et-EE" w:bidi="ar-SA"/>
          </w:rPr>
          <w:t>ELT L 315, 14.11.2012, lk 1</w:t>
        </w:r>
      </w:hyperlink>
      <w:r w:rsidR="008E1A17" w:rsidRPr="004D5219">
        <w:rPr>
          <w:rFonts w:ascii="inherit" w:eastAsia="Times New Roman" w:hAnsi="inherit" w:cs="Times New Roman"/>
          <w:color w:val="000000"/>
          <w:sz w:val="19"/>
          <w:szCs w:val="19"/>
          <w:lang w:val="et-EE" w:bidi="ar-SA"/>
        </w:rPr>
        <w:t>).</w:t>
      </w:r>
    </w:p>
    <w:p w14:paraId="1CD846F8"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48" w:anchor="ntc4-L_2016112ET.01000101-E0004"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4</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Komisjoni määrus (EL) 2015/1222, 24. juuli 2015, millega kehtestatakse võimsuse jaotamise ja ülekoormuse juhtimise suunised (</w:t>
      </w:r>
      <w:hyperlink r:id="rId49" w:history="1">
        <w:r w:rsidR="008E1A17" w:rsidRPr="004D5219">
          <w:rPr>
            <w:rFonts w:ascii="inherit" w:eastAsia="Times New Roman" w:hAnsi="inherit" w:cs="Times New Roman"/>
            <w:color w:val="0000FF"/>
            <w:sz w:val="19"/>
            <w:szCs w:val="19"/>
            <w:u w:val="single"/>
            <w:lang w:val="et-EE" w:bidi="ar-SA"/>
          </w:rPr>
          <w:t>ELT L 197, 25.7.2015, lk 24</w:t>
        </w:r>
      </w:hyperlink>
      <w:r w:rsidR="008E1A17" w:rsidRPr="004D5219">
        <w:rPr>
          <w:rFonts w:ascii="inherit" w:eastAsia="Times New Roman" w:hAnsi="inherit" w:cs="Times New Roman"/>
          <w:color w:val="000000"/>
          <w:sz w:val="19"/>
          <w:szCs w:val="19"/>
          <w:lang w:val="et-EE" w:bidi="ar-SA"/>
        </w:rPr>
        <w:t>).</w:t>
      </w:r>
    </w:p>
    <w:p w14:paraId="30274B92"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0" w:anchor="ntc5-L_2016112ET.01000101-E0005"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5</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Komisjoni määrus (EL) nr 543/2013, 14. juuni 2013, mis käsitleb elektriturgudel andmete esitamist ja avaldamist ning millega muudetakse Euroopa Parlamendi ja nõukogu määruse (EÜ) nr 714/2009 I lisa (</w:t>
      </w:r>
      <w:hyperlink r:id="rId51" w:history="1">
        <w:r w:rsidR="008E1A17" w:rsidRPr="004D5219">
          <w:rPr>
            <w:rFonts w:ascii="inherit" w:eastAsia="Times New Roman" w:hAnsi="inherit" w:cs="Times New Roman"/>
            <w:color w:val="0000FF"/>
            <w:sz w:val="19"/>
            <w:szCs w:val="19"/>
            <w:u w:val="single"/>
            <w:lang w:val="et-EE" w:bidi="ar-SA"/>
          </w:rPr>
          <w:t>ELT L 163, 15.6.2013, lk 1</w:t>
        </w:r>
      </w:hyperlink>
      <w:r w:rsidR="008E1A17" w:rsidRPr="004D5219">
        <w:rPr>
          <w:rFonts w:ascii="inherit" w:eastAsia="Times New Roman" w:hAnsi="inherit" w:cs="Times New Roman"/>
          <w:color w:val="000000"/>
          <w:sz w:val="19"/>
          <w:szCs w:val="19"/>
          <w:lang w:val="et-EE" w:bidi="ar-SA"/>
        </w:rPr>
        <w:t>).</w:t>
      </w:r>
    </w:p>
    <w:p w14:paraId="6E8AF1B5"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2" w:anchor="ntc6-L_2016112ET.01000101-E0006"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6</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Euroopa Parlamendi ja nõukogu määrus (EÜ) nr 765/2008, 9. juuli 2008, millega sätestatakse akrediteerimise ja turujärelevalve nõuded seoses toodete turustamisega ja tunnistatakse kehtetuks määrus (EMÜ) nr 339/93 (</w:t>
      </w:r>
      <w:hyperlink r:id="rId53" w:history="1">
        <w:r w:rsidR="008E1A17" w:rsidRPr="004D5219">
          <w:rPr>
            <w:rFonts w:ascii="inherit" w:eastAsia="Times New Roman" w:hAnsi="inherit" w:cs="Times New Roman"/>
            <w:color w:val="0000FF"/>
            <w:sz w:val="19"/>
            <w:szCs w:val="19"/>
            <w:u w:val="single"/>
            <w:lang w:val="et-EE" w:bidi="ar-SA"/>
          </w:rPr>
          <w:t>ELT L 218, 13.8.2008, lk 30</w:t>
        </w:r>
      </w:hyperlink>
      <w:r w:rsidR="008E1A17" w:rsidRPr="004D5219">
        <w:rPr>
          <w:rFonts w:ascii="inherit" w:eastAsia="Times New Roman" w:hAnsi="inherit" w:cs="Times New Roman"/>
          <w:color w:val="000000"/>
          <w:sz w:val="19"/>
          <w:szCs w:val="19"/>
          <w:lang w:val="et-EE" w:bidi="ar-SA"/>
        </w:rPr>
        <w:t>).</w:t>
      </w:r>
    </w:p>
    <w:p w14:paraId="6367AC81"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4" w:anchor="ntc*-L_2016112ET.01000101-E0007"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Suhteliste ühikute arvutamise aluspinge on väiksem kui 300 </w:t>
      </w:r>
      <w:proofErr w:type="spellStart"/>
      <w:r w:rsidR="008E1A17" w:rsidRPr="004D5219">
        <w:rPr>
          <w:rFonts w:ascii="inherit" w:eastAsia="Times New Roman" w:hAnsi="inherit" w:cs="Times New Roman"/>
          <w:color w:val="000000"/>
          <w:sz w:val="19"/>
          <w:szCs w:val="19"/>
          <w:lang w:val="et-EE" w:bidi="ar-SA"/>
        </w:rPr>
        <w:t>kV</w:t>
      </w:r>
      <w:proofErr w:type="spellEnd"/>
      <w:r w:rsidR="008E1A17" w:rsidRPr="004D5219">
        <w:rPr>
          <w:rFonts w:ascii="inherit" w:eastAsia="Times New Roman" w:hAnsi="inherit" w:cs="Times New Roman"/>
          <w:color w:val="000000"/>
          <w:sz w:val="19"/>
          <w:szCs w:val="19"/>
          <w:lang w:val="et-EE" w:bidi="ar-SA"/>
        </w:rPr>
        <w:t>.</w:t>
      </w:r>
    </w:p>
    <w:p w14:paraId="1B51C587"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5" w:anchor="ntc**-L_2016112ET.01000101-E0008"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Suhteliste ühikute arvutamise aluspinge on 300–400 </w:t>
      </w:r>
      <w:proofErr w:type="spellStart"/>
      <w:r w:rsidR="008E1A17" w:rsidRPr="004D5219">
        <w:rPr>
          <w:rFonts w:ascii="inherit" w:eastAsia="Times New Roman" w:hAnsi="inherit" w:cs="Times New Roman"/>
          <w:color w:val="000000"/>
          <w:sz w:val="19"/>
          <w:szCs w:val="19"/>
          <w:lang w:val="et-EE" w:bidi="ar-SA"/>
        </w:rPr>
        <w:t>kV</w:t>
      </w:r>
      <w:proofErr w:type="spellEnd"/>
      <w:r w:rsidR="008E1A17" w:rsidRPr="004D5219">
        <w:rPr>
          <w:rFonts w:ascii="inherit" w:eastAsia="Times New Roman" w:hAnsi="inherit" w:cs="Times New Roman"/>
          <w:color w:val="000000"/>
          <w:sz w:val="19"/>
          <w:szCs w:val="19"/>
          <w:lang w:val="et-EE" w:bidi="ar-SA"/>
        </w:rPr>
        <w:t>.</w:t>
      </w:r>
    </w:p>
    <w:p w14:paraId="2B139EC4"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6" w:anchor="ntc***-L_2016112ET.01000101-E0009"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Mereühenduspunktis 1. skeemi korral.</w:t>
      </w:r>
    </w:p>
    <w:p w14:paraId="2ABE8D10" w14:textId="77777777" w:rsidR="008E1A17" w:rsidRPr="004D5219" w:rsidRDefault="00C4789E" w:rsidP="008E1A17">
      <w:pPr>
        <w:widowControl/>
        <w:autoSpaceDE/>
        <w:autoSpaceDN/>
        <w:spacing w:before="60" w:after="60"/>
        <w:jc w:val="both"/>
        <w:rPr>
          <w:rFonts w:ascii="inherit" w:eastAsia="Times New Roman" w:hAnsi="inherit" w:cs="Times New Roman"/>
          <w:color w:val="000000"/>
          <w:sz w:val="19"/>
          <w:szCs w:val="19"/>
          <w:lang w:val="et-EE" w:bidi="ar-SA"/>
        </w:rPr>
      </w:pPr>
      <w:hyperlink r:id="rId57" w:anchor="ntc****-L_2016112ET.01000101-E0010" w:history="1">
        <w:r w:rsidR="008E1A17" w:rsidRPr="004D5219">
          <w:rPr>
            <w:rFonts w:ascii="inherit" w:eastAsia="Times New Roman" w:hAnsi="inherit" w:cs="Times New Roman"/>
            <w:color w:val="0000FF"/>
            <w:sz w:val="19"/>
            <w:szCs w:val="19"/>
            <w:u w:val="single"/>
            <w:lang w:val="et-EE" w:bidi="ar-SA"/>
          </w:rPr>
          <w:t>(</w:t>
        </w:r>
        <w:r w:rsidR="008E1A17" w:rsidRPr="004D5219">
          <w:rPr>
            <w:rFonts w:ascii="inherit" w:eastAsia="Times New Roman" w:hAnsi="inherit" w:cs="Times New Roman"/>
            <w:color w:val="0000FF"/>
            <w:sz w:val="13"/>
            <w:szCs w:val="13"/>
            <w:u w:val="single"/>
            <w:vertAlign w:val="superscript"/>
            <w:lang w:val="et-EE" w:bidi="ar-SA"/>
          </w:rPr>
          <w:t>****</w:t>
        </w:r>
        <w:r w:rsidR="008E1A17" w:rsidRPr="004D5219">
          <w:rPr>
            <w:rFonts w:ascii="inherit" w:eastAsia="Times New Roman" w:hAnsi="inherit" w:cs="Times New Roman"/>
            <w:color w:val="0000FF"/>
            <w:sz w:val="19"/>
            <w:szCs w:val="19"/>
            <w:u w:val="single"/>
            <w:lang w:val="et-EE" w:bidi="ar-SA"/>
          </w:rPr>
          <w:t>)</w:t>
        </w:r>
      </w:hyperlink>
      <w:r w:rsidR="008E1A17" w:rsidRPr="004D5219">
        <w:rPr>
          <w:rFonts w:ascii="inherit" w:eastAsia="Times New Roman" w:hAnsi="inherit" w:cs="Times New Roman"/>
          <w:color w:val="000000"/>
          <w:sz w:val="19"/>
          <w:szCs w:val="19"/>
          <w:lang w:val="et-EE" w:bidi="ar-SA"/>
        </w:rPr>
        <w:t>  Mereühenduspunktis 2. skeemi korral.</w:t>
      </w:r>
    </w:p>
    <w:p w14:paraId="34B0C0B7" w14:textId="77777777" w:rsidR="007E7F67" w:rsidRPr="004D5219" w:rsidRDefault="007E7F67">
      <w:pPr>
        <w:rPr>
          <w:rFonts w:ascii="Calibri" w:hAnsi="Calibri" w:cs="Calibri"/>
          <w:sz w:val="20"/>
          <w:szCs w:val="19"/>
          <w:lang w:val="et-EE"/>
        </w:rPr>
      </w:pPr>
    </w:p>
    <w:sectPr w:rsidR="007E7F67" w:rsidRPr="004D5219">
      <w:headerReference w:type="default" r:id="rId58"/>
      <w:pgSz w:w="11910" w:h="16840"/>
      <w:pgMar w:top="1380" w:right="1220" w:bottom="280" w:left="1240" w:header="9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4CB71" w14:textId="77777777" w:rsidR="00C4789E" w:rsidRDefault="00C4789E">
      <w:r>
        <w:separator/>
      </w:r>
    </w:p>
  </w:endnote>
  <w:endnote w:type="continuationSeparator" w:id="0">
    <w:p w14:paraId="1F2AE445" w14:textId="77777777" w:rsidR="00C4789E" w:rsidRDefault="00C4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639C9" w14:textId="77777777" w:rsidR="00C4789E" w:rsidRDefault="00C4789E">
      <w:r>
        <w:separator/>
      </w:r>
    </w:p>
  </w:footnote>
  <w:footnote w:type="continuationSeparator" w:id="0">
    <w:p w14:paraId="759AC4BC" w14:textId="77777777" w:rsidR="00C4789E" w:rsidRDefault="00C47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95CD1" w14:textId="554DD84B" w:rsidR="005948C1" w:rsidRPr="009B6E1D" w:rsidRDefault="005948C1" w:rsidP="009B6E1D">
    <w:pPr>
      <w:pStyle w:val="Header"/>
      <w:jc w:val="right"/>
      <w:rPr>
        <w:rFonts w:asciiTheme="minorHAnsi" w:hAnsiTheme="minorHAnsi" w:cstheme="minorHAnsi"/>
      </w:rPr>
    </w:pPr>
    <w:r w:rsidRPr="009B6E1D">
      <w:rPr>
        <w:rFonts w:asciiTheme="minorHAnsi" w:hAnsiTheme="minorHAnsi" w:cstheme="minorHAnsi"/>
      </w:rPr>
      <w:t>ABISTAV JUHENDMATERJAL</w:t>
    </w:r>
  </w:p>
  <w:p w14:paraId="672E415A" w14:textId="11526F7D" w:rsidR="00B12324" w:rsidRDefault="00B123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CF"/>
    <w:rsid w:val="00031624"/>
    <w:rsid w:val="0003277E"/>
    <w:rsid w:val="000522AA"/>
    <w:rsid w:val="000A5691"/>
    <w:rsid w:val="000B72AF"/>
    <w:rsid w:val="000D21E9"/>
    <w:rsid w:val="00134783"/>
    <w:rsid w:val="001406A3"/>
    <w:rsid w:val="00143DF9"/>
    <w:rsid w:val="001C088B"/>
    <w:rsid w:val="00247EEE"/>
    <w:rsid w:val="0025549E"/>
    <w:rsid w:val="00255C38"/>
    <w:rsid w:val="00292A5F"/>
    <w:rsid w:val="002A0287"/>
    <w:rsid w:val="002B5FE5"/>
    <w:rsid w:val="002C0F19"/>
    <w:rsid w:val="002E490E"/>
    <w:rsid w:val="002F2C91"/>
    <w:rsid w:val="003255D2"/>
    <w:rsid w:val="00325EF6"/>
    <w:rsid w:val="00330085"/>
    <w:rsid w:val="0036172F"/>
    <w:rsid w:val="003804A8"/>
    <w:rsid w:val="004169C8"/>
    <w:rsid w:val="00470D77"/>
    <w:rsid w:val="004812B6"/>
    <w:rsid w:val="004C0418"/>
    <w:rsid w:val="004D5219"/>
    <w:rsid w:val="00533101"/>
    <w:rsid w:val="005948C1"/>
    <w:rsid w:val="00596A6D"/>
    <w:rsid w:val="005A2E27"/>
    <w:rsid w:val="005C3D89"/>
    <w:rsid w:val="005D3BAD"/>
    <w:rsid w:val="005D67C7"/>
    <w:rsid w:val="005F50E9"/>
    <w:rsid w:val="005F63E5"/>
    <w:rsid w:val="00633E58"/>
    <w:rsid w:val="006731E9"/>
    <w:rsid w:val="006A2D53"/>
    <w:rsid w:val="006C146A"/>
    <w:rsid w:val="007075AD"/>
    <w:rsid w:val="00711B94"/>
    <w:rsid w:val="00746720"/>
    <w:rsid w:val="0075368F"/>
    <w:rsid w:val="00760FCB"/>
    <w:rsid w:val="007A2D60"/>
    <w:rsid w:val="007C3AF8"/>
    <w:rsid w:val="007E7F67"/>
    <w:rsid w:val="008223B3"/>
    <w:rsid w:val="00823CE5"/>
    <w:rsid w:val="0083636E"/>
    <w:rsid w:val="0084370D"/>
    <w:rsid w:val="00863E42"/>
    <w:rsid w:val="00893041"/>
    <w:rsid w:val="008A4F02"/>
    <w:rsid w:val="008B3B13"/>
    <w:rsid w:val="008D3597"/>
    <w:rsid w:val="008D709D"/>
    <w:rsid w:val="008E1A17"/>
    <w:rsid w:val="009511F8"/>
    <w:rsid w:val="0099707C"/>
    <w:rsid w:val="009B6E1D"/>
    <w:rsid w:val="009E50CD"/>
    <w:rsid w:val="00A2039D"/>
    <w:rsid w:val="00A4394C"/>
    <w:rsid w:val="00A52F53"/>
    <w:rsid w:val="00A532EB"/>
    <w:rsid w:val="00A609B8"/>
    <w:rsid w:val="00AA3265"/>
    <w:rsid w:val="00AC1BBF"/>
    <w:rsid w:val="00AC4C12"/>
    <w:rsid w:val="00AF05C4"/>
    <w:rsid w:val="00B12324"/>
    <w:rsid w:val="00B26923"/>
    <w:rsid w:val="00B7178B"/>
    <w:rsid w:val="00B92DC9"/>
    <w:rsid w:val="00BC0E56"/>
    <w:rsid w:val="00BD22A1"/>
    <w:rsid w:val="00C01192"/>
    <w:rsid w:val="00C21680"/>
    <w:rsid w:val="00C25917"/>
    <w:rsid w:val="00C42BBC"/>
    <w:rsid w:val="00C4789E"/>
    <w:rsid w:val="00C5619D"/>
    <w:rsid w:val="00CA7F67"/>
    <w:rsid w:val="00CB0643"/>
    <w:rsid w:val="00CB59DC"/>
    <w:rsid w:val="00CD3E65"/>
    <w:rsid w:val="00CD6560"/>
    <w:rsid w:val="00D01B20"/>
    <w:rsid w:val="00D43407"/>
    <w:rsid w:val="00D5205A"/>
    <w:rsid w:val="00D9003C"/>
    <w:rsid w:val="00DB28D6"/>
    <w:rsid w:val="00DC00A1"/>
    <w:rsid w:val="00DD1044"/>
    <w:rsid w:val="00DD1CED"/>
    <w:rsid w:val="00DF20A6"/>
    <w:rsid w:val="00E1048F"/>
    <w:rsid w:val="00E21767"/>
    <w:rsid w:val="00E22C68"/>
    <w:rsid w:val="00E837D9"/>
    <w:rsid w:val="00E906CF"/>
    <w:rsid w:val="00E93CDC"/>
    <w:rsid w:val="00EA618D"/>
    <w:rsid w:val="00EB7388"/>
    <w:rsid w:val="00EE0C84"/>
    <w:rsid w:val="00EF5943"/>
    <w:rsid w:val="00EF6A73"/>
    <w:rsid w:val="00F12536"/>
    <w:rsid w:val="00F151DB"/>
    <w:rsid w:val="00F72920"/>
    <w:rsid w:val="00F93113"/>
    <w:rsid w:val="00FB3E25"/>
    <w:rsid w:val="00FB5C35"/>
    <w:rsid w:val="00FD3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1063B"/>
  <w15:docId w15:val="{36A06156-ED3F-4A6F-9218-0CF1294E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ind w:left="618" w:right="636"/>
      <w:jc w:val="center"/>
      <w:outlineLvl w:val="0"/>
    </w:pPr>
    <w:rPr>
      <w:b/>
      <w:bCs/>
      <w:sz w:val="19"/>
      <w:szCs w:val="19"/>
    </w:rPr>
  </w:style>
  <w:style w:type="paragraph" w:styleId="Heading2">
    <w:name w:val="heading 2"/>
    <w:basedOn w:val="Normal"/>
    <w:uiPriority w:val="9"/>
    <w:unhideWhenUsed/>
    <w:qFormat/>
    <w:pPr>
      <w:ind w:left="618" w:right="636"/>
      <w:jc w:val="center"/>
      <w:outlineLvl w:val="1"/>
    </w:pPr>
    <w:rPr>
      <w:rFonts w:ascii="Times New Roman" w:eastAsia="Times New Roman" w:hAnsi="Times New Roman" w:cs="Times New Roman"/>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351" w:hanging="244"/>
    </w:pPr>
  </w:style>
  <w:style w:type="paragraph" w:customStyle="1" w:styleId="TableParagraph">
    <w:name w:val="Table Paragraph"/>
    <w:basedOn w:val="Normal"/>
    <w:uiPriority w:val="1"/>
    <w:qFormat/>
    <w:pPr>
      <w:jc w:val="center"/>
    </w:pPr>
  </w:style>
  <w:style w:type="paragraph" w:styleId="Footer">
    <w:name w:val="footer"/>
    <w:basedOn w:val="Normal"/>
    <w:link w:val="FooterChar"/>
    <w:uiPriority w:val="99"/>
    <w:unhideWhenUsed/>
    <w:rsid w:val="007E7F67"/>
    <w:pPr>
      <w:tabs>
        <w:tab w:val="center" w:pos="4680"/>
        <w:tab w:val="right" w:pos="9360"/>
      </w:tabs>
    </w:pPr>
  </w:style>
  <w:style w:type="character" w:customStyle="1" w:styleId="FooterChar">
    <w:name w:val="Footer Char"/>
    <w:basedOn w:val="DefaultParagraphFont"/>
    <w:link w:val="Footer"/>
    <w:uiPriority w:val="99"/>
    <w:rsid w:val="007E7F67"/>
    <w:rPr>
      <w:rFonts w:ascii="Georgia" w:eastAsia="Georgia" w:hAnsi="Georgia" w:cs="Georgia"/>
      <w:lang w:bidi="en-US"/>
    </w:rPr>
  </w:style>
  <w:style w:type="paragraph" w:styleId="Header">
    <w:name w:val="header"/>
    <w:basedOn w:val="Normal"/>
    <w:link w:val="HeaderChar"/>
    <w:uiPriority w:val="99"/>
    <w:unhideWhenUsed/>
    <w:rsid w:val="007E7F67"/>
    <w:pPr>
      <w:tabs>
        <w:tab w:val="center" w:pos="4680"/>
        <w:tab w:val="right" w:pos="9360"/>
      </w:tabs>
    </w:pPr>
  </w:style>
  <w:style w:type="character" w:customStyle="1" w:styleId="HeaderChar">
    <w:name w:val="Header Char"/>
    <w:basedOn w:val="DefaultParagraphFont"/>
    <w:link w:val="Header"/>
    <w:uiPriority w:val="99"/>
    <w:rsid w:val="007E7F67"/>
    <w:rPr>
      <w:rFonts w:ascii="Georgia" w:eastAsia="Georgia" w:hAnsi="Georgia" w:cs="Georgia"/>
      <w:lang w:bidi="en-US"/>
    </w:rPr>
  </w:style>
  <w:style w:type="paragraph" w:styleId="Title">
    <w:name w:val="Title"/>
    <w:basedOn w:val="Normal"/>
    <w:next w:val="Normal"/>
    <w:link w:val="TitleChar"/>
    <w:uiPriority w:val="10"/>
    <w:qFormat/>
    <w:rsid w:val="007E7F67"/>
    <w:pPr>
      <w:widowControl/>
      <w:autoSpaceDE/>
      <w:autoSpaceDN/>
      <w:contextualSpacing/>
    </w:pPr>
    <w:rPr>
      <w:rFonts w:asciiTheme="majorHAnsi" w:eastAsiaTheme="majorEastAsia" w:hAnsiTheme="majorHAnsi" w:cstheme="majorBidi"/>
      <w:spacing w:val="-10"/>
      <w:kern w:val="28"/>
      <w:sz w:val="56"/>
      <w:szCs w:val="56"/>
      <w:lang w:val="et-EE" w:bidi="ar-SA"/>
    </w:rPr>
  </w:style>
  <w:style w:type="character" w:customStyle="1" w:styleId="TitleChar">
    <w:name w:val="Title Char"/>
    <w:basedOn w:val="DefaultParagraphFont"/>
    <w:link w:val="Title"/>
    <w:uiPriority w:val="10"/>
    <w:rsid w:val="007E7F67"/>
    <w:rPr>
      <w:rFonts w:asciiTheme="majorHAnsi" w:eastAsiaTheme="majorEastAsia" w:hAnsiTheme="majorHAnsi" w:cstheme="majorBidi"/>
      <w:spacing w:val="-10"/>
      <w:kern w:val="28"/>
      <w:sz w:val="56"/>
      <w:szCs w:val="56"/>
      <w:lang w:val="et-EE"/>
    </w:rPr>
  </w:style>
  <w:style w:type="paragraph" w:customStyle="1" w:styleId="msonormal0">
    <w:name w:val="msonormal"/>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i-section-1">
    <w:name w:val="ti-section-1"/>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i-section-2">
    <w:name w:val="ti-section-2"/>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d-date">
    <w:name w:val="hd-date"/>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d-lg">
    <w:name w:val="hd-lg"/>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d-ti">
    <w:name w:val="hd-ti"/>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hd-oj">
    <w:name w:val="hd-oj"/>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oc-ti">
    <w:name w:val="doc-ti"/>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Normal1">
    <w:name w:val="Normal1"/>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8E1A17"/>
    <w:rPr>
      <w:color w:val="0000FF"/>
      <w:u w:val="single"/>
    </w:rPr>
  </w:style>
  <w:style w:type="character" w:styleId="FollowedHyperlink">
    <w:name w:val="FollowedHyperlink"/>
    <w:basedOn w:val="DefaultParagraphFont"/>
    <w:uiPriority w:val="99"/>
    <w:semiHidden/>
    <w:unhideWhenUsed/>
    <w:rsid w:val="008E1A17"/>
    <w:rPr>
      <w:color w:val="800080"/>
      <w:u w:val="single"/>
    </w:rPr>
  </w:style>
  <w:style w:type="character" w:customStyle="1" w:styleId="super">
    <w:name w:val="super"/>
    <w:basedOn w:val="DefaultParagraphFont"/>
    <w:rsid w:val="008E1A17"/>
  </w:style>
  <w:style w:type="character" w:customStyle="1" w:styleId="bold">
    <w:name w:val="bold"/>
    <w:basedOn w:val="DefaultParagraphFont"/>
    <w:rsid w:val="008E1A17"/>
  </w:style>
  <w:style w:type="paragraph" w:customStyle="1" w:styleId="ti-art">
    <w:name w:val="ti-art"/>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sti-art">
    <w:name w:val="sti-art"/>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ub">
    <w:name w:val="sub"/>
    <w:basedOn w:val="DefaultParagraphFont"/>
    <w:rsid w:val="008E1A17"/>
  </w:style>
  <w:style w:type="paragraph" w:customStyle="1" w:styleId="ti-tbl">
    <w:name w:val="ti-tbl"/>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italic">
    <w:name w:val="italic"/>
    <w:basedOn w:val="DefaultParagraphFont"/>
    <w:rsid w:val="008E1A17"/>
  </w:style>
  <w:style w:type="paragraph" w:customStyle="1" w:styleId="tbl-hdr">
    <w:name w:val="tbl-hdr"/>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bl-txt">
    <w:name w:val="tbl-txt"/>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i-grseq-1">
    <w:name w:val="ti-grseq-1"/>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signatory">
    <w:name w:val="signatory"/>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note">
    <w:name w:val="note"/>
    <w:basedOn w:val="Normal"/>
    <w:rsid w:val="008E1A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5F63E5"/>
    <w:rPr>
      <w:sz w:val="16"/>
      <w:szCs w:val="16"/>
    </w:rPr>
  </w:style>
  <w:style w:type="paragraph" w:styleId="CommentText">
    <w:name w:val="annotation text"/>
    <w:basedOn w:val="Normal"/>
    <w:link w:val="CommentTextChar"/>
    <w:uiPriority w:val="99"/>
    <w:semiHidden/>
    <w:unhideWhenUsed/>
    <w:rsid w:val="005F63E5"/>
    <w:rPr>
      <w:sz w:val="20"/>
      <w:szCs w:val="20"/>
    </w:rPr>
  </w:style>
  <w:style w:type="character" w:customStyle="1" w:styleId="CommentTextChar">
    <w:name w:val="Comment Text Char"/>
    <w:basedOn w:val="DefaultParagraphFont"/>
    <w:link w:val="CommentText"/>
    <w:uiPriority w:val="99"/>
    <w:semiHidden/>
    <w:rsid w:val="005F63E5"/>
    <w:rPr>
      <w:rFonts w:ascii="Georgia" w:eastAsia="Georgia" w:hAnsi="Georgia" w:cs="Georgia"/>
      <w:sz w:val="20"/>
      <w:szCs w:val="20"/>
      <w:lang w:bidi="en-US"/>
    </w:rPr>
  </w:style>
  <w:style w:type="paragraph" w:styleId="CommentSubject">
    <w:name w:val="annotation subject"/>
    <w:basedOn w:val="CommentText"/>
    <w:next w:val="CommentText"/>
    <w:link w:val="CommentSubjectChar"/>
    <w:uiPriority w:val="99"/>
    <w:semiHidden/>
    <w:unhideWhenUsed/>
    <w:rsid w:val="005F63E5"/>
    <w:rPr>
      <w:b/>
      <w:bCs/>
    </w:rPr>
  </w:style>
  <w:style w:type="character" w:customStyle="1" w:styleId="CommentSubjectChar">
    <w:name w:val="Comment Subject Char"/>
    <w:basedOn w:val="CommentTextChar"/>
    <w:link w:val="CommentSubject"/>
    <w:uiPriority w:val="99"/>
    <w:semiHidden/>
    <w:rsid w:val="005F63E5"/>
    <w:rPr>
      <w:rFonts w:ascii="Georgia" w:eastAsia="Georgia" w:hAnsi="Georgia" w:cs="Georgia"/>
      <w:b/>
      <w:bCs/>
      <w:sz w:val="20"/>
      <w:szCs w:val="20"/>
      <w:lang w:bidi="en-US"/>
    </w:rPr>
  </w:style>
  <w:style w:type="paragraph" w:styleId="BalloonText">
    <w:name w:val="Balloon Text"/>
    <w:basedOn w:val="Normal"/>
    <w:link w:val="BalloonTextChar"/>
    <w:uiPriority w:val="99"/>
    <w:semiHidden/>
    <w:unhideWhenUsed/>
    <w:rsid w:val="005F63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63E5"/>
    <w:rPr>
      <w:rFonts w:ascii="Times New Roman" w:eastAsia="Georgia" w:hAnsi="Times New Roman" w:cs="Times New Roman"/>
      <w:sz w:val="18"/>
      <w:szCs w:val="18"/>
      <w:lang w:bidi="en-US"/>
    </w:rPr>
  </w:style>
  <w:style w:type="character" w:customStyle="1" w:styleId="apple-converted-space">
    <w:name w:val="apple-converted-space"/>
    <w:basedOn w:val="DefaultParagraphFont"/>
    <w:rsid w:val="00031624"/>
  </w:style>
  <w:style w:type="paragraph" w:styleId="FootnoteText">
    <w:name w:val="footnote text"/>
    <w:basedOn w:val="Normal"/>
    <w:link w:val="FootnoteTextChar"/>
    <w:uiPriority w:val="99"/>
    <w:semiHidden/>
    <w:unhideWhenUsed/>
    <w:rsid w:val="00C01192"/>
    <w:rPr>
      <w:sz w:val="20"/>
      <w:szCs w:val="20"/>
    </w:rPr>
  </w:style>
  <w:style w:type="character" w:customStyle="1" w:styleId="FootnoteTextChar">
    <w:name w:val="Footnote Text Char"/>
    <w:basedOn w:val="DefaultParagraphFont"/>
    <w:link w:val="FootnoteText"/>
    <w:uiPriority w:val="99"/>
    <w:semiHidden/>
    <w:rsid w:val="00C01192"/>
    <w:rPr>
      <w:rFonts w:ascii="Georgia" w:eastAsia="Georgia" w:hAnsi="Georgia" w:cs="Georgia"/>
      <w:sz w:val="20"/>
      <w:szCs w:val="20"/>
      <w:lang w:bidi="en-US"/>
    </w:rPr>
  </w:style>
  <w:style w:type="character" w:styleId="FootnoteReference">
    <w:name w:val="footnote reference"/>
    <w:basedOn w:val="DefaultParagraphFont"/>
    <w:uiPriority w:val="99"/>
    <w:semiHidden/>
    <w:unhideWhenUsed/>
    <w:rsid w:val="00C01192"/>
    <w:rPr>
      <w:vertAlign w:val="superscript"/>
    </w:rPr>
  </w:style>
  <w:style w:type="character" w:customStyle="1" w:styleId="UnresolvedMention">
    <w:name w:val="Unresolved Mention"/>
    <w:basedOn w:val="DefaultParagraphFont"/>
    <w:uiPriority w:val="99"/>
    <w:semiHidden/>
    <w:unhideWhenUsed/>
    <w:rsid w:val="00C01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1325">
      <w:bodyDiv w:val="1"/>
      <w:marLeft w:val="0"/>
      <w:marRight w:val="0"/>
      <w:marTop w:val="0"/>
      <w:marBottom w:val="0"/>
      <w:divBdr>
        <w:top w:val="none" w:sz="0" w:space="0" w:color="auto"/>
        <w:left w:val="none" w:sz="0" w:space="0" w:color="auto"/>
        <w:bottom w:val="none" w:sz="0" w:space="0" w:color="auto"/>
        <w:right w:val="none" w:sz="0" w:space="0" w:color="auto"/>
      </w:divBdr>
    </w:div>
    <w:div w:id="1408765417">
      <w:bodyDiv w:val="1"/>
      <w:marLeft w:val="0"/>
      <w:marRight w:val="0"/>
      <w:marTop w:val="0"/>
      <w:marBottom w:val="0"/>
      <w:divBdr>
        <w:top w:val="none" w:sz="0" w:space="0" w:color="auto"/>
        <w:left w:val="none" w:sz="0" w:space="0" w:color="auto"/>
        <w:bottom w:val="none" w:sz="0" w:space="0" w:color="auto"/>
        <w:right w:val="none" w:sz="0" w:space="0" w:color="auto"/>
      </w:divBdr>
    </w:div>
    <w:div w:id="1868372548">
      <w:bodyDiv w:val="1"/>
      <w:marLeft w:val="0"/>
      <w:marRight w:val="0"/>
      <w:marTop w:val="0"/>
      <w:marBottom w:val="0"/>
      <w:divBdr>
        <w:top w:val="none" w:sz="0" w:space="0" w:color="auto"/>
        <w:left w:val="none" w:sz="0" w:space="0" w:color="auto"/>
        <w:bottom w:val="none" w:sz="0" w:space="0" w:color="auto"/>
        <w:right w:val="none" w:sz="0" w:space="0" w:color="auto"/>
      </w:divBdr>
      <w:divsChild>
        <w:div w:id="591819">
          <w:marLeft w:val="0"/>
          <w:marRight w:val="0"/>
          <w:marTop w:val="0"/>
          <w:marBottom w:val="0"/>
          <w:divBdr>
            <w:top w:val="none" w:sz="0" w:space="0" w:color="auto"/>
            <w:left w:val="none" w:sz="0" w:space="0" w:color="auto"/>
            <w:bottom w:val="none" w:sz="0" w:space="0" w:color="auto"/>
            <w:right w:val="none" w:sz="0" w:space="0" w:color="auto"/>
          </w:divBdr>
          <w:divsChild>
            <w:div w:id="1295216471">
              <w:marLeft w:val="810"/>
              <w:marRight w:val="810"/>
              <w:marTop w:val="360"/>
              <w:marBottom w:val="0"/>
              <w:divBdr>
                <w:top w:val="none" w:sz="0" w:space="0" w:color="auto"/>
                <w:left w:val="none" w:sz="0" w:space="0" w:color="auto"/>
                <w:bottom w:val="none" w:sz="0" w:space="0" w:color="auto"/>
                <w:right w:val="none" w:sz="0" w:space="0" w:color="auto"/>
              </w:divBdr>
              <w:divsChild>
                <w:div w:id="1066491842">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1.vsdx"/><Relationship Id="rId26" Type="http://schemas.openxmlformats.org/officeDocument/2006/relationships/image" Target="media/image9.emf"/><Relationship Id="rId39" Type="http://schemas.openxmlformats.org/officeDocument/2006/relationships/hyperlink" Target="https://eur-lex.europa.eu/legal-content/ET/TXT/HTML/?uri=OJ:L:2016:112:FULL&amp;from=ET" TargetMode="External"/><Relationship Id="rId21" Type="http://schemas.openxmlformats.org/officeDocument/2006/relationships/image" Target="media/image5.jpeg"/><Relationship Id="rId34" Type="http://schemas.openxmlformats.org/officeDocument/2006/relationships/image" Target="media/image13.wmf"/><Relationship Id="rId42" Type="http://schemas.openxmlformats.org/officeDocument/2006/relationships/hyperlink" Target="https://eur-lex.europa.eu/legal-content/ET/TXT/HTML/?uri=OJ:L:2016:112:FULL&amp;from=ET" TargetMode="External"/><Relationship Id="rId47" Type="http://schemas.openxmlformats.org/officeDocument/2006/relationships/hyperlink" Target="https://eur-lex.europa.eu/legal-content/ET/AUTO/?uri=OJ:L:2012:315:TOC&amp;toc=OJ:L:2016:112:FULL" TargetMode="External"/><Relationship Id="rId50" Type="http://schemas.openxmlformats.org/officeDocument/2006/relationships/hyperlink" Target="https://eur-lex.europa.eu/legal-content/ET/TXT/HTML/?uri=OJ:L:2016:112:FULL&amp;from=ET" TargetMode="External"/><Relationship Id="rId55" Type="http://schemas.openxmlformats.org/officeDocument/2006/relationships/hyperlink" Target="https://eur-lex.europa.eu/legal-content/ET/TXT/HTML/?uri=OJ:L:2016:112:FULL&amp;from=ET" TargetMode="External"/><Relationship Id="rId7" Type="http://schemas.openxmlformats.org/officeDocument/2006/relationships/hyperlink" Target="https://eur-lex.europa.eu/legal-content/ET/TXT/HTML/?uri=OJ:L:2016:112:FULL&amp;from=ET" TargetMode="External"/><Relationship Id="rId12" Type="http://schemas.openxmlformats.org/officeDocument/2006/relationships/hyperlink" Target="https://eur-lex.europa.eu/legal-content/ET/TXT/HTML/?uri=OJ:L:2016:112:FULL&amp;from=ET" TargetMode="External"/><Relationship Id="rId17" Type="http://schemas.openxmlformats.org/officeDocument/2006/relationships/image" Target="media/image3.emf"/><Relationship Id="rId25" Type="http://schemas.openxmlformats.org/officeDocument/2006/relationships/oleObject" Target="embeddings/Microsoft_Visio_2003-2010_Drawing2.vsd"/><Relationship Id="rId33" Type="http://schemas.openxmlformats.org/officeDocument/2006/relationships/package" Target="embeddings/Microsoft_Visio_Drawing3.vsdx"/><Relationship Id="rId38" Type="http://schemas.openxmlformats.org/officeDocument/2006/relationships/hyperlink" Target="https://eur-lex.europa.eu/legal-content/ET/TXT/HTML/?uri=OJ:L:2016:112:FULL&amp;from=ET" TargetMode="External"/><Relationship Id="rId46" Type="http://schemas.openxmlformats.org/officeDocument/2006/relationships/hyperlink" Target="https://eur-lex.europa.eu/legal-content/ET/TXT/HTML/?uri=OJ:L:2016:112:FULL&amp;from=ET"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1.vsd"/><Relationship Id="rId29" Type="http://schemas.openxmlformats.org/officeDocument/2006/relationships/package" Target="embeddings/Microsoft_Visio_Drawing2.vsdx"/><Relationship Id="rId41" Type="http://schemas.openxmlformats.org/officeDocument/2006/relationships/hyperlink" Target="https://eur-lex.europa.eu/legal-content/ET/TXT/HTML/?uri=OJ:L:2016:112:FULL&amp;from=ET" TargetMode="External"/><Relationship Id="rId54" Type="http://schemas.openxmlformats.org/officeDocument/2006/relationships/hyperlink" Target="https://eur-lex.europa.eu/legal-content/ET/TXT/HTML/?uri=OJ:L:2016:112:FULL&amp;from=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r-lex.europa.eu/legal-content/ET/TXT/HTML/?uri=OJ:L:2016:112:FULL&amp;from=ET"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s://eur-lex.europa.eu/legal-content/ET/TXT/HTML/?uri=OJ:L:2016:112:FULL&amp;from=ET" TargetMode="External"/><Relationship Id="rId40" Type="http://schemas.openxmlformats.org/officeDocument/2006/relationships/hyperlink" Target="https://eur-lex.europa.eu/legal-content/ET/TXT/HTML/?uri=OJ:L:2016:112:FULL&amp;from=ET" TargetMode="External"/><Relationship Id="rId45" Type="http://schemas.openxmlformats.org/officeDocument/2006/relationships/hyperlink" Target="https://eur-lex.europa.eu/legal-content/ET/AUTO/?uri=OJ:L:2009:211:TOC&amp;toc=OJ:L:2016:112:FULL" TargetMode="External"/><Relationship Id="rId53" Type="http://schemas.openxmlformats.org/officeDocument/2006/relationships/hyperlink" Target="https://eur-lex.europa.eu/legal-content/ET/AUTO/?uri=OJ:L:2008:218:TOC&amp;toc=OJ:L:2016:112:FULL"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jpeg"/><Relationship Id="rId28" Type="http://schemas.openxmlformats.org/officeDocument/2006/relationships/image" Target="media/image10.emf"/><Relationship Id="rId36" Type="http://schemas.openxmlformats.org/officeDocument/2006/relationships/hyperlink" Target="https://eur-lex.europa.eu/legal-content/ET/TXT/HTML/?uri=OJ:L:2016:112:FULL&amp;from=ET" TargetMode="External"/><Relationship Id="rId49" Type="http://schemas.openxmlformats.org/officeDocument/2006/relationships/hyperlink" Target="https://eur-lex.europa.eu/legal-content/ET/AUTO/?uri=OJ:L:2015:197:TOC&amp;toc=OJ:L:2016:112:FULL" TargetMode="External"/><Relationship Id="rId57" Type="http://schemas.openxmlformats.org/officeDocument/2006/relationships/hyperlink" Target="https://eur-lex.europa.eu/legal-content/ET/TXT/HTML/?uri=OJ:L:2016:112:FULL&amp;from=ET" TargetMode="External"/><Relationship Id="rId10" Type="http://schemas.openxmlformats.org/officeDocument/2006/relationships/hyperlink" Target="https://eur-lex.europa.eu/legal-content/ET/TXT/HTML/?uri=OJ:L:2016:112:FULL&amp;from=ET" TargetMode="External"/><Relationship Id="rId19" Type="http://schemas.openxmlformats.org/officeDocument/2006/relationships/image" Target="media/image4.emf"/><Relationship Id="rId31" Type="http://schemas.openxmlformats.org/officeDocument/2006/relationships/oleObject" Target="embeddings/Microsoft_Visio_2003-2010_Drawing4.vsd"/><Relationship Id="rId44" Type="http://schemas.openxmlformats.org/officeDocument/2006/relationships/hyperlink" Target="https://eur-lex.europa.eu/legal-content/ET/TXT/HTML/?uri=OJ:L:2016:112:FULL&amp;from=ET" TargetMode="External"/><Relationship Id="rId52" Type="http://schemas.openxmlformats.org/officeDocument/2006/relationships/hyperlink" Target="https://eur-lex.europa.eu/legal-content/ET/TXT/HTML/?uri=OJ:L:2016:112:FULL&amp;from=ET"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ur-lex.europa.eu/legal-content/ET/TXT/HTML/?uri=OJ:L:2016:112:FULL&amp;from=ET" TargetMode="External"/><Relationship Id="rId14" Type="http://schemas.openxmlformats.org/officeDocument/2006/relationships/package" Target="embeddings/Microsoft_Visio_Drawing.vsdx"/><Relationship Id="rId22" Type="http://schemas.openxmlformats.org/officeDocument/2006/relationships/image" Target="media/image6.jpeg"/><Relationship Id="rId27" Type="http://schemas.openxmlformats.org/officeDocument/2006/relationships/oleObject" Target="embeddings/Microsoft_Visio_2003-2010_Drawing3.vsd"/><Relationship Id="rId30" Type="http://schemas.openxmlformats.org/officeDocument/2006/relationships/image" Target="media/image11.wmf"/><Relationship Id="rId35" Type="http://schemas.openxmlformats.org/officeDocument/2006/relationships/oleObject" Target="embeddings/Microsoft_Visio_2003-2010_Drawing5.vsd"/><Relationship Id="rId43" Type="http://schemas.openxmlformats.org/officeDocument/2006/relationships/hyperlink" Target="https://eur-lex.europa.eu/legal-content/ET/AUTO/?uri=OJ:L:2009:211:TOC&amp;toc=OJ:L:2016:112:FULL" TargetMode="External"/><Relationship Id="rId48" Type="http://schemas.openxmlformats.org/officeDocument/2006/relationships/hyperlink" Target="https://eur-lex.europa.eu/legal-content/ET/TXT/HTML/?uri=OJ:L:2016:112:FULL&amp;from=ET" TargetMode="External"/><Relationship Id="rId56" Type="http://schemas.openxmlformats.org/officeDocument/2006/relationships/hyperlink" Target="https://eur-lex.europa.eu/legal-content/ET/TXT/HTML/?uri=OJ:L:2016:112:FULL&amp;from=ET" TargetMode="External"/><Relationship Id="rId8" Type="http://schemas.openxmlformats.org/officeDocument/2006/relationships/hyperlink" Target="https://eur-lex.europa.eu/legal-content/ET/TXT/HTML/?uri=OJ:L:2016:112:FULL&amp;from=ET" TargetMode="External"/><Relationship Id="rId51" Type="http://schemas.openxmlformats.org/officeDocument/2006/relationships/hyperlink" Target="https://eur-lex.europa.eu/legal-content/ET/AUTO/?uri=OJ:L:2013:163:TOC&amp;toc=OJ:L:2016:112:FUL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727C-E648-4319-A9F1-C16A987D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71</Pages>
  <Words>28540</Words>
  <Characters>165533</Characters>
  <Application>Microsoft Office Word</Application>
  <DocSecurity>0</DocSecurity>
  <Lines>1379</Lines>
  <Paragraphs>387</Paragraphs>
  <ScaleCrop>false</ScaleCrop>
  <HeadingPairs>
    <vt:vector size="2" baseType="variant">
      <vt:variant>
        <vt:lpstr>Title</vt:lpstr>
      </vt:variant>
      <vt:variant>
        <vt:i4>1</vt:i4>
      </vt:variant>
    </vt:vector>
  </HeadingPairs>
  <TitlesOfParts>
    <vt:vector size="1" baseType="lpstr">
      <vt:lpstr>KOMISJONI  MÄÄRUS  (EL)  2016/  631,  -  14.  aprill  2016,  -  millega  kehtestatakse  võrgueeskiri  elektritootmisüksuste  võrku  ühendamise  nõuete  kohta</vt:lpstr>
    </vt:vector>
  </TitlesOfParts>
  <Company/>
  <LinksUpToDate>false</LinksUpToDate>
  <CharactersWithSpaces>193686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KOMISJONI  MÄÄRUS  (EL)  2016/  631,  -  14.  aprill  2016,  -  millega  kehtestatakse  võrgueeskiri  elektritootmisüksuste  võrku  ühendamise  nõuete  kohta</dc:title>
  <dc:creator>Publications Office</dc:creator>
  <cp:lastModifiedBy>Ly Alaver</cp:lastModifiedBy>
  <cp:revision>8</cp:revision>
  <dcterms:created xsi:type="dcterms:W3CDTF">2019-10-22T09:33:00Z</dcterms:created>
  <dcterms:modified xsi:type="dcterms:W3CDTF">2019-10-23T13:10:00Z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2016-04-26T00:00:00Z</vt:filetime>
  </property>
  <property fmtid="{D5CDD505-2E9C-101B-9397-08002B2CF9AE}" pid="3" name="Creator">
    <vt:lpwstr>Arbortext Advanced Print Publisher 11.0.3108/W Unicode-x64</vt:lpwstr>
  </property>
  <property fmtid="{D5CDD505-2E9C-101B-9397-08002B2CF9AE}" pid="4" name="LastSaved">
    <vt:filetime>2018-08-23T00:00:00Z</vt:filetime>
  </property>
</Properties>
</file>