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ediumList2"/>
        <w:tblpPr w:leftFromText="141" w:rightFromText="141" w:vertAnchor="page" w:horzAnchor="margin" w:tblpY="3436"/>
        <w:tblW w:w="0" w:type="auto"/>
        <w:tblLook w:val="04A0" w:firstRow="1" w:lastRow="0" w:firstColumn="1" w:lastColumn="0" w:noHBand="0" w:noVBand="1"/>
      </w:tblPr>
      <w:tblGrid>
        <w:gridCol w:w="9050"/>
      </w:tblGrid>
      <w:tr w:rsidR="001D4352" w:rsidRPr="002C4AA8" w14:paraId="66B7E476" w14:textId="77777777" w:rsidTr="00B0582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72" w:type="dxa"/>
            <w:tcBorders>
              <w:bottom w:val="nil"/>
            </w:tcBorders>
          </w:tcPr>
          <w:p w14:paraId="6C3A965A" w14:textId="356368B1" w:rsidR="001D4352" w:rsidRDefault="00876F91" w:rsidP="00876F91">
            <w:pPr>
              <w:jc w:val="center"/>
              <w:rPr>
                <w:rFonts w:ascii="Times New Roman" w:hAnsi="Times New Roman" w:cs="Times New Roman"/>
                <w:b/>
                <w:color w:val="1F497D" w:themeColor="text2"/>
                <w:sz w:val="36"/>
                <w:szCs w:val="36"/>
                <w:lang w:val="en-GB"/>
              </w:rPr>
            </w:pPr>
            <w:bookmarkStart w:id="0" w:name="_GoBack"/>
            <w:bookmarkEnd w:id="0"/>
            <w:r>
              <w:rPr>
                <w:rFonts w:ascii="Times New Roman" w:hAnsi="Times New Roman" w:cs="Times New Roman"/>
                <w:b/>
                <w:color w:val="1F497D" w:themeColor="text2"/>
                <w:sz w:val="36"/>
                <w:szCs w:val="36"/>
                <w:lang w:val="en-GB"/>
              </w:rPr>
              <w:t>Elering AS</w:t>
            </w:r>
          </w:p>
          <w:p w14:paraId="41B415DC" w14:textId="77777777" w:rsidR="00876F91" w:rsidRPr="005C6963" w:rsidRDefault="00876F91" w:rsidP="00876F91">
            <w:pPr>
              <w:jc w:val="center"/>
              <w:rPr>
                <w:rFonts w:ascii="Times New Roman" w:hAnsi="Times New Roman" w:cs="Times New Roman"/>
                <w:color w:val="215868" w:themeColor="accent5" w:themeShade="80"/>
                <w:sz w:val="36"/>
                <w:szCs w:val="36"/>
                <w:lang w:val="en-GB"/>
              </w:rPr>
            </w:pPr>
          </w:p>
          <w:p w14:paraId="1EA6F235" w14:textId="30A82EEC" w:rsidR="009A2615" w:rsidRPr="005C6963" w:rsidRDefault="00FA5413" w:rsidP="009A2615">
            <w:pPr>
              <w:pBdr>
                <w:bottom w:val="single" w:sz="4" w:space="1" w:color="auto"/>
              </w:pBdr>
              <w:spacing w:after="120"/>
              <w:jc w:val="center"/>
              <w:outlineLvl w:val="1"/>
              <w:rPr>
                <w:rFonts w:ascii="Times New Roman" w:hAnsi="Times New Roman" w:cs="Times New Roman"/>
                <w:b/>
                <w:color w:val="1F497D" w:themeColor="text2"/>
                <w:sz w:val="36"/>
                <w:szCs w:val="36"/>
                <w:lang w:val="en-GB"/>
              </w:rPr>
            </w:pPr>
            <w:bookmarkStart w:id="1" w:name="_Toc474834170"/>
            <w:bookmarkStart w:id="2" w:name="_Toc478563492"/>
            <w:bookmarkStart w:id="3" w:name="_Toc485221004"/>
            <w:bookmarkStart w:id="4" w:name="_Toc485383742"/>
            <w:bookmarkStart w:id="5" w:name="_Toc485652846"/>
            <w:bookmarkStart w:id="6" w:name="_Toc490744865"/>
            <w:bookmarkStart w:id="7" w:name="_Toc506299190"/>
            <w:bookmarkStart w:id="8" w:name="_Toc507659750"/>
            <w:bookmarkStart w:id="9" w:name="_Toc507662307"/>
            <w:bookmarkStart w:id="10" w:name="_Toc507662381"/>
            <w:bookmarkStart w:id="11" w:name="_Toc507741660"/>
            <w:bookmarkStart w:id="12" w:name="_Toc507741688"/>
            <w:bookmarkStart w:id="13" w:name="_Toc507743917"/>
            <w:r w:rsidRPr="005C6963">
              <w:rPr>
                <w:rFonts w:ascii="Times New Roman" w:hAnsi="Times New Roman" w:cs="Times New Roman"/>
                <w:b/>
                <w:color w:val="1F497D" w:themeColor="text2"/>
                <w:sz w:val="36"/>
                <w:szCs w:val="36"/>
                <w:lang w:val="en-GB"/>
              </w:rPr>
              <w:t>Rules for suspension and restoration of market activities</w:t>
            </w:r>
            <w:r w:rsidR="00344F33" w:rsidRPr="005C6963">
              <w:rPr>
                <w:rFonts w:ascii="Times New Roman" w:hAnsi="Times New Roman" w:cs="Times New Roman"/>
                <w:b/>
                <w:color w:val="1F497D" w:themeColor="text2"/>
                <w:sz w:val="36"/>
                <w:szCs w:val="36"/>
                <w:lang w:val="en-GB"/>
              </w:rPr>
              <w:t xml:space="preserve"> </w:t>
            </w:r>
            <w:r w:rsidR="001D4352" w:rsidRPr="005C6963">
              <w:rPr>
                <w:rFonts w:ascii="Times New Roman" w:hAnsi="Times New Roman" w:cs="Times New Roman"/>
                <w:b/>
                <w:color w:val="1F497D" w:themeColor="text2"/>
                <w:sz w:val="36"/>
                <w:szCs w:val="36"/>
                <w:lang w:val="en-GB"/>
              </w:rPr>
              <w:t xml:space="preserve">in accordance with Article </w:t>
            </w:r>
            <w:r w:rsidRPr="005C6963">
              <w:rPr>
                <w:rFonts w:ascii="Times New Roman" w:hAnsi="Times New Roman" w:cs="Times New Roman"/>
                <w:b/>
                <w:color w:val="1F497D" w:themeColor="text2"/>
                <w:sz w:val="36"/>
                <w:szCs w:val="36"/>
                <w:lang w:val="en-GB"/>
              </w:rPr>
              <w:t>36</w:t>
            </w:r>
            <w:r w:rsidR="001D4352" w:rsidRPr="005C6963">
              <w:rPr>
                <w:rFonts w:ascii="Times New Roman" w:hAnsi="Times New Roman" w:cs="Times New Roman"/>
                <w:b/>
                <w:color w:val="1F497D" w:themeColor="text2"/>
                <w:sz w:val="36"/>
                <w:szCs w:val="36"/>
                <w:lang w:val="en-GB"/>
              </w:rPr>
              <w:t xml:space="preserve"> </w:t>
            </w:r>
            <w:r w:rsidR="009A2615" w:rsidRPr="005C6963">
              <w:rPr>
                <w:rFonts w:ascii="Times New Roman" w:hAnsi="Times New Roman" w:cs="Times New Roman"/>
                <w:b/>
                <w:color w:val="1F497D" w:themeColor="text2"/>
                <w:sz w:val="36"/>
                <w:szCs w:val="36"/>
                <w:lang w:val="en-GB"/>
              </w:rPr>
              <w:t>and</w:t>
            </w:r>
          </w:p>
          <w:p w14:paraId="05A6AA4F" w14:textId="77777777" w:rsidR="001D4352" w:rsidRPr="005C6963" w:rsidRDefault="009A2615" w:rsidP="009A2615">
            <w:pPr>
              <w:pBdr>
                <w:bottom w:val="single" w:sz="4" w:space="1" w:color="auto"/>
              </w:pBdr>
              <w:spacing w:after="120"/>
              <w:jc w:val="center"/>
              <w:outlineLvl w:val="1"/>
              <w:rPr>
                <w:rFonts w:ascii="Times New Roman" w:hAnsi="Times New Roman" w:cs="Times New Roman"/>
                <w:b/>
                <w:color w:val="1F497D" w:themeColor="text2"/>
                <w:sz w:val="36"/>
                <w:szCs w:val="36"/>
                <w:lang w:val="en-GB"/>
              </w:rPr>
            </w:pPr>
            <w:r w:rsidRPr="005C6963">
              <w:rPr>
                <w:rFonts w:ascii="Times New Roman" w:hAnsi="Times New Roman" w:cs="Times New Roman"/>
                <w:b/>
                <w:color w:val="1F497D" w:themeColor="text2"/>
                <w:sz w:val="36"/>
                <w:szCs w:val="36"/>
                <w:lang w:val="en-GB"/>
              </w:rPr>
              <w:t xml:space="preserve">Rules for imbalance settlement of balancing energy in case of suspension of market activities in accordance with Article 39(1) </w:t>
            </w:r>
            <w:r w:rsidR="001D4352" w:rsidRPr="005C6963">
              <w:rPr>
                <w:rFonts w:ascii="Times New Roman" w:hAnsi="Times New Roman" w:cs="Times New Roman"/>
                <w:b/>
                <w:color w:val="1F497D" w:themeColor="text2"/>
                <w:sz w:val="36"/>
                <w:szCs w:val="36"/>
                <w:lang w:val="en-GB"/>
              </w:rPr>
              <w:t>of the Commission Regulation (EU) 201</w:t>
            </w:r>
            <w:r w:rsidR="00FA5413" w:rsidRPr="005C6963">
              <w:rPr>
                <w:rFonts w:ascii="Times New Roman" w:hAnsi="Times New Roman" w:cs="Times New Roman"/>
                <w:b/>
                <w:color w:val="1F497D" w:themeColor="text2"/>
                <w:sz w:val="36"/>
                <w:szCs w:val="36"/>
                <w:lang w:val="en-GB"/>
              </w:rPr>
              <w:t>7</w:t>
            </w:r>
            <w:r w:rsidR="001D4352" w:rsidRPr="005C6963">
              <w:rPr>
                <w:rFonts w:ascii="Times New Roman" w:hAnsi="Times New Roman" w:cs="Times New Roman"/>
                <w:b/>
                <w:color w:val="1F497D" w:themeColor="text2"/>
                <w:sz w:val="36"/>
                <w:szCs w:val="36"/>
                <w:lang w:val="en-GB"/>
              </w:rPr>
              <w:t>/</w:t>
            </w:r>
            <w:r w:rsidR="00FA5413" w:rsidRPr="005C6963">
              <w:rPr>
                <w:rFonts w:ascii="Times New Roman" w:hAnsi="Times New Roman" w:cs="Times New Roman"/>
                <w:b/>
                <w:color w:val="1F497D" w:themeColor="text2"/>
                <w:sz w:val="36"/>
                <w:szCs w:val="36"/>
                <w:lang w:val="en-GB"/>
              </w:rPr>
              <w:t>2196</w:t>
            </w:r>
            <w:r w:rsidR="001D4352" w:rsidRPr="005C6963">
              <w:rPr>
                <w:rFonts w:ascii="Times New Roman" w:hAnsi="Times New Roman" w:cs="Times New Roman"/>
                <w:b/>
                <w:color w:val="1F497D" w:themeColor="text2"/>
                <w:sz w:val="36"/>
                <w:szCs w:val="36"/>
                <w:lang w:val="en-GB"/>
              </w:rPr>
              <w:t xml:space="preserve"> of 24 </w:t>
            </w:r>
            <w:r w:rsidR="00FA5413" w:rsidRPr="005C6963">
              <w:rPr>
                <w:rFonts w:ascii="Times New Roman" w:hAnsi="Times New Roman" w:cs="Times New Roman"/>
                <w:b/>
                <w:color w:val="1F497D" w:themeColor="text2"/>
                <w:sz w:val="36"/>
                <w:szCs w:val="36"/>
                <w:lang w:val="en-GB"/>
              </w:rPr>
              <w:t>November</w:t>
            </w:r>
            <w:r w:rsidR="001D4352" w:rsidRPr="005C6963">
              <w:rPr>
                <w:rFonts w:ascii="Times New Roman" w:hAnsi="Times New Roman" w:cs="Times New Roman"/>
                <w:b/>
                <w:color w:val="1F497D" w:themeColor="text2"/>
                <w:sz w:val="36"/>
                <w:szCs w:val="36"/>
                <w:lang w:val="en-GB"/>
              </w:rPr>
              <w:t xml:space="preserve"> 201</w:t>
            </w:r>
            <w:r w:rsidR="00FA5413" w:rsidRPr="005C6963">
              <w:rPr>
                <w:rFonts w:ascii="Times New Roman" w:hAnsi="Times New Roman" w:cs="Times New Roman"/>
                <w:b/>
                <w:color w:val="1F497D" w:themeColor="text2"/>
                <w:sz w:val="36"/>
                <w:szCs w:val="36"/>
                <w:lang w:val="en-GB"/>
              </w:rPr>
              <w:t>7</w:t>
            </w:r>
            <w:r w:rsidR="001D4352" w:rsidRPr="005C6963">
              <w:rPr>
                <w:rFonts w:ascii="Times New Roman" w:hAnsi="Times New Roman" w:cs="Times New Roman"/>
                <w:b/>
                <w:color w:val="1F497D" w:themeColor="text2"/>
                <w:sz w:val="36"/>
                <w:szCs w:val="36"/>
                <w:lang w:val="en-GB"/>
              </w:rPr>
              <w:t xml:space="preserve"> establishing a </w:t>
            </w:r>
            <w:bookmarkEnd w:id="1"/>
            <w:bookmarkEnd w:id="2"/>
            <w:bookmarkEnd w:id="3"/>
            <w:bookmarkEnd w:id="4"/>
            <w:bookmarkEnd w:id="5"/>
            <w:bookmarkEnd w:id="6"/>
            <w:bookmarkEnd w:id="7"/>
            <w:bookmarkEnd w:id="8"/>
            <w:bookmarkEnd w:id="9"/>
            <w:bookmarkEnd w:id="10"/>
            <w:bookmarkEnd w:id="11"/>
            <w:bookmarkEnd w:id="12"/>
            <w:bookmarkEnd w:id="13"/>
            <w:r w:rsidR="00FA5413" w:rsidRPr="005C6963">
              <w:rPr>
                <w:rFonts w:ascii="Times New Roman" w:hAnsi="Times New Roman" w:cs="Times New Roman"/>
                <w:b/>
                <w:color w:val="1F497D" w:themeColor="text2"/>
                <w:sz w:val="36"/>
                <w:szCs w:val="36"/>
                <w:lang w:val="en-GB"/>
              </w:rPr>
              <w:t>network code on electricity emergency and restoration</w:t>
            </w:r>
          </w:p>
          <w:p w14:paraId="65E03E03" w14:textId="77777777" w:rsidR="001D4352" w:rsidRPr="005C6963" w:rsidRDefault="001D4352" w:rsidP="001D4352">
            <w:pPr>
              <w:jc w:val="center"/>
              <w:rPr>
                <w:rFonts w:ascii="Times New Roman" w:hAnsi="Times New Roman" w:cs="Times New Roman"/>
                <w:sz w:val="36"/>
                <w:szCs w:val="36"/>
                <w:lang w:val="en-GB"/>
              </w:rPr>
            </w:pPr>
          </w:p>
        </w:tc>
      </w:tr>
      <w:tr w:rsidR="001D4352" w:rsidRPr="002C4AA8" w14:paraId="7A7999B1" w14:textId="77777777" w:rsidTr="00B05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right w:val="nil"/>
            </w:tcBorders>
          </w:tcPr>
          <w:p w14:paraId="37C467DF" w14:textId="2D165D99" w:rsidR="001D4352" w:rsidRDefault="001D4352" w:rsidP="001D4352">
            <w:pPr>
              <w:jc w:val="center"/>
              <w:rPr>
                <w:rFonts w:ascii="Times New Roman" w:hAnsi="Times New Roman" w:cs="Times New Roman"/>
                <w:color w:val="002060"/>
                <w:sz w:val="36"/>
                <w:szCs w:val="80"/>
                <w:lang w:val="en-GB"/>
              </w:rPr>
            </w:pPr>
          </w:p>
          <w:p w14:paraId="4E1177FE" w14:textId="7B2F4B9B" w:rsidR="005C6963" w:rsidRDefault="005C6963" w:rsidP="001D4352">
            <w:pPr>
              <w:jc w:val="center"/>
              <w:rPr>
                <w:rFonts w:ascii="Times New Roman" w:hAnsi="Times New Roman" w:cs="Times New Roman"/>
                <w:color w:val="002060"/>
                <w:sz w:val="36"/>
                <w:szCs w:val="80"/>
                <w:lang w:val="en-GB"/>
              </w:rPr>
            </w:pPr>
          </w:p>
          <w:p w14:paraId="60746893" w14:textId="737BA882" w:rsidR="005C6963" w:rsidRDefault="005C6963" w:rsidP="001D4352">
            <w:pPr>
              <w:jc w:val="center"/>
              <w:rPr>
                <w:rFonts w:ascii="Times New Roman" w:hAnsi="Times New Roman" w:cs="Times New Roman"/>
                <w:color w:val="002060"/>
                <w:sz w:val="36"/>
                <w:szCs w:val="80"/>
                <w:lang w:val="en-GB"/>
              </w:rPr>
            </w:pPr>
          </w:p>
          <w:p w14:paraId="69FC7B09" w14:textId="27570FEE" w:rsidR="005C6963" w:rsidRDefault="005C6963" w:rsidP="001D4352">
            <w:pPr>
              <w:jc w:val="center"/>
              <w:rPr>
                <w:rFonts w:ascii="Times New Roman" w:hAnsi="Times New Roman" w:cs="Times New Roman"/>
                <w:color w:val="002060"/>
                <w:sz w:val="36"/>
                <w:szCs w:val="80"/>
                <w:lang w:val="en-GB"/>
              </w:rPr>
            </w:pPr>
          </w:p>
          <w:p w14:paraId="520AF474" w14:textId="468BED82" w:rsidR="005C6963" w:rsidRDefault="005C6963" w:rsidP="001D4352">
            <w:pPr>
              <w:jc w:val="center"/>
              <w:rPr>
                <w:rFonts w:ascii="Times New Roman" w:hAnsi="Times New Roman" w:cs="Times New Roman"/>
                <w:color w:val="002060"/>
                <w:sz w:val="36"/>
                <w:szCs w:val="80"/>
                <w:lang w:val="en-GB"/>
              </w:rPr>
            </w:pPr>
          </w:p>
          <w:p w14:paraId="012371AB" w14:textId="0BCD2B87" w:rsidR="000E77A1" w:rsidRDefault="000E77A1" w:rsidP="001D4352">
            <w:pPr>
              <w:jc w:val="center"/>
              <w:rPr>
                <w:rFonts w:ascii="Times New Roman" w:hAnsi="Times New Roman" w:cs="Times New Roman"/>
                <w:color w:val="002060"/>
                <w:sz w:val="36"/>
                <w:szCs w:val="80"/>
                <w:lang w:val="en-GB"/>
              </w:rPr>
            </w:pPr>
          </w:p>
          <w:p w14:paraId="590B8E6B" w14:textId="2229A9A2" w:rsidR="000E77A1" w:rsidRDefault="000E77A1" w:rsidP="001D4352">
            <w:pPr>
              <w:jc w:val="center"/>
              <w:rPr>
                <w:rFonts w:ascii="Times New Roman" w:hAnsi="Times New Roman" w:cs="Times New Roman"/>
                <w:color w:val="002060"/>
                <w:sz w:val="36"/>
                <w:szCs w:val="80"/>
                <w:lang w:val="en-GB"/>
              </w:rPr>
            </w:pPr>
          </w:p>
          <w:p w14:paraId="335D73B5" w14:textId="4CCAEF65" w:rsidR="000E77A1" w:rsidRDefault="000E77A1" w:rsidP="001D4352">
            <w:pPr>
              <w:jc w:val="center"/>
              <w:rPr>
                <w:rFonts w:ascii="Times New Roman" w:hAnsi="Times New Roman" w:cs="Times New Roman"/>
                <w:color w:val="002060"/>
                <w:sz w:val="36"/>
                <w:szCs w:val="80"/>
                <w:lang w:val="en-GB"/>
              </w:rPr>
            </w:pPr>
          </w:p>
          <w:p w14:paraId="204EC2A5" w14:textId="3FABA662" w:rsidR="000E77A1" w:rsidRDefault="000E77A1" w:rsidP="001D4352">
            <w:pPr>
              <w:jc w:val="center"/>
              <w:rPr>
                <w:rFonts w:ascii="Times New Roman" w:hAnsi="Times New Roman" w:cs="Times New Roman"/>
                <w:color w:val="002060"/>
                <w:sz w:val="36"/>
                <w:szCs w:val="80"/>
                <w:lang w:val="en-GB"/>
              </w:rPr>
            </w:pPr>
          </w:p>
          <w:p w14:paraId="371AC143" w14:textId="6FE9FCC9" w:rsidR="000E77A1" w:rsidRDefault="000E77A1" w:rsidP="001D4352">
            <w:pPr>
              <w:jc w:val="center"/>
              <w:rPr>
                <w:rFonts w:ascii="Times New Roman" w:hAnsi="Times New Roman" w:cs="Times New Roman"/>
                <w:color w:val="002060"/>
                <w:sz w:val="36"/>
                <w:szCs w:val="80"/>
                <w:lang w:val="en-GB"/>
              </w:rPr>
            </w:pPr>
          </w:p>
          <w:p w14:paraId="7E93A3BA" w14:textId="0A9D913F" w:rsidR="000E77A1" w:rsidRDefault="000E77A1" w:rsidP="001D4352">
            <w:pPr>
              <w:jc w:val="center"/>
              <w:rPr>
                <w:rFonts w:ascii="Times New Roman" w:hAnsi="Times New Roman" w:cs="Times New Roman"/>
                <w:color w:val="002060"/>
                <w:sz w:val="36"/>
                <w:szCs w:val="80"/>
                <w:lang w:val="en-GB"/>
              </w:rPr>
            </w:pPr>
          </w:p>
          <w:p w14:paraId="59D9CB71" w14:textId="04623697" w:rsidR="000E77A1" w:rsidRDefault="000E77A1" w:rsidP="001D4352">
            <w:pPr>
              <w:jc w:val="center"/>
              <w:rPr>
                <w:rFonts w:ascii="Times New Roman" w:hAnsi="Times New Roman" w:cs="Times New Roman"/>
                <w:color w:val="002060"/>
                <w:sz w:val="36"/>
                <w:szCs w:val="80"/>
                <w:lang w:val="en-GB"/>
              </w:rPr>
            </w:pPr>
          </w:p>
          <w:p w14:paraId="46D4DFE6" w14:textId="52763E49" w:rsidR="000E77A1" w:rsidRDefault="000E77A1" w:rsidP="001D4352">
            <w:pPr>
              <w:jc w:val="center"/>
              <w:rPr>
                <w:rFonts w:ascii="Times New Roman" w:hAnsi="Times New Roman" w:cs="Times New Roman"/>
                <w:color w:val="002060"/>
                <w:sz w:val="36"/>
                <w:szCs w:val="80"/>
                <w:lang w:val="en-GB"/>
              </w:rPr>
            </w:pPr>
          </w:p>
          <w:p w14:paraId="1D40583A" w14:textId="4E9F74FD" w:rsidR="000E77A1" w:rsidRDefault="000E77A1" w:rsidP="001D4352">
            <w:pPr>
              <w:jc w:val="center"/>
              <w:rPr>
                <w:rFonts w:ascii="Times New Roman" w:hAnsi="Times New Roman" w:cs="Times New Roman"/>
                <w:color w:val="002060"/>
                <w:sz w:val="36"/>
                <w:szCs w:val="80"/>
                <w:lang w:val="en-GB"/>
              </w:rPr>
            </w:pPr>
          </w:p>
          <w:p w14:paraId="5657E786" w14:textId="77777777" w:rsidR="000E77A1" w:rsidRDefault="000E77A1" w:rsidP="001D4352">
            <w:pPr>
              <w:jc w:val="center"/>
              <w:rPr>
                <w:rFonts w:ascii="Times New Roman" w:hAnsi="Times New Roman" w:cs="Times New Roman"/>
                <w:color w:val="002060"/>
                <w:sz w:val="36"/>
                <w:szCs w:val="80"/>
                <w:lang w:val="en-GB"/>
              </w:rPr>
            </w:pPr>
          </w:p>
          <w:p w14:paraId="510837B0" w14:textId="77777777" w:rsidR="005C6963" w:rsidRPr="002C4AA8" w:rsidRDefault="005C6963" w:rsidP="001D4352">
            <w:pPr>
              <w:jc w:val="center"/>
              <w:rPr>
                <w:rFonts w:ascii="Times New Roman" w:hAnsi="Times New Roman" w:cs="Times New Roman"/>
                <w:color w:val="002060"/>
                <w:sz w:val="36"/>
                <w:szCs w:val="80"/>
                <w:lang w:val="en-GB"/>
              </w:rPr>
            </w:pPr>
          </w:p>
          <w:p w14:paraId="04D1AA29" w14:textId="45946992" w:rsidR="001D4352" w:rsidRPr="000E77A1" w:rsidRDefault="00D27D10" w:rsidP="006D06E9">
            <w:pPr>
              <w:jc w:val="center"/>
              <w:rPr>
                <w:rFonts w:ascii="Times New Roman" w:hAnsi="Times New Roman" w:cs="Times New Roman"/>
                <w:color w:val="215868" w:themeColor="accent5" w:themeShade="80"/>
                <w:sz w:val="24"/>
                <w:szCs w:val="24"/>
                <w:lang w:val="en-GB"/>
              </w:rPr>
            </w:pPr>
            <w:r>
              <w:rPr>
                <w:rFonts w:ascii="Times New Roman" w:hAnsi="Times New Roman" w:cs="Times New Roman"/>
                <w:color w:val="002060"/>
                <w:sz w:val="24"/>
                <w:szCs w:val="24"/>
                <w:lang w:val="en-GB"/>
              </w:rPr>
              <w:t>18</w:t>
            </w:r>
            <w:r w:rsidR="00FA5413" w:rsidRPr="000E77A1">
              <w:rPr>
                <w:rFonts w:ascii="Times New Roman" w:hAnsi="Times New Roman" w:cs="Times New Roman"/>
                <w:color w:val="002060"/>
                <w:sz w:val="24"/>
                <w:szCs w:val="24"/>
                <w:vertAlign w:val="superscript"/>
                <w:lang w:val="en-GB"/>
              </w:rPr>
              <w:t xml:space="preserve"> </w:t>
            </w:r>
            <w:r w:rsidR="001D4352" w:rsidRPr="000E77A1">
              <w:rPr>
                <w:rFonts w:ascii="Times New Roman" w:hAnsi="Times New Roman" w:cs="Times New Roman"/>
                <w:color w:val="002060"/>
                <w:sz w:val="24"/>
                <w:szCs w:val="24"/>
                <w:vertAlign w:val="superscript"/>
                <w:lang w:val="en-GB"/>
              </w:rPr>
              <w:t>th</w:t>
            </w:r>
            <w:r w:rsidR="001D4352" w:rsidRPr="000E77A1">
              <w:rPr>
                <w:rFonts w:ascii="Times New Roman" w:hAnsi="Times New Roman" w:cs="Times New Roman"/>
                <w:color w:val="002060"/>
                <w:sz w:val="24"/>
                <w:szCs w:val="24"/>
                <w:lang w:val="en-GB"/>
              </w:rPr>
              <w:t xml:space="preserve"> </w:t>
            </w:r>
            <w:r>
              <w:rPr>
                <w:rFonts w:ascii="Times New Roman" w:hAnsi="Times New Roman" w:cs="Times New Roman"/>
                <w:color w:val="002060"/>
                <w:sz w:val="24"/>
                <w:szCs w:val="24"/>
                <w:lang w:val="en-GB"/>
              </w:rPr>
              <w:t>December</w:t>
            </w:r>
            <w:r w:rsidR="001D4352" w:rsidRPr="000E77A1">
              <w:rPr>
                <w:rFonts w:ascii="Times New Roman" w:hAnsi="Times New Roman" w:cs="Times New Roman"/>
                <w:color w:val="002060"/>
                <w:sz w:val="24"/>
                <w:szCs w:val="24"/>
                <w:lang w:val="en-GB"/>
              </w:rPr>
              <w:t xml:space="preserve"> </w:t>
            </w:r>
            <w:r w:rsidR="00597498" w:rsidRPr="000E77A1">
              <w:rPr>
                <w:rFonts w:ascii="Times New Roman" w:hAnsi="Times New Roman" w:cs="Times New Roman"/>
                <w:color w:val="002060"/>
                <w:sz w:val="24"/>
                <w:szCs w:val="24"/>
                <w:lang w:val="en-GB"/>
              </w:rPr>
              <w:t>2018</w:t>
            </w:r>
          </w:p>
        </w:tc>
      </w:tr>
    </w:tbl>
    <w:p w14:paraId="260A2159" w14:textId="2789783F" w:rsidR="00133468" w:rsidRDefault="001D4352" w:rsidP="00133468">
      <w:pPr>
        <w:rPr>
          <w:rFonts w:ascii="Times New Roman" w:hAnsi="Times New Roman" w:cs="Times New Roman"/>
          <w:sz w:val="19"/>
          <w:szCs w:val="19"/>
          <w:lang w:val="en-GB"/>
        </w:rPr>
      </w:pPr>
      <w:r w:rsidRPr="002C4AA8">
        <w:rPr>
          <w:rFonts w:ascii="Times New Roman" w:hAnsi="Times New Roman" w:cs="Times New Roman"/>
          <w:sz w:val="19"/>
          <w:szCs w:val="19"/>
          <w:lang w:val="en-GB"/>
        </w:rPr>
        <w:br w:type="page"/>
      </w:r>
    </w:p>
    <w:p w14:paraId="5FD6BFF5" w14:textId="77777777" w:rsidR="00876F91" w:rsidRPr="002C4AA8" w:rsidRDefault="00876F91" w:rsidP="00133468">
      <w:pPr>
        <w:rPr>
          <w:rFonts w:ascii="Times New Roman" w:hAnsi="Times New Roman" w:cs="Times New Roman"/>
          <w:lang w:val="en-GB"/>
        </w:rPr>
      </w:pPr>
    </w:p>
    <w:p w14:paraId="6DAE2B85" w14:textId="2FCC6F5C" w:rsidR="00DA0F34" w:rsidRPr="002C4AA8" w:rsidRDefault="00C15866" w:rsidP="00DA0F34">
      <w:pPr>
        <w:jc w:val="both"/>
        <w:rPr>
          <w:rFonts w:ascii="Times New Roman" w:hAnsi="Times New Roman" w:cs="Times New Roman"/>
          <w:lang w:val="en-GB"/>
        </w:rPr>
      </w:pPr>
      <w:bookmarkStart w:id="14" w:name="_Toc432586767"/>
      <w:bookmarkStart w:id="15" w:name="_Toc432586787"/>
      <w:bookmarkStart w:id="16" w:name="_Toc464485816"/>
      <w:bookmarkStart w:id="17" w:name="_Toc474830498"/>
      <w:bookmarkStart w:id="18" w:name="_Toc485652847"/>
      <w:bookmarkStart w:id="19" w:name="_Toc507743918"/>
      <w:r>
        <w:rPr>
          <w:rFonts w:ascii="Times New Roman" w:hAnsi="Times New Roman" w:cs="Times New Roman"/>
          <w:lang w:val="en-GB"/>
        </w:rPr>
        <w:t xml:space="preserve">Elering AS, </w:t>
      </w:r>
      <w:r w:rsidR="00DA0F34" w:rsidRPr="002C4AA8">
        <w:rPr>
          <w:rFonts w:ascii="Times New Roman" w:hAnsi="Times New Roman" w:cs="Times New Roman"/>
          <w:lang w:val="en-GB"/>
        </w:rPr>
        <w:t>taking into account the following,</w:t>
      </w:r>
    </w:p>
    <w:p w14:paraId="4DC88580" w14:textId="77777777" w:rsidR="003D52DD" w:rsidRPr="002C4AA8" w:rsidRDefault="003D52DD" w:rsidP="003D52DD">
      <w:pPr>
        <w:spacing w:before="400" w:after="0" w:line="340" w:lineRule="exact"/>
        <w:jc w:val="center"/>
        <w:outlineLvl w:val="0"/>
        <w:rPr>
          <w:rFonts w:ascii="Times New Roman" w:hAnsi="Times New Roman" w:cs="Times New Roman"/>
          <w:b/>
          <w:lang w:val="en-GB"/>
        </w:rPr>
      </w:pPr>
      <w:r w:rsidRPr="002C4AA8">
        <w:rPr>
          <w:rFonts w:ascii="Times New Roman" w:hAnsi="Times New Roman" w:cs="Times New Roman"/>
          <w:b/>
          <w:lang w:val="en-GB"/>
        </w:rPr>
        <w:t>Whereas</w:t>
      </w:r>
      <w:bookmarkEnd w:id="14"/>
      <w:bookmarkEnd w:id="15"/>
      <w:bookmarkEnd w:id="16"/>
      <w:bookmarkEnd w:id="17"/>
      <w:bookmarkEnd w:id="18"/>
      <w:bookmarkEnd w:id="19"/>
    </w:p>
    <w:p w14:paraId="20B666D4" w14:textId="6F7316D7" w:rsidR="00DA0F34" w:rsidRPr="002C4AA8" w:rsidRDefault="008F1F9F" w:rsidP="008F1F9F">
      <w:pPr>
        <w:pStyle w:val="Style15"/>
        <w:widowControl/>
        <w:numPr>
          <w:ilvl w:val="0"/>
          <w:numId w:val="1"/>
        </w:numPr>
        <w:tabs>
          <w:tab w:val="left" w:pos="1075"/>
        </w:tabs>
        <w:spacing w:before="110"/>
        <w:ind w:left="1075"/>
        <w:rPr>
          <w:rStyle w:val="FontStyle56"/>
          <w:sz w:val="22"/>
          <w:lang w:val="en-GB"/>
        </w:rPr>
      </w:pPr>
      <w:r w:rsidRPr="008F1F9F">
        <w:rPr>
          <w:rStyle w:val="FontStyle56"/>
          <w:sz w:val="22"/>
          <w:lang w:val="en-GB"/>
        </w:rPr>
        <w:t>This docu</w:t>
      </w:r>
      <w:r>
        <w:rPr>
          <w:rStyle w:val="FontStyle56"/>
          <w:sz w:val="22"/>
          <w:lang w:val="en-GB"/>
        </w:rPr>
        <w:t>ment is developed by Elering AS</w:t>
      </w:r>
      <w:r w:rsidRPr="008F1F9F">
        <w:rPr>
          <w:rStyle w:val="FontStyle56"/>
          <w:sz w:val="22"/>
          <w:lang w:val="en-GB"/>
        </w:rPr>
        <w:t xml:space="preserve"> (</w:t>
      </w:r>
      <w:r>
        <w:rPr>
          <w:rStyle w:val="FontStyle56"/>
          <w:sz w:val="22"/>
          <w:lang w:val="en-GB"/>
        </w:rPr>
        <w:t>hereafter referred to as Elering</w:t>
      </w:r>
      <w:r w:rsidRPr="008F1F9F">
        <w:rPr>
          <w:rStyle w:val="FontStyle56"/>
          <w:sz w:val="22"/>
          <w:lang w:val="en-GB"/>
        </w:rPr>
        <w:t>) regarding the development of a proposal for the rules concerning the suspension and restoration of market activities in accordance with Article 36(1) and development of a proposal for rules for imbalance settlement and settlement of balancing capacity and balancing energy applicable for imbalance settlement periods in case of suspension of market activities in accordance with Article 39(1) of the Commission Regulation (EU) 2017/2196 of 24 November 2017 establishing a network code on electricity emergency and restoration (hereafter referred to as “</w:t>
      </w:r>
      <w:r w:rsidR="00C50345" w:rsidRPr="002C4AA8">
        <w:rPr>
          <w:rStyle w:val="FontStyle56"/>
          <w:sz w:val="22"/>
        </w:rPr>
        <w:t>Regulation 2017/2196</w:t>
      </w:r>
      <w:r w:rsidR="00AF46CD">
        <w:rPr>
          <w:rStyle w:val="FontStyle56"/>
          <w:sz w:val="22"/>
          <w:lang w:val="en-GB"/>
        </w:rPr>
        <w:t>”).</w:t>
      </w:r>
    </w:p>
    <w:p w14:paraId="10939900" w14:textId="7DD35C05" w:rsidR="00DA0F34" w:rsidRPr="002C4AA8" w:rsidRDefault="00E76FF7" w:rsidP="008F1F9F">
      <w:pPr>
        <w:pStyle w:val="Style15"/>
        <w:widowControl/>
        <w:numPr>
          <w:ilvl w:val="0"/>
          <w:numId w:val="1"/>
        </w:numPr>
        <w:tabs>
          <w:tab w:val="left" w:pos="1075"/>
        </w:tabs>
        <w:spacing w:before="264"/>
        <w:ind w:left="1075"/>
        <w:rPr>
          <w:rStyle w:val="FontStyle56"/>
          <w:sz w:val="22"/>
          <w:lang w:val="en-GB"/>
        </w:rPr>
      </w:pPr>
      <w:r>
        <w:rPr>
          <w:rStyle w:val="FontStyle56"/>
          <w:sz w:val="22"/>
          <w:lang w:val="en-GB"/>
        </w:rPr>
        <w:t>The p</w:t>
      </w:r>
      <w:r w:rsidR="008F1F9F" w:rsidRPr="008F1F9F">
        <w:rPr>
          <w:rStyle w:val="FontStyle56"/>
          <w:sz w:val="22"/>
          <w:lang w:val="en-GB"/>
        </w:rPr>
        <w:t>roposal</w:t>
      </w:r>
      <w:r>
        <w:rPr>
          <w:rStyle w:val="FontStyle56"/>
          <w:sz w:val="22"/>
          <w:lang w:val="en-GB"/>
        </w:rPr>
        <w:t xml:space="preserve"> for the rules</w:t>
      </w:r>
      <w:r w:rsidR="008F1F9F" w:rsidRPr="008F1F9F">
        <w:rPr>
          <w:rStyle w:val="FontStyle56"/>
          <w:sz w:val="22"/>
          <w:lang w:val="en-GB"/>
        </w:rPr>
        <w:t xml:space="preserve"> takes into account the general principles and goals set in the </w:t>
      </w:r>
      <w:r w:rsidR="00C50345" w:rsidRPr="002C4AA8">
        <w:rPr>
          <w:rStyle w:val="FontStyle56"/>
          <w:sz w:val="22"/>
        </w:rPr>
        <w:t>Regulation 2017/2196</w:t>
      </w:r>
      <w:r w:rsidR="00C50345">
        <w:rPr>
          <w:rStyle w:val="FontStyle56"/>
          <w:sz w:val="22"/>
        </w:rPr>
        <w:t xml:space="preserve"> </w:t>
      </w:r>
      <w:r w:rsidR="008F1F9F" w:rsidRPr="008F1F9F">
        <w:rPr>
          <w:rStyle w:val="FontStyle56"/>
          <w:sz w:val="22"/>
          <w:lang w:val="en-GB"/>
        </w:rPr>
        <w:t xml:space="preserve">as well as Regulation (EC) No 714/2009 of the European Parliament and of the Council of 13 July 2009 on conditions for access to the network for cross-border exchanges in electricity (hereafter referred to as “Regulation (EC) No 714/2009”). The goal of the </w:t>
      </w:r>
      <w:r w:rsidR="00C50345" w:rsidRPr="002C4AA8">
        <w:rPr>
          <w:rStyle w:val="FontStyle56"/>
          <w:sz w:val="22"/>
        </w:rPr>
        <w:t>Regulation 2017/2196</w:t>
      </w:r>
      <w:r w:rsidR="008F1F9F" w:rsidRPr="008F1F9F">
        <w:rPr>
          <w:rStyle w:val="FontStyle56"/>
          <w:sz w:val="22"/>
          <w:lang w:val="en-GB"/>
        </w:rPr>
        <w:t xml:space="preserve"> is to set out harmonised requirements concerning technical and organisational measures in order to prevent the propagation or deterioration of an incident in the national system and to avoid the spread of the disturbance and blackout state to other systems, and harmonized procedures that TSOs should implement in order to restore the alert or normal state after the spread of the disturbance or blackout state. Furthermore, TSOs should ensure the continuity of energy transactions during emergency, blackout or restoration state and only suspend market activities and market's accompanying processes as a last resort. Clear, objective and harmonised conditions under which energy transactions could be suspended and subsequently restored should be established</w:t>
      </w:r>
      <w:r w:rsidR="008F1F9F">
        <w:rPr>
          <w:rStyle w:val="FontStyle56"/>
          <w:sz w:val="22"/>
          <w:lang w:val="en-GB"/>
        </w:rPr>
        <w:t>.</w:t>
      </w:r>
    </w:p>
    <w:p w14:paraId="09616181" w14:textId="501B6DFF" w:rsidR="00DA0F34" w:rsidRDefault="008F1F9F" w:rsidP="008F1F9F">
      <w:pPr>
        <w:pStyle w:val="Style15"/>
        <w:widowControl/>
        <w:numPr>
          <w:ilvl w:val="0"/>
          <w:numId w:val="1"/>
        </w:numPr>
        <w:tabs>
          <w:tab w:val="left" w:pos="1075"/>
        </w:tabs>
        <w:spacing w:before="278" w:line="269" w:lineRule="exact"/>
        <w:ind w:left="1075"/>
        <w:rPr>
          <w:rStyle w:val="FontStyle56"/>
          <w:sz w:val="22"/>
          <w:lang w:val="en-GB"/>
        </w:rPr>
      </w:pPr>
      <w:r w:rsidRPr="008F1F9F">
        <w:rPr>
          <w:rStyle w:val="FontStyle56"/>
          <w:sz w:val="22"/>
          <w:lang w:val="en-GB"/>
        </w:rPr>
        <w:t xml:space="preserve">Article 35(1) of </w:t>
      </w:r>
      <w:r w:rsidR="00C50345" w:rsidRPr="002C4AA8">
        <w:rPr>
          <w:rStyle w:val="FontStyle56"/>
          <w:sz w:val="22"/>
        </w:rPr>
        <w:t>Regulation 2017/2196</w:t>
      </w:r>
      <w:r w:rsidRPr="008F1F9F">
        <w:rPr>
          <w:rStyle w:val="FontStyle56"/>
          <w:sz w:val="22"/>
          <w:lang w:val="en-GB"/>
        </w:rPr>
        <w:t xml:space="preserve"> sets out that market activities may temporarily be suspended where (a) the transmission system of the TSO is in blackout state; or (b) the TSO has exhausted all options provided by the market and the continuation of market activities under the emergency state would deteriorate one or more of the conditions referred to in Article 18(3) of Regulation (EU) 2017/1485; or (c) the continuation of market activities would decrease significantly the effectiveness of the restoration process to the normal or alert state; or (d) tools and communication means necessary for the TSOs to facilitate market activities are not available</w:t>
      </w:r>
      <w:r>
        <w:rPr>
          <w:rStyle w:val="FontStyle56"/>
          <w:sz w:val="22"/>
          <w:lang w:val="en-GB"/>
        </w:rPr>
        <w:t>.</w:t>
      </w:r>
    </w:p>
    <w:p w14:paraId="77E656CB" w14:textId="21F9344A" w:rsidR="00973400" w:rsidRPr="00973400" w:rsidRDefault="008F1F9F" w:rsidP="008F1F9F">
      <w:pPr>
        <w:pStyle w:val="Style15"/>
        <w:widowControl/>
        <w:numPr>
          <w:ilvl w:val="0"/>
          <w:numId w:val="1"/>
        </w:numPr>
        <w:tabs>
          <w:tab w:val="left" w:pos="1075"/>
        </w:tabs>
        <w:spacing w:before="278" w:line="269" w:lineRule="exact"/>
        <w:ind w:left="1075"/>
        <w:rPr>
          <w:rStyle w:val="FontStyle56"/>
          <w:sz w:val="22"/>
          <w:lang w:val="en-GB"/>
        </w:rPr>
      </w:pPr>
      <w:r w:rsidRPr="008F1F9F">
        <w:rPr>
          <w:rStyle w:val="FontStyle56"/>
          <w:sz w:val="22"/>
          <w:lang w:val="en-GB"/>
        </w:rPr>
        <w:t xml:space="preserve">Article 35(2) of </w:t>
      </w:r>
      <w:r w:rsidR="00C50345" w:rsidRPr="002C4AA8">
        <w:rPr>
          <w:rStyle w:val="FontStyle56"/>
          <w:sz w:val="22"/>
        </w:rPr>
        <w:t>Regulation 2017/2196</w:t>
      </w:r>
      <w:r w:rsidR="00C50345">
        <w:rPr>
          <w:rStyle w:val="FontStyle56"/>
          <w:sz w:val="22"/>
        </w:rPr>
        <w:t xml:space="preserve"> </w:t>
      </w:r>
      <w:r w:rsidRPr="008F1F9F">
        <w:rPr>
          <w:rStyle w:val="FontStyle56"/>
          <w:sz w:val="22"/>
          <w:lang w:val="en-GB"/>
        </w:rPr>
        <w:t>prescribes that the suspension of market activities may apply to (a) the provision of cross zonal capacity for capacity allocation on the corresponding bidding zone borders for each market time unit where it is expected that the transmission system shall not be restored to the normal or alert state; (b) the submission by a balancing service provider of balancing capacity and balancing energy bids; (c) the provision by a balance responsible party of a balanced position at the end of the day-ahead timeframe if required by the terms and conditions related to balancing; (d) the provision of modifications of the position of balance responsible parties; (e) the provision of schedules referred to in Article 111(1) and (2) of Regulation (EU) 2017/1485, and (f) other relevant market activities the suspension of which is deemed necessary to preserve and/or restore the system</w:t>
      </w:r>
      <w:r>
        <w:rPr>
          <w:rStyle w:val="FontStyle56"/>
          <w:sz w:val="22"/>
          <w:lang w:val="en-GB"/>
        </w:rPr>
        <w:t>.</w:t>
      </w:r>
    </w:p>
    <w:p w14:paraId="5A9CAE25" w14:textId="4671E1F8" w:rsidR="00973400" w:rsidRPr="002C4AA8" w:rsidRDefault="000437E0" w:rsidP="000437E0">
      <w:pPr>
        <w:pStyle w:val="Style15"/>
        <w:widowControl/>
        <w:numPr>
          <w:ilvl w:val="0"/>
          <w:numId w:val="1"/>
        </w:numPr>
        <w:tabs>
          <w:tab w:val="left" w:pos="1075"/>
        </w:tabs>
        <w:spacing w:before="278" w:line="269" w:lineRule="exact"/>
        <w:ind w:left="1075"/>
        <w:rPr>
          <w:rStyle w:val="FontStyle56"/>
          <w:sz w:val="22"/>
          <w:lang w:val="en-GB"/>
        </w:rPr>
      </w:pPr>
      <w:r w:rsidRPr="000437E0">
        <w:rPr>
          <w:rStyle w:val="FontStyle56"/>
          <w:sz w:val="22"/>
          <w:lang w:val="en-GB"/>
        </w:rPr>
        <w:t xml:space="preserve">Article 39(1) of </w:t>
      </w:r>
      <w:r w:rsidR="00C50345" w:rsidRPr="002C4AA8">
        <w:rPr>
          <w:rStyle w:val="FontStyle56"/>
          <w:sz w:val="22"/>
        </w:rPr>
        <w:t>Regulation 2017/2196</w:t>
      </w:r>
      <w:r w:rsidR="00C50345">
        <w:rPr>
          <w:rStyle w:val="FontStyle56"/>
          <w:sz w:val="22"/>
        </w:rPr>
        <w:t xml:space="preserve"> </w:t>
      </w:r>
      <w:r w:rsidRPr="000437E0">
        <w:rPr>
          <w:rStyle w:val="FontStyle56"/>
          <w:sz w:val="22"/>
          <w:lang w:val="en-GB"/>
        </w:rPr>
        <w:t xml:space="preserve">sets the requirements for the rules for imbalance settlement and settlement of balancing capacity and balancing energy applied for imbalance </w:t>
      </w:r>
      <w:r w:rsidRPr="000437E0">
        <w:rPr>
          <w:rStyle w:val="FontStyle56"/>
          <w:sz w:val="22"/>
          <w:lang w:val="en-GB"/>
        </w:rPr>
        <w:lastRenderedPageBreak/>
        <w:t>settlement periods</w:t>
      </w:r>
      <w:r>
        <w:rPr>
          <w:rStyle w:val="FontStyle56"/>
          <w:sz w:val="22"/>
          <w:lang w:val="en-GB"/>
        </w:rPr>
        <w:t xml:space="preserve"> </w:t>
      </w:r>
      <w:r w:rsidR="008F1F9F" w:rsidRPr="008F1F9F">
        <w:rPr>
          <w:rStyle w:val="FontStyle56"/>
          <w:sz w:val="22"/>
          <w:lang w:val="en-GB"/>
        </w:rPr>
        <w:t>during which the market activities are suspended and the requirements shall (a) ensure the financial neutrality of each TSO and relevant third party to which the settlement tasks may have been delegated; (b) avoid distortions of incentives or counterproductive incentives to balance responsible parties, balance service providers and TSOs; (c) incentivise balance responsible parties to strive to be balanced or help the system to restore its balance; (d) avoid any financial penalties imposed on balance responsible parties and balancing service providers due to the execution of the actions requested by the TSO; (e) discourage TSOs from suspending market activities, unless strictly necessary, and incentivise TSOs to restore the market activities as soon as possible; and (f) incentivise balance service providers to offer services to the connecting TSO that helps restore the system to normal state</w:t>
      </w:r>
      <w:r w:rsidR="00973400">
        <w:rPr>
          <w:rStyle w:val="FontStyle56"/>
          <w:sz w:val="22"/>
          <w:lang w:val="en-GB"/>
        </w:rPr>
        <w:t>.</w:t>
      </w:r>
    </w:p>
    <w:p w14:paraId="47D199C8" w14:textId="77777777" w:rsidR="009A2615" w:rsidRDefault="009A2615" w:rsidP="003D52DD">
      <w:pPr>
        <w:spacing w:after="120" w:line="240" w:lineRule="auto"/>
        <w:jc w:val="both"/>
        <w:rPr>
          <w:rFonts w:ascii="Times New Roman" w:hAnsi="Times New Roman" w:cs="Times New Roman"/>
          <w:lang w:val="en-GB"/>
        </w:rPr>
      </w:pPr>
    </w:p>
    <w:p w14:paraId="4F056D6A" w14:textId="158097D9" w:rsidR="003D52DD" w:rsidRPr="002C4AA8" w:rsidRDefault="00ED3747" w:rsidP="003D52DD">
      <w:pPr>
        <w:spacing w:after="120" w:line="240" w:lineRule="auto"/>
        <w:jc w:val="both"/>
        <w:rPr>
          <w:rFonts w:ascii="Times New Roman" w:hAnsi="Times New Roman" w:cs="Times New Roman"/>
          <w:lang w:val="en-GB"/>
        </w:rPr>
      </w:pPr>
      <w:r w:rsidRPr="002C4AA8">
        <w:rPr>
          <w:rFonts w:ascii="Times New Roman" w:hAnsi="Times New Roman" w:cs="Times New Roman"/>
          <w:lang w:val="en-GB"/>
        </w:rPr>
        <w:t>SUBMIT THE FOLLOWING PROPOSAL FOR RULES CONCERNING THE SUSPENSION AND RESTORATION OF MARKET ACTIVI</w:t>
      </w:r>
      <w:r w:rsidR="009E4AE9">
        <w:rPr>
          <w:rFonts w:ascii="Times New Roman" w:hAnsi="Times New Roman" w:cs="Times New Roman"/>
          <w:lang w:val="en-GB"/>
        </w:rPr>
        <w:t>TIES IN ESTONIA</w:t>
      </w:r>
      <w:r w:rsidRPr="002C4AA8">
        <w:rPr>
          <w:rFonts w:ascii="Times New Roman" w:hAnsi="Times New Roman" w:cs="Times New Roman"/>
          <w:lang w:val="en-GB"/>
        </w:rPr>
        <w:t>:</w:t>
      </w:r>
    </w:p>
    <w:p w14:paraId="1E435A98" w14:textId="77777777" w:rsidR="00ED3747" w:rsidRPr="002C4AA8" w:rsidRDefault="00ED3747" w:rsidP="003D52DD">
      <w:pPr>
        <w:spacing w:after="120" w:line="240" w:lineRule="auto"/>
        <w:jc w:val="both"/>
        <w:rPr>
          <w:rFonts w:ascii="Times New Roman" w:hAnsi="Times New Roman" w:cs="Times New Roman"/>
          <w:lang w:val="en-GB"/>
        </w:rPr>
      </w:pPr>
    </w:p>
    <w:p w14:paraId="73645C87" w14:textId="77777777" w:rsidR="003D52DD" w:rsidRPr="002C4AA8" w:rsidRDefault="003D52DD" w:rsidP="007D129E">
      <w:pPr>
        <w:pStyle w:val="Heading2"/>
      </w:pPr>
      <w:bookmarkStart w:id="20" w:name="_Toc485652848"/>
      <w:bookmarkStart w:id="21" w:name="_Toc507743919"/>
      <w:r w:rsidRPr="002C4AA8">
        <w:t>Article 1</w:t>
      </w:r>
      <w:r w:rsidRPr="002C4AA8">
        <w:br/>
        <w:t>Subject matter and scope</w:t>
      </w:r>
      <w:bookmarkEnd w:id="20"/>
      <w:bookmarkEnd w:id="21"/>
    </w:p>
    <w:p w14:paraId="6C3EAF2F" w14:textId="77777777" w:rsidR="00DA0F34" w:rsidRPr="002C4AA8" w:rsidRDefault="00DA0F34" w:rsidP="004959B8">
      <w:pPr>
        <w:pStyle w:val="Heading3"/>
        <w:rPr>
          <w:rStyle w:val="FontStyle56"/>
          <w:sz w:val="22"/>
          <w:szCs w:val="24"/>
        </w:rPr>
      </w:pPr>
      <w:bookmarkStart w:id="22" w:name="_Toc485652849"/>
      <w:bookmarkStart w:id="23" w:name="_Toc507743920"/>
      <w:bookmarkStart w:id="24" w:name="_Toc464485818"/>
      <w:bookmarkStart w:id="25" w:name="_Toc432586790"/>
      <w:bookmarkStart w:id="26" w:name="_Toc432586770"/>
      <w:r w:rsidRPr="002C4AA8">
        <w:rPr>
          <w:rStyle w:val="FontStyle56"/>
          <w:sz w:val="22"/>
          <w:szCs w:val="24"/>
        </w:rPr>
        <w:t xml:space="preserve">This document is </w:t>
      </w:r>
      <w:r w:rsidR="003716A1" w:rsidRPr="002C4AA8">
        <w:rPr>
          <w:rStyle w:val="FontStyle56"/>
          <w:sz w:val="22"/>
          <w:szCs w:val="24"/>
        </w:rPr>
        <w:t xml:space="preserve">a </w:t>
      </w:r>
      <w:r w:rsidRPr="002C4AA8">
        <w:rPr>
          <w:rStyle w:val="FontStyle56"/>
          <w:sz w:val="22"/>
          <w:szCs w:val="24"/>
        </w:rPr>
        <w:t>proposal regarding:</w:t>
      </w:r>
    </w:p>
    <w:p w14:paraId="3BD39FED" w14:textId="77777777" w:rsidR="00DA0F34" w:rsidRPr="002C4AA8" w:rsidRDefault="00DA0F34" w:rsidP="007D129E">
      <w:pPr>
        <w:pStyle w:val="Heading4"/>
        <w:rPr>
          <w:rStyle w:val="FontStyle56"/>
          <w:sz w:val="22"/>
          <w:szCs w:val="24"/>
        </w:rPr>
      </w:pPr>
      <w:r w:rsidRPr="002C4AA8">
        <w:rPr>
          <w:rStyle w:val="FontStyle56"/>
          <w:sz w:val="22"/>
          <w:szCs w:val="24"/>
        </w:rPr>
        <w:t>the principles the TSO has to follow in case it needs to suspend temporarily one or more market activities in accordance with Article 35</w:t>
      </w:r>
      <w:r w:rsidR="002436A6" w:rsidRPr="002C4AA8">
        <w:rPr>
          <w:rStyle w:val="FontStyle56"/>
          <w:sz w:val="22"/>
          <w:szCs w:val="24"/>
        </w:rPr>
        <w:t xml:space="preserve"> </w:t>
      </w:r>
      <w:r w:rsidR="002436A6" w:rsidRPr="002C4AA8">
        <w:rPr>
          <w:rStyle w:val="FontStyle56"/>
          <w:sz w:val="22"/>
        </w:rPr>
        <w:t>of Regulation 2017/2196</w:t>
      </w:r>
      <w:r w:rsidRPr="002C4AA8">
        <w:rPr>
          <w:rStyle w:val="FontStyle56"/>
          <w:sz w:val="22"/>
          <w:szCs w:val="24"/>
        </w:rPr>
        <w:t>,</w:t>
      </w:r>
      <w:r w:rsidR="00431993" w:rsidRPr="002C4AA8">
        <w:rPr>
          <w:rStyle w:val="FontStyle56"/>
          <w:sz w:val="22"/>
          <w:szCs w:val="24"/>
        </w:rPr>
        <w:t xml:space="preserve"> and</w:t>
      </w:r>
    </w:p>
    <w:p w14:paraId="54511956" w14:textId="77777777" w:rsidR="00DA0F34" w:rsidRPr="002C4AA8" w:rsidRDefault="00DA0F34" w:rsidP="007D129E">
      <w:pPr>
        <w:pStyle w:val="Heading4"/>
        <w:rPr>
          <w:rStyle w:val="FontStyle56"/>
          <w:sz w:val="22"/>
          <w:szCs w:val="24"/>
        </w:rPr>
      </w:pPr>
      <w:r w:rsidRPr="002C4AA8">
        <w:rPr>
          <w:rStyle w:val="FontStyle56"/>
          <w:sz w:val="22"/>
          <w:szCs w:val="24"/>
        </w:rPr>
        <w:t>the rules for imbalance settlement and settlement of balancing capacity and balancing energy which shall be applicable for imbalance settlement periods during which the market activities were suspended in accordance with Article 39 of Regulation 2017/2196.</w:t>
      </w:r>
    </w:p>
    <w:p w14:paraId="4645EA0F" w14:textId="77777777" w:rsidR="00DA0F34" w:rsidRPr="002C4AA8" w:rsidRDefault="00DA0F34" w:rsidP="0028499E">
      <w:pPr>
        <w:pStyle w:val="Heading3"/>
        <w:rPr>
          <w:rStyle w:val="FontStyle56"/>
          <w:sz w:val="22"/>
        </w:rPr>
      </w:pPr>
      <w:r w:rsidRPr="002C4AA8">
        <w:rPr>
          <w:rStyle w:val="FontStyle56"/>
          <w:sz w:val="22"/>
        </w:rPr>
        <w:t>This proposal is subject to approval in accordance with Article 4(3) of Regulation 2017/2196.</w:t>
      </w:r>
      <w:bookmarkStart w:id="27" w:name="bookmark3"/>
      <w:bookmarkEnd w:id="27"/>
    </w:p>
    <w:p w14:paraId="033117EC" w14:textId="77777777" w:rsidR="00DA0F34" w:rsidRPr="002C4AA8" w:rsidRDefault="00DA0F34" w:rsidP="00DA0F34">
      <w:pPr>
        <w:pStyle w:val="Style20"/>
        <w:widowControl/>
        <w:tabs>
          <w:tab w:val="left" w:pos="355"/>
        </w:tabs>
        <w:spacing w:before="269"/>
        <w:ind w:left="355" w:firstLine="0"/>
        <w:rPr>
          <w:rStyle w:val="FontStyle56"/>
          <w:sz w:val="22"/>
          <w:lang w:val="en-GB"/>
        </w:rPr>
      </w:pPr>
    </w:p>
    <w:p w14:paraId="0D6F5D61" w14:textId="77777777" w:rsidR="00DA5AE1" w:rsidRPr="002C4AA8" w:rsidRDefault="003D52DD" w:rsidP="007D129E">
      <w:pPr>
        <w:pStyle w:val="Heading2"/>
      </w:pPr>
      <w:r w:rsidRPr="002C4AA8">
        <w:t>Article 2</w:t>
      </w:r>
    </w:p>
    <w:p w14:paraId="045DFEE7" w14:textId="77777777" w:rsidR="003D52DD" w:rsidRPr="009A2615" w:rsidRDefault="003D52DD" w:rsidP="007D129E">
      <w:pPr>
        <w:pStyle w:val="Heading2"/>
        <w:rPr>
          <w:lang w:val="lt-LT"/>
        </w:rPr>
      </w:pPr>
      <w:r w:rsidRPr="002C4AA8">
        <w:t>Definitions</w:t>
      </w:r>
      <w:bookmarkEnd w:id="22"/>
      <w:bookmarkEnd w:id="23"/>
      <w:r w:rsidRPr="002C4AA8">
        <w:t xml:space="preserve"> </w:t>
      </w:r>
      <w:bookmarkEnd w:id="24"/>
      <w:bookmarkEnd w:id="25"/>
      <w:bookmarkEnd w:id="26"/>
    </w:p>
    <w:p w14:paraId="591B39C5" w14:textId="0DA96F52" w:rsidR="00DA0F34" w:rsidRPr="0028499E" w:rsidRDefault="00C77340" w:rsidP="001C6720">
      <w:pPr>
        <w:pStyle w:val="Heading3"/>
        <w:numPr>
          <w:ilvl w:val="0"/>
          <w:numId w:val="5"/>
        </w:numPr>
        <w:rPr>
          <w:rFonts w:eastAsiaTheme="minorHAnsi" w:cs="Times New Roman"/>
          <w:lang w:eastAsia="en-US"/>
        </w:rPr>
      </w:pPr>
      <w:r w:rsidRPr="00E76FF7">
        <w:rPr>
          <w:rStyle w:val="FontStyle56"/>
          <w:sz w:val="22"/>
          <w:szCs w:val="24"/>
        </w:rPr>
        <w:t xml:space="preserve">For the purposes of these Rules, terms used shall have the meaning of the definitions included in Article 3 of the Regulation 2017/2196, Article 3 of </w:t>
      </w:r>
      <w:r w:rsidR="00E5576A" w:rsidRPr="00E76FF7">
        <w:rPr>
          <w:rStyle w:val="FontStyle56"/>
          <w:sz w:val="22"/>
          <w:szCs w:val="24"/>
        </w:rPr>
        <w:t xml:space="preserve">Commission </w:t>
      </w:r>
      <w:r w:rsidRPr="00E76FF7">
        <w:rPr>
          <w:rStyle w:val="FontStyle56"/>
          <w:sz w:val="22"/>
          <w:szCs w:val="24"/>
        </w:rPr>
        <w:t xml:space="preserve">Regulation </w:t>
      </w:r>
      <w:r w:rsidR="00E5576A" w:rsidRPr="00E76FF7">
        <w:rPr>
          <w:rStyle w:val="FontStyle56"/>
          <w:sz w:val="22"/>
          <w:szCs w:val="24"/>
        </w:rPr>
        <w:t xml:space="preserve">(EU) </w:t>
      </w:r>
      <w:r w:rsidRPr="00E76FF7">
        <w:rPr>
          <w:rStyle w:val="FontStyle56"/>
          <w:sz w:val="22"/>
          <w:szCs w:val="24"/>
        </w:rPr>
        <w:t>2017/1485</w:t>
      </w:r>
      <w:r w:rsidR="00E5576A" w:rsidRPr="00E76FF7">
        <w:rPr>
          <w:rStyle w:val="FontStyle56"/>
          <w:sz w:val="22"/>
          <w:szCs w:val="24"/>
        </w:rPr>
        <w:t xml:space="preserve"> establishing a guideline on electricity transmission system operation (hereinafter referred to as the "Regulation 2017/1485")</w:t>
      </w:r>
      <w:r w:rsidRPr="00E76FF7">
        <w:rPr>
          <w:rStyle w:val="FontStyle56"/>
          <w:sz w:val="22"/>
          <w:szCs w:val="24"/>
        </w:rPr>
        <w:t xml:space="preserve">, Article 2 of </w:t>
      </w:r>
      <w:r w:rsidR="00E5576A" w:rsidRPr="00E76FF7">
        <w:rPr>
          <w:rStyle w:val="FontStyle56"/>
          <w:sz w:val="22"/>
          <w:szCs w:val="24"/>
        </w:rPr>
        <w:t xml:space="preserve">Commission </w:t>
      </w:r>
      <w:r w:rsidRPr="00E76FF7">
        <w:rPr>
          <w:rStyle w:val="FontStyle56"/>
          <w:sz w:val="22"/>
          <w:szCs w:val="24"/>
        </w:rPr>
        <w:t xml:space="preserve">Regulation </w:t>
      </w:r>
      <w:r w:rsidR="00E5576A" w:rsidRPr="00E76FF7">
        <w:rPr>
          <w:rStyle w:val="FontStyle56"/>
          <w:sz w:val="22"/>
          <w:szCs w:val="24"/>
        </w:rPr>
        <w:t xml:space="preserve">(EU) </w:t>
      </w:r>
      <w:r w:rsidRPr="00E76FF7">
        <w:rPr>
          <w:rStyle w:val="FontStyle56"/>
          <w:sz w:val="22"/>
          <w:szCs w:val="24"/>
        </w:rPr>
        <w:t>2017/2195</w:t>
      </w:r>
      <w:r w:rsidR="00E5576A" w:rsidRPr="00E76FF7">
        <w:rPr>
          <w:rStyle w:val="FontStyle56"/>
          <w:sz w:val="22"/>
          <w:szCs w:val="24"/>
        </w:rPr>
        <w:t xml:space="preserve"> establishing a guideline on electricity balancing (hereinafter referred to as the "Regulation 2017/2195")</w:t>
      </w:r>
      <w:r w:rsidRPr="00E76FF7">
        <w:rPr>
          <w:rStyle w:val="FontStyle56"/>
          <w:sz w:val="22"/>
          <w:szCs w:val="24"/>
        </w:rPr>
        <w:t xml:space="preserve"> and Article 2 of </w:t>
      </w:r>
      <w:r w:rsidR="00E5576A" w:rsidRPr="00E76FF7">
        <w:rPr>
          <w:rStyle w:val="FontStyle56"/>
          <w:sz w:val="22"/>
          <w:szCs w:val="24"/>
        </w:rPr>
        <w:t xml:space="preserve">Commission </w:t>
      </w:r>
      <w:r w:rsidRPr="00E76FF7">
        <w:rPr>
          <w:rStyle w:val="FontStyle56"/>
          <w:sz w:val="22"/>
          <w:szCs w:val="24"/>
        </w:rPr>
        <w:t xml:space="preserve">Regulation </w:t>
      </w:r>
      <w:r w:rsidR="00E5576A" w:rsidRPr="00E76FF7">
        <w:rPr>
          <w:rStyle w:val="FontStyle56"/>
          <w:sz w:val="22"/>
          <w:szCs w:val="24"/>
        </w:rPr>
        <w:t xml:space="preserve">(EU) </w:t>
      </w:r>
      <w:r w:rsidRPr="00E76FF7">
        <w:rPr>
          <w:rStyle w:val="FontStyle56"/>
          <w:sz w:val="22"/>
          <w:szCs w:val="24"/>
        </w:rPr>
        <w:t>2015/1222</w:t>
      </w:r>
      <w:r w:rsidR="00E5576A" w:rsidRPr="00E76FF7">
        <w:rPr>
          <w:rStyle w:val="FontStyle56"/>
          <w:sz w:val="22"/>
          <w:szCs w:val="24"/>
        </w:rPr>
        <w:t xml:space="preserve"> establishing a guideline on capacity allocation and congestion management (hereinafter referred to as the "Regulation 2017/1222")</w:t>
      </w:r>
      <w:r w:rsidR="00DB461B" w:rsidRPr="00E76FF7">
        <w:rPr>
          <w:rStyle w:val="FontStyle56"/>
          <w:sz w:val="22"/>
          <w:szCs w:val="24"/>
        </w:rPr>
        <w:t>.</w:t>
      </w:r>
    </w:p>
    <w:p w14:paraId="04842139" w14:textId="0329263A" w:rsidR="00DA0F34" w:rsidRPr="00E76FF7" w:rsidRDefault="00DA0F34" w:rsidP="004959B8">
      <w:pPr>
        <w:pStyle w:val="Heading3"/>
        <w:rPr>
          <w:rStyle w:val="FontStyle56"/>
          <w:sz w:val="22"/>
          <w:szCs w:val="22"/>
        </w:rPr>
      </w:pPr>
      <w:r w:rsidRPr="00E76FF7">
        <w:rPr>
          <w:rStyle w:val="FontStyle56"/>
          <w:sz w:val="22"/>
          <w:szCs w:val="22"/>
        </w:rPr>
        <w:t>In these Rules, unless the context requires otherwise:</w:t>
      </w:r>
    </w:p>
    <w:p w14:paraId="5BFB3556" w14:textId="77777777" w:rsidR="00DA0F34" w:rsidRPr="00E76FF7" w:rsidRDefault="00DA0F34" w:rsidP="001C6720">
      <w:pPr>
        <w:pStyle w:val="Heading4"/>
        <w:numPr>
          <w:ilvl w:val="0"/>
          <w:numId w:val="6"/>
        </w:numPr>
        <w:rPr>
          <w:rStyle w:val="FontStyle56"/>
          <w:sz w:val="22"/>
          <w:szCs w:val="22"/>
        </w:rPr>
      </w:pPr>
      <w:r w:rsidRPr="00E76FF7">
        <w:rPr>
          <w:rStyle w:val="FontStyle56"/>
          <w:sz w:val="22"/>
          <w:szCs w:val="22"/>
        </w:rPr>
        <w:t>the singular indicates the plural and vice versa;</w:t>
      </w:r>
    </w:p>
    <w:p w14:paraId="4F3A15D5" w14:textId="77777777" w:rsidR="00DA0F34" w:rsidRPr="00E76FF7" w:rsidRDefault="00DA0F34" w:rsidP="001C6720">
      <w:pPr>
        <w:pStyle w:val="Heading4"/>
        <w:numPr>
          <w:ilvl w:val="0"/>
          <w:numId w:val="6"/>
        </w:numPr>
        <w:rPr>
          <w:rStyle w:val="FontStyle56"/>
          <w:sz w:val="22"/>
          <w:szCs w:val="22"/>
        </w:rPr>
      </w:pPr>
      <w:r w:rsidRPr="00E76FF7">
        <w:rPr>
          <w:rStyle w:val="FontStyle56"/>
          <w:sz w:val="22"/>
          <w:szCs w:val="22"/>
        </w:rPr>
        <w:t>the table of contents, headings and examples are inserted for convenience only and do not affect the interpretation of these Rules;</w:t>
      </w:r>
    </w:p>
    <w:p w14:paraId="0264744F" w14:textId="77777777" w:rsidR="00DA0F34" w:rsidRPr="00E76FF7" w:rsidRDefault="00DA0F34" w:rsidP="001C6720">
      <w:pPr>
        <w:pStyle w:val="Heading4"/>
        <w:numPr>
          <w:ilvl w:val="0"/>
          <w:numId w:val="6"/>
        </w:numPr>
        <w:rPr>
          <w:rStyle w:val="FontStyle56"/>
          <w:sz w:val="22"/>
          <w:szCs w:val="22"/>
        </w:rPr>
      </w:pPr>
      <w:r w:rsidRPr="00E76FF7">
        <w:rPr>
          <w:rStyle w:val="FontStyle56"/>
          <w:sz w:val="22"/>
          <w:szCs w:val="22"/>
        </w:rPr>
        <w:t>any reference to legislation, regulations, directive, order, instrument, code or any other enactment shall include any modification, extension or re-enactment of it then in force.</w:t>
      </w:r>
    </w:p>
    <w:p w14:paraId="62CEABB3" w14:textId="77777777" w:rsidR="003D52DD" w:rsidRPr="00E76FF7" w:rsidRDefault="003D52DD" w:rsidP="003D52DD">
      <w:pPr>
        <w:spacing w:after="0" w:line="252" w:lineRule="auto"/>
        <w:rPr>
          <w:rFonts w:ascii="Times New Roman" w:hAnsi="Times New Roman" w:cs="Times New Roman"/>
          <w:color w:val="FF0000"/>
          <w:lang w:val="en-GB"/>
        </w:rPr>
      </w:pPr>
    </w:p>
    <w:p w14:paraId="5D1CD0E8" w14:textId="77777777" w:rsidR="003311C5" w:rsidRPr="002C4AA8" w:rsidRDefault="003311C5" w:rsidP="003311C5">
      <w:pPr>
        <w:pStyle w:val="Heading1"/>
      </w:pPr>
    </w:p>
    <w:p w14:paraId="358743ED" w14:textId="40FB5610" w:rsidR="007D129E" w:rsidRPr="002C4AA8" w:rsidRDefault="000D3FA1" w:rsidP="007D129E">
      <w:pPr>
        <w:pStyle w:val="Heading2"/>
        <w:rPr>
          <w:rStyle w:val="FontStyle52"/>
          <w:b/>
          <w:bCs w:val="0"/>
        </w:rPr>
      </w:pPr>
      <w:r>
        <w:rPr>
          <w:rStyle w:val="FontStyle52"/>
          <w:b/>
          <w:bCs w:val="0"/>
        </w:rPr>
        <w:t>Article 3</w:t>
      </w:r>
      <w:r w:rsidR="007D129E" w:rsidRPr="002C4AA8">
        <w:rPr>
          <w:rStyle w:val="FontStyle52"/>
          <w:b/>
          <w:bCs w:val="0"/>
        </w:rPr>
        <w:t xml:space="preserve"> </w:t>
      </w:r>
    </w:p>
    <w:p w14:paraId="2145A74D" w14:textId="643E92A8" w:rsidR="007D129E" w:rsidRPr="002C4AA8" w:rsidRDefault="000D3FA1" w:rsidP="007D129E">
      <w:pPr>
        <w:pStyle w:val="Heading2"/>
        <w:rPr>
          <w:rStyle w:val="FontStyle52"/>
          <w:b/>
          <w:bCs w:val="0"/>
        </w:rPr>
      </w:pPr>
      <w:r>
        <w:rPr>
          <w:rStyle w:val="FontStyle52"/>
          <w:b/>
          <w:bCs w:val="0"/>
        </w:rPr>
        <w:t>Suspension of the provision of cross zonal capacity</w:t>
      </w:r>
    </w:p>
    <w:p w14:paraId="08300466" w14:textId="786E2E6B" w:rsidR="007D129E" w:rsidRPr="007715FD" w:rsidRDefault="007715FD" w:rsidP="001C6720">
      <w:pPr>
        <w:pStyle w:val="Heading3"/>
        <w:numPr>
          <w:ilvl w:val="0"/>
          <w:numId w:val="4"/>
        </w:numPr>
        <w:rPr>
          <w:rStyle w:val="FontStyle56"/>
          <w:sz w:val="22"/>
          <w:szCs w:val="22"/>
        </w:rPr>
      </w:pPr>
      <w:bookmarkStart w:id="28" w:name="_Toc432586805"/>
      <w:bookmarkStart w:id="29" w:name="_Toc432586785"/>
      <w:bookmarkStart w:id="30" w:name="_Toc426468206"/>
      <w:bookmarkStart w:id="31" w:name="_Toc422749331"/>
      <w:bookmarkStart w:id="32" w:name="_Toc422742328"/>
      <w:bookmarkStart w:id="33" w:name="_Toc422337372"/>
      <w:bookmarkStart w:id="34" w:name="_Toc464485820"/>
      <w:bookmarkStart w:id="35" w:name="_Toc485652851"/>
      <w:bookmarkStart w:id="36" w:name="_Toc507743922"/>
      <w:bookmarkStart w:id="37" w:name="_Toc413748339"/>
      <w:r w:rsidRPr="007715FD">
        <w:rPr>
          <w:szCs w:val="22"/>
        </w:rPr>
        <w:t xml:space="preserve">Pursuant to Article 35(2) </w:t>
      </w:r>
      <w:r w:rsidR="0028499E">
        <w:rPr>
          <w:szCs w:val="22"/>
        </w:rPr>
        <w:t xml:space="preserve">(a) </w:t>
      </w:r>
      <w:r w:rsidRPr="007715FD">
        <w:rPr>
          <w:szCs w:val="22"/>
        </w:rPr>
        <w:t xml:space="preserve">of </w:t>
      </w:r>
      <w:r w:rsidRPr="007715FD">
        <w:rPr>
          <w:rStyle w:val="FontStyle56"/>
          <w:sz w:val="22"/>
        </w:rPr>
        <w:t xml:space="preserve">Regulation 2017/2196 </w:t>
      </w:r>
      <w:r w:rsidRPr="007715FD">
        <w:rPr>
          <w:szCs w:val="22"/>
        </w:rPr>
        <w:t>TSO may temporarily suspend the provision of cross zonal capacity for capacity allocation on the corresponding bidding zone borders for each market time unit where it is expected that the transmission system shall not be restored to the normal or alert state</w:t>
      </w:r>
      <w:r w:rsidR="009F64F7">
        <w:rPr>
          <w:szCs w:val="22"/>
        </w:rPr>
        <w:t>.</w:t>
      </w:r>
    </w:p>
    <w:p w14:paraId="2F4A01C8" w14:textId="095FF3C3" w:rsidR="0028499E" w:rsidRDefault="0028499E" w:rsidP="001C6720">
      <w:pPr>
        <w:pStyle w:val="Heading3"/>
        <w:numPr>
          <w:ilvl w:val="0"/>
          <w:numId w:val="4"/>
        </w:numPr>
        <w:rPr>
          <w:rStyle w:val="FontStyle56"/>
          <w:sz w:val="22"/>
          <w:szCs w:val="22"/>
        </w:rPr>
      </w:pPr>
      <w:r w:rsidRPr="0028499E">
        <w:rPr>
          <w:rStyle w:val="FontStyle56"/>
          <w:sz w:val="22"/>
          <w:szCs w:val="22"/>
        </w:rPr>
        <w:lastRenderedPageBreak/>
        <w:t xml:space="preserve">Elering shall not suspend provision of cross zonal capacity pursuant to Article </w:t>
      </w:r>
      <w:r w:rsidRPr="0028499E">
        <w:rPr>
          <w:szCs w:val="22"/>
        </w:rPr>
        <w:t xml:space="preserve">35(2) (a) of </w:t>
      </w:r>
      <w:r w:rsidRPr="0028499E">
        <w:rPr>
          <w:rStyle w:val="FontStyle56"/>
          <w:sz w:val="22"/>
        </w:rPr>
        <w:t>Regulation 2017/2196</w:t>
      </w:r>
      <w:r>
        <w:rPr>
          <w:rStyle w:val="FontStyle56"/>
          <w:sz w:val="22"/>
        </w:rPr>
        <w:t>.</w:t>
      </w:r>
    </w:p>
    <w:p w14:paraId="68AF6F27" w14:textId="6DFB14AE" w:rsidR="0028499E" w:rsidRDefault="0028499E" w:rsidP="001C6720">
      <w:pPr>
        <w:pStyle w:val="Heading3"/>
        <w:numPr>
          <w:ilvl w:val="0"/>
          <w:numId w:val="4"/>
        </w:numPr>
        <w:rPr>
          <w:rStyle w:val="FontStyle56"/>
          <w:sz w:val="22"/>
        </w:rPr>
      </w:pPr>
      <w:r>
        <w:rPr>
          <w:rStyle w:val="FontStyle56"/>
          <w:sz w:val="22"/>
        </w:rPr>
        <w:t xml:space="preserve">In case conditions pursuant to </w:t>
      </w:r>
      <w:r w:rsidRPr="0028499E">
        <w:rPr>
          <w:rStyle w:val="FontStyle56"/>
          <w:sz w:val="22"/>
          <w:szCs w:val="22"/>
        </w:rPr>
        <w:t xml:space="preserve">Article </w:t>
      </w:r>
      <w:r>
        <w:rPr>
          <w:szCs w:val="22"/>
        </w:rPr>
        <w:t>35(1</w:t>
      </w:r>
      <w:r w:rsidRPr="0028499E">
        <w:rPr>
          <w:szCs w:val="22"/>
        </w:rPr>
        <w:t xml:space="preserve">) of </w:t>
      </w:r>
      <w:r w:rsidRPr="0028499E">
        <w:rPr>
          <w:rStyle w:val="FontStyle56"/>
          <w:sz w:val="22"/>
        </w:rPr>
        <w:t>Regulation 2017/2196</w:t>
      </w:r>
      <w:r>
        <w:rPr>
          <w:rStyle w:val="FontStyle56"/>
          <w:sz w:val="22"/>
        </w:rPr>
        <w:t xml:space="preserve"> occur Elering shall </w:t>
      </w:r>
      <w:r w:rsidR="006B6D89">
        <w:rPr>
          <w:rStyle w:val="FontStyle56"/>
          <w:sz w:val="22"/>
        </w:rPr>
        <w:t>reduce cross-zonal capacities in regards to single day-ahead coupling and single intraday coupling concerning the Estonian bidding zone borders</w:t>
      </w:r>
      <w:r w:rsidR="00AE3460">
        <w:rPr>
          <w:rStyle w:val="FontStyle56"/>
          <w:sz w:val="22"/>
        </w:rPr>
        <w:t xml:space="preserve"> in accordance with</w:t>
      </w:r>
      <w:r w:rsidR="00AE3460" w:rsidRPr="00AE3460">
        <w:t xml:space="preserve"> </w:t>
      </w:r>
      <w:r w:rsidR="00AE3460">
        <w:t>26(3) of Commission Regulation (EU) 2015/1222.</w:t>
      </w:r>
    </w:p>
    <w:p w14:paraId="35B0797B" w14:textId="0BA43640" w:rsidR="007D129E" w:rsidRDefault="007D129E" w:rsidP="00AE3460">
      <w:pPr>
        <w:pStyle w:val="Heading3"/>
        <w:numPr>
          <w:ilvl w:val="0"/>
          <w:numId w:val="0"/>
        </w:numPr>
        <w:ind w:left="142"/>
        <w:rPr>
          <w:rStyle w:val="FontStyle56"/>
          <w:sz w:val="22"/>
        </w:rPr>
      </w:pPr>
    </w:p>
    <w:p w14:paraId="13AA0C10" w14:textId="3B0376EC" w:rsidR="009F64F7" w:rsidRPr="002C4AA8" w:rsidRDefault="009F64F7" w:rsidP="009F64F7">
      <w:pPr>
        <w:pStyle w:val="Heading2"/>
        <w:rPr>
          <w:rStyle w:val="FontStyle52"/>
          <w:b/>
          <w:bCs w:val="0"/>
        </w:rPr>
      </w:pPr>
      <w:r>
        <w:rPr>
          <w:rStyle w:val="FontStyle52"/>
          <w:b/>
          <w:bCs w:val="0"/>
        </w:rPr>
        <w:t>Article 4</w:t>
      </w:r>
      <w:r w:rsidRPr="002C4AA8">
        <w:rPr>
          <w:rStyle w:val="FontStyle52"/>
          <w:b/>
          <w:bCs w:val="0"/>
        </w:rPr>
        <w:t xml:space="preserve"> </w:t>
      </w:r>
    </w:p>
    <w:p w14:paraId="7D9D8FE2" w14:textId="6613E259" w:rsidR="009F64F7" w:rsidRPr="002C4AA8" w:rsidRDefault="009F64F7" w:rsidP="009F64F7">
      <w:pPr>
        <w:pStyle w:val="Heading2"/>
        <w:rPr>
          <w:rStyle w:val="FontStyle52"/>
          <w:b/>
          <w:bCs w:val="0"/>
        </w:rPr>
      </w:pPr>
      <w:r>
        <w:rPr>
          <w:rStyle w:val="FontStyle52"/>
          <w:b/>
          <w:bCs w:val="0"/>
        </w:rPr>
        <w:t xml:space="preserve">Suspension of the submission </w:t>
      </w:r>
      <w:r w:rsidR="00E23C0C">
        <w:rPr>
          <w:rStyle w:val="FontStyle52"/>
          <w:b/>
          <w:bCs w:val="0"/>
        </w:rPr>
        <w:t xml:space="preserve">of </w:t>
      </w:r>
      <w:r>
        <w:rPr>
          <w:rStyle w:val="FontStyle52"/>
          <w:b/>
          <w:bCs w:val="0"/>
        </w:rPr>
        <w:t>balancing capacity and balancing energy bids</w:t>
      </w:r>
    </w:p>
    <w:p w14:paraId="20A5DBA5" w14:textId="4DB70249" w:rsidR="009F64F7" w:rsidRPr="009F64F7" w:rsidRDefault="009F64F7" w:rsidP="001C6720">
      <w:pPr>
        <w:pStyle w:val="Heading3"/>
        <w:numPr>
          <w:ilvl w:val="0"/>
          <w:numId w:val="7"/>
        </w:numPr>
        <w:rPr>
          <w:rStyle w:val="FontStyle56"/>
          <w:sz w:val="22"/>
          <w:szCs w:val="22"/>
        </w:rPr>
      </w:pPr>
      <w:r w:rsidRPr="009F64F7">
        <w:rPr>
          <w:szCs w:val="22"/>
        </w:rPr>
        <w:t xml:space="preserve">Pursuant to Article 35(2) </w:t>
      </w:r>
      <w:r>
        <w:rPr>
          <w:szCs w:val="22"/>
        </w:rPr>
        <w:t>(b</w:t>
      </w:r>
      <w:r w:rsidRPr="009F64F7">
        <w:rPr>
          <w:szCs w:val="22"/>
        </w:rPr>
        <w:t xml:space="preserve">) of </w:t>
      </w:r>
      <w:r w:rsidRPr="009F64F7">
        <w:rPr>
          <w:rStyle w:val="FontStyle56"/>
          <w:sz w:val="22"/>
        </w:rPr>
        <w:t xml:space="preserve">Regulation 2017/2196 </w:t>
      </w:r>
      <w:r w:rsidRPr="009F64F7">
        <w:rPr>
          <w:szCs w:val="22"/>
        </w:rPr>
        <w:t>TSO may temporarily suspend submission by a balancing service provider of balancing capacity and balancing energy bids</w:t>
      </w:r>
      <w:r>
        <w:rPr>
          <w:szCs w:val="22"/>
        </w:rPr>
        <w:t>.</w:t>
      </w:r>
    </w:p>
    <w:p w14:paraId="15E81D3D" w14:textId="6402EFA7" w:rsidR="009F64F7" w:rsidRDefault="009F64F7" w:rsidP="001C6720">
      <w:pPr>
        <w:pStyle w:val="Heading3"/>
        <w:numPr>
          <w:ilvl w:val="0"/>
          <w:numId w:val="7"/>
        </w:numPr>
        <w:rPr>
          <w:rStyle w:val="FontStyle56"/>
          <w:sz w:val="22"/>
          <w:szCs w:val="22"/>
        </w:rPr>
      </w:pPr>
      <w:r w:rsidRPr="0028499E">
        <w:rPr>
          <w:rStyle w:val="FontStyle56"/>
          <w:sz w:val="22"/>
          <w:szCs w:val="22"/>
        </w:rPr>
        <w:t xml:space="preserve">Elering shall not suspend </w:t>
      </w:r>
      <w:r w:rsidR="00E23C0C" w:rsidRPr="009F64F7">
        <w:rPr>
          <w:szCs w:val="22"/>
        </w:rPr>
        <w:t>submission by a balancing service provider of balancing capacity and balancing energy bids</w:t>
      </w:r>
      <w:r w:rsidR="00E23C0C" w:rsidRPr="0028499E">
        <w:rPr>
          <w:rStyle w:val="FontStyle56"/>
          <w:sz w:val="22"/>
          <w:szCs w:val="22"/>
        </w:rPr>
        <w:t xml:space="preserve"> </w:t>
      </w:r>
      <w:r w:rsidRPr="0028499E">
        <w:rPr>
          <w:rStyle w:val="FontStyle56"/>
          <w:sz w:val="22"/>
          <w:szCs w:val="22"/>
        </w:rPr>
        <w:t xml:space="preserve">pursuant to Article </w:t>
      </w:r>
      <w:r w:rsidRPr="0028499E">
        <w:rPr>
          <w:szCs w:val="22"/>
        </w:rPr>
        <w:t xml:space="preserve">35(2) </w:t>
      </w:r>
      <w:r w:rsidR="00E23C0C">
        <w:rPr>
          <w:szCs w:val="22"/>
        </w:rPr>
        <w:t>(b</w:t>
      </w:r>
      <w:r w:rsidRPr="0028499E">
        <w:rPr>
          <w:szCs w:val="22"/>
        </w:rPr>
        <w:t xml:space="preserve">) of </w:t>
      </w:r>
      <w:r w:rsidRPr="0028499E">
        <w:rPr>
          <w:rStyle w:val="FontStyle56"/>
          <w:sz w:val="22"/>
        </w:rPr>
        <w:t>Regulation 2017/2196</w:t>
      </w:r>
      <w:r>
        <w:rPr>
          <w:rStyle w:val="FontStyle56"/>
          <w:sz w:val="22"/>
        </w:rPr>
        <w:t>.</w:t>
      </w:r>
    </w:p>
    <w:p w14:paraId="0483E272" w14:textId="2F0EFB5C" w:rsidR="001F0A53" w:rsidRDefault="001F0A53" w:rsidP="001C6720">
      <w:pPr>
        <w:pStyle w:val="Heading3"/>
        <w:numPr>
          <w:ilvl w:val="0"/>
          <w:numId w:val="7"/>
        </w:numPr>
        <w:rPr>
          <w:rStyle w:val="FontStyle56"/>
          <w:sz w:val="22"/>
        </w:rPr>
      </w:pPr>
      <w:r>
        <w:rPr>
          <w:rStyle w:val="FontStyle56"/>
          <w:sz w:val="22"/>
        </w:rPr>
        <w:t xml:space="preserve">In case conditions pursuant to </w:t>
      </w:r>
      <w:r w:rsidRPr="0028499E">
        <w:rPr>
          <w:rStyle w:val="FontStyle56"/>
          <w:sz w:val="22"/>
          <w:szCs w:val="22"/>
        </w:rPr>
        <w:t xml:space="preserve">Article </w:t>
      </w:r>
      <w:r>
        <w:rPr>
          <w:szCs w:val="22"/>
        </w:rPr>
        <w:t>35(1</w:t>
      </w:r>
      <w:r w:rsidRPr="0028499E">
        <w:rPr>
          <w:szCs w:val="22"/>
        </w:rPr>
        <w:t xml:space="preserve">) of </w:t>
      </w:r>
      <w:r w:rsidRPr="0028499E">
        <w:rPr>
          <w:rStyle w:val="FontStyle56"/>
          <w:sz w:val="22"/>
        </w:rPr>
        <w:t>Regulation 2017/2196</w:t>
      </w:r>
      <w:r>
        <w:rPr>
          <w:rStyle w:val="FontStyle56"/>
          <w:sz w:val="22"/>
        </w:rPr>
        <w:t xml:space="preserve"> occur </w:t>
      </w:r>
      <w:r>
        <w:rPr>
          <w:szCs w:val="22"/>
        </w:rPr>
        <w:t>the balancing energy bids submitted in the Estonian bidding zone may be declared unavailable to other TSOs in accordance with Article 29(14) of Commission Regulation (EU) 2017/2195 due to operational security constraints.</w:t>
      </w:r>
    </w:p>
    <w:p w14:paraId="04B66DE7" w14:textId="6F2465F5" w:rsidR="009F64F7" w:rsidRDefault="001F0A53" w:rsidP="001C6720">
      <w:pPr>
        <w:pStyle w:val="Heading3"/>
        <w:numPr>
          <w:ilvl w:val="0"/>
          <w:numId w:val="7"/>
        </w:numPr>
        <w:rPr>
          <w:rStyle w:val="FontStyle56"/>
          <w:sz w:val="22"/>
        </w:rPr>
      </w:pPr>
      <w:r>
        <w:rPr>
          <w:szCs w:val="22"/>
        </w:rPr>
        <w:t>Where balancing service providers are unable to submit balancing capacity and balancing energy bids for reasons outside their control, the consequences are as defined in the terms and conditions for balance service providers in accordance with Article 18(5)</w:t>
      </w:r>
      <w:r w:rsidR="00B5538B">
        <w:rPr>
          <w:szCs w:val="22"/>
        </w:rPr>
        <w:t xml:space="preserve"> </w:t>
      </w:r>
      <w:r>
        <w:rPr>
          <w:szCs w:val="22"/>
        </w:rPr>
        <w:t>(k) of Commission Regulation (EU) 2017/2195.</w:t>
      </w:r>
    </w:p>
    <w:p w14:paraId="65A2E7FE" w14:textId="77777777" w:rsidR="009F64F7" w:rsidRDefault="009F64F7" w:rsidP="009F64F7">
      <w:pPr>
        <w:pStyle w:val="Heading3"/>
        <w:numPr>
          <w:ilvl w:val="0"/>
          <w:numId w:val="0"/>
        </w:numPr>
        <w:ind w:left="142"/>
        <w:rPr>
          <w:rStyle w:val="FontStyle56"/>
          <w:sz w:val="22"/>
        </w:rPr>
      </w:pPr>
    </w:p>
    <w:p w14:paraId="3D640FF5" w14:textId="51D51773" w:rsidR="00E23C0C" w:rsidRPr="002C4AA8" w:rsidRDefault="00E23C0C" w:rsidP="00E23C0C">
      <w:pPr>
        <w:pStyle w:val="Heading2"/>
        <w:rPr>
          <w:rStyle w:val="FontStyle52"/>
          <w:b/>
          <w:bCs w:val="0"/>
        </w:rPr>
      </w:pPr>
      <w:r>
        <w:rPr>
          <w:rStyle w:val="FontStyle52"/>
          <w:b/>
          <w:bCs w:val="0"/>
        </w:rPr>
        <w:t>Article 5</w:t>
      </w:r>
      <w:r w:rsidRPr="002C4AA8">
        <w:rPr>
          <w:rStyle w:val="FontStyle52"/>
          <w:b/>
          <w:bCs w:val="0"/>
        </w:rPr>
        <w:t xml:space="preserve"> </w:t>
      </w:r>
    </w:p>
    <w:p w14:paraId="42C4F23C" w14:textId="4CE22EE9" w:rsidR="00E23C0C" w:rsidRPr="002C4AA8" w:rsidRDefault="00E23C0C" w:rsidP="00E23C0C">
      <w:pPr>
        <w:pStyle w:val="Heading2"/>
        <w:rPr>
          <w:rStyle w:val="FontStyle52"/>
          <w:b/>
          <w:bCs w:val="0"/>
        </w:rPr>
      </w:pPr>
      <w:r>
        <w:rPr>
          <w:rStyle w:val="FontStyle52"/>
          <w:b/>
          <w:bCs w:val="0"/>
        </w:rPr>
        <w:t xml:space="preserve">Suspension of provision by </w:t>
      </w:r>
      <w:r w:rsidR="00E46E35">
        <w:rPr>
          <w:rStyle w:val="FontStyle52"/>
          <w:b/>
          <w:bCs w:val="0"/>
        </w:rPr>
        <w:t>balance responsible party a balanced position at the end of day-ahead timeframe</w:t>
      </w:r>
    </w:p>
    <w:p w14:paraId="188DC589" w14:textId="06E21E81" w:rsidR="00E23C0C" w:rsidRPr="009F64F7" w:rsidRDefault="00E23C0C" w:rsidP="001C6720">
      <w:pPr>
        <w:pStyle w:val="Heading3"/>
        <w:numPr>
          <w:ilvl w:val="0"/>
          <w:numId w:val="8"/>
        </w:numPr>
        <w:rPr>
          <w:rStyle w:val="FontStyle56"/>
          <w:sz w:val="22"/>
          <w:szCs w:val="22"/>
        </w:rPr>
      </w:pPr>
      <w:r w:rsidRPr="009F64F7">
        <w:rPr>
          <w:szCs w:val="22"/>
        </w:rPr>
        <w:t xml:space="preserve">Pursuant to Article 35(2) </w:t>
      </w:r>
      <w:r w:rsidR="00E46E35">
        <w:rPr>
          <w:szCs w:val="22"/>
        </w:rPr>
        <w:t>(c</w:t>
      </w:r>
      <w:r w:rsidRPr="009F64F7">
        <w:rPr>
          <w:szCs w:val="22"/>
        </w:rPr>
        <w:t xml:space="preserve">) of </w:t>
      </w:r>
      <w:r w:rsidRPr="009F64F7">
        <w:rPr>
          <w:rStyle w:val="FontStyle56"/>
          <w:sz w:val="22"/>
        </w:rPr>
        <w:t xml:space="preserve">Regulation 2017/2196 </w:t>
      </w:r>
      <w:r w:rsidRPr="009F64F7">
        <w:rPr>
          <w:szCs w:val="22"/>
        </w:rPr>
        <w:t xml:space="preserve">TSO may temporarily suspend </w:t>
      </w:r>
      <w:r w:rsidR="00D13AD9" w:rsidRPr="00D13AD9">
        <w:rPr>
          <w:szCs w:val="22"/>
        </w:rPr>
        <w:t>provision by a balance responsible party of a balanced position at the end of the day-ahead timeframe if required by the terms and conditions related to balancing</w:t>
      </w:r>
      <w:r>
        <w:rPr>
          <w:szCs w:val="22"/>
        </w:rPr>
        <w:t>.</w:t>
      </w:r>
    </w:p>
    <w:p w14:paraId="11DFD52A" w14:textId="41245418" w:rsidR="00E23C0C" w:rsidRDefault="00E23C0C" w:rsidP="001C6720">
      <w:pPr>
        <w:pStyle w:val="Heading3"/>
        <w:numPr>
          <w:ilvl w:val="0"/>
          <w:numId w:val="8"/>
        </w:numPr>
        <w:rPr>
          <w:szCs w:val="22"/>
        </w:rPr>
      </w:pPr>
      <w:r w:rsidRPr="0028499E">
        <w:rPr>
          <w:rStyle w:val="FontStyle56"/>
          <w:sz w:val="22"/>
          <w:szCs w:val="22"/>
        </w:rPr>
        <w:t xml:space="preserve">Elering </w:t>
      </w:r>
      <w:r w:rsidR="00ED1EB6">
        <w:rPr>
          <w:rStyle w:val="FontStyle56"/>
          <w:sz w:val="22"/>
          <w:szCs w:val="22"/>
        </w:rPr>
        <w:t xml:space="preserve">does not require in terms and conditions related to balancing developed pursuant to Article 18 of Commission Regulation (EU) 2017/2195 </w:t>
      </w:r>
      <w:r w:rsidR="00ED1EB6" w:rsidRPr="00D13AD9">
        <w:rPr>
          <w:szCs w:val="22"/>
        </w:rPr>
        <w:t>provision by a balance responsible party of a balanced position at the</w:t>
      </w:r>
      <w:r w:rsidR="00ED1EB6">
        <w:rPr>
          <w:szCs w:val="22"/>
        </w:rPr>
        <w:t xml:space="preserve"> end of the day-ahead timeframe.</w:t>
      </w:r>
    </w:p>
    <w:p w14:paraId="29BAED91" w14:textId="77777777" w:rsidR="00D04A22" w:rsidRPr="00D04A22" w:rsidRDefault="00D04A22" w:rsidP="00D04A22">
      <w:pPr>
        <w:rPr>
          <w:lang w:val="en-GB" w:eastAsia="et-EE"/>
        </w:rPr>
      </w:pPr>
    </w:p>
    <w:p w14:paraId="610F2368" w14:textId="21C3D25D" w:rsidR="00D04A22" w:rsidRPr="002C4AA8" w:rsidRDefault="00D04A22" w:rsidP="00D04A22">
      <w:pPr>
        <w:pStyle w:val="Heading2"/>
        <w:rPr>
          <w:rStyle w:val="FontStyle52"/>
          <w:b/>
          <w:bCs w:val="0"/>
        </w:rPr>
      </w:pPr>
      <w:r>
        <w:rPr>
          <w:rStyle w:val="FontStyle52"/>
          <w:b/>
          <w:bCs w:val="0"/>
        </w:rPr>
        <w:t>Article 6</w:t>
      </w:r>
      <w:r w:rsidRPr="002C4AA8">
        <w:rPr>
          <w:rStyle w:val="FontStyle52"/>
          <w:b/>
          <w:bCs w:val="0"/>
        </w:rPr>
        <w:t xml:space="preserve"> </w:t>
      </w:r>
    </w:p>
    <w:p w14:paraId="1CCE4498" w14:textId="48C00C50" w:rsidR="00D04A22" w:rsidRPr="002C4AA8" w:rsidRDefault="00D04A22" w:rsidP="00D04A22">
      <w:pPr>
        <w:pStyle w:val="Heading2"/>
        <w:rPr>
          <w:rStyle w:val="FontStyle52"/>
          <w:b/>
          <w:bCs w:val="0"/>
        </w:rPr>
      </w:pPr>
      <w:r>
        <w:rPr>
          <w:rStyle w:val="FontStyle52"/>
          <w:b/>
          <w:bCs w:val="0"/>
        </w:rPr>
        <w:t>Suspension of the provision of modifications of the position of balance responsible parties</w:t>
      </w:r>
    </w:p>
    <w:p w14:paraId="302A3FB4" w14:textId="09D25552" w:rsidR="00D04A22" w:rsidRPr="00D04A22" w:rsidRDefault="00D04A22" w:rsidP="001C6720">
      <w:pPr>
        <w:pStyle w:val="Heading3"/>
        <w:numPr>
          <w:ilvl w:val="0"/>
          <w:numId w:val="9"/>
        </w:numPr>
        <w:rPr>
          <w:rStyle w:val="FontStyle56"/>
          <w:sz w:val="22"/>
          <w:szCs w:val="22"/>
        </w:rPr>
      </w:pPr>
      <w:r w:rsidRPr="00D04A22">
        <w:rPr>
          <w:szCs w:val="22"/>
        </w:rPr>
        <w:t xml:space="preserve">Pursuant to Article 35(2) </w:t>
      </w:r>
      <w:r>
        <w:rPr>
          <w:szCs w:val="22"/>
        </w:rPr>
        <w:t>(d</w:t>
      </w:r>
      <w:r w:rsidRPr="00D04A22">
        <w:rPr>
          <w:szCs w:val="22"/>
        </w:rPr>
        <w:t xml:space="preserve">) of </w:t>
      </w:r>
      <w:r w:rsidRPr="00D04A22">
        <w:rPr>
          <w:rStyle w:val="FontStyle56"/>
          <w:sz w:val="22"/>
        </w:rPr>
        <w:t xml:space="preserve">Regulation 2017/2196 </w:t>
      </w:r>
      <w:r w:rsidRPr="00D04A22">
        <w:rPr>
          <w:szCs w:val="22"/>
        </w:rPr>
        <w:t xml:space="preserve">TSO may temporarily suspend the provision </w:t>
      </w:r>
      <w:r w:rsidR="00232489" w:rsidRPr="00232489">
        <w:rPr>
          <w:szCs w:val="22"/>
        </w:rPr>
        <w:t>of modifications of the position of balance responsible parties</w:t>
      </w:r>
      <w:r w:rsidRPr="00D04A22">
        <w:rPr>
          <w:szCs w:val="22"/>
        </w:rPr>
        <w:t>.</w:t>
      </w:r>
    </w:p>
    <w:p w14:paraId="5FDAB6FA" w14:textId="4DD4C473" w:rsidR="00D04A22" w:rsidRDefault="00232489" w:rsidP="001C6720">
      <w:pPr>
        <w:pStyle w:val="Heading3"/>
        <w:numPr>
          <w:ilvl w:val="0"/>
          <w:numId w:val="9"/>
        </w:numPr>
        <w:rPr>
          <w:rStyle w:val="FontStyle56"/>
          <w:sz w:val="22"/>
        </w:rPr>
      </w:pPr>
      <w:r w:rsidRPr="0028499E">
        <w:rPr>
          <w:rStyle w:val="FontStyle56"/>
          <w:sz w:val="22"/>
          <w:szCs w:val="22"/>
        </w:rPr>
        <w:t xml:space="preserve">Elering </w:t>
      </w:r>
      <w:r>
        <w:rPr>
          <w:rStyle w:val="FontStyle56"/>
          <w:sz w:val="22"/>
          <w:szCs w:val="22"/>
        </w:rPr>
        <w:t xml:space="preserve">does not require in terms and conditions related to balancing developed pursuant to Article 18 of Commission Regulation (EU) 2017/2195 </w:t>
      </w:r>
      <w:r>
        <w:rPr>
          <w:szCs w:val="22"/>
        </w:rPr>
        <w:t>provision of modifications of the position of balance responsible parties</w:t>
      </w:r>
      <w:r w:rsidRPr="00D13AD9">
        <w:rPr>
          <w:szCs w:val="22"/>
        </w:rPr>
        <w:t xml:space="preserve"> at the</w:t>
      </w:r>
      <w:r>
        <w:rPr>
          <w:szCs w:val="22"/>
        </w:rPr>
        <w:t xml:space="preserve"> end of the day-ahead timeframe</w:t>
      </w:r>
      <w:r w:rsidR="00D04A22">
        <w:rPr>
          <w:rStyle w:val="FontStyle56"/>
          <w:sz w:val="22"/>
        </w:rPr>
        <w:t>.</w:t>
      </w:r>
    </w:p>
    <w:p w14:paraId="76814A23" w14:textId="77777777" w:rsidR="008A6AA1" w:rsidRPr="008A6AA1" w:rsidRDefault="008A6AA1" w:rsidP="008A6AA1">
      <w:pPr>
        <w:rPr>
          <w:lang w:val="en-GB" w:eastAsia="et-EE"/>
        </w:rPr>
      </w:pPr>
    </w:p>
    <w:p w14:paraId="6DAF1F5D" w14:textId="179D5F8C" w:rsidR="008A6AA1" w:rsidRPr="002C4AA8" w:rsidRDefault="008A6AA1" w:rsidP="008A6AA1">
      <w:pPr>
        <w:pStyle w:val="Heading2"/>
        <w:rPr>
          <w:rStyle w:val="FontStyle52"/>
          <w:b/>
          <w:bCs w:val="0"/>
        </w:rPr>
      </w:pPr>
      <w:r>
        <w:rPr>
          <w:rStyle w:val="FontStyle52"/>
          <w:b/>
          <w:bCs w:val="0"/>
        </w:rPr>
        <w:t>Article 7</w:t>
      </w:r>
      <w:r w:rsidRPr="002C4AA8">
        <w:rPr>
          <w:rStyle w:val="FontStyle52"/>
          <w:b/>
          <w:bCs w:val="0"/>
        </w:rPr>
        <w:t xml:space="preserve"> </w:t>
      </w:r>
    </w:p>
    <w:p w14:paraId="72532BCB" w14:textId="76DE5F61" w:rsidR="008A6AA1" w:rsidRPr="002C4AA8" w:rsidRDefault="008A6AA1" w:rsidP="008A6AA1">
      <w:pPr>
        <w:pStyle w:val="Heading2"/>
        <w:rPr>
          <w:rStyle w:val="FontStyle52"/>
          <w:b/>
          <w:bCs w:val="0"/>
        </w:rPr>
      </w:pPr>
      <w:r>
        <w:rPr>
          <w:rStyle w:val="FontStyle52"/>
          <w:b/>
          <w:bCs w:val="0"/>
        </w:rPr>
        <w:t>Suspension of the provision of schedules</w:t>
      </w:r>
    </w:p>
    <w:p w14:paraId="7BC3F212" w14:textId="2BD47C3F" w:rsidR="008A6AA1" w:rsidRPr="008A6AA1" w:rsidRDefault="008A6AA1" w:rsidP="001C6720">
      <w:pPr>
        <w:pStyle w:val="Heading3"/>
        <w:numPr>
          <w:ilvl w:val="0"/>
          <w:numId w:val="10"/>
        </w:numPr>
        <w:rPr>
          <w:rStyle w:val="FontStyle56"/>
          <w:sz w:val="22"/>
          <w:szCs w:val="22"/>
        </w:rPr>
      </w:pPr>
      <w:r w:rsidRPr="008A6AA1">
        <w:rPr>
          <w:szCs w:val="22"/>
        </w:rPr>
        <w:t xml:space="preserve">Pursuant to Article 35(2) </w:t>
      </w:r>
      <w:r>
        <w:rPr>
          <w:szCs w:val="22"/>
        </w:rPr>
        <w:t>(e</w:t>
      </w:r>
      <w:r w:rsidRPr="008A6AA1">
        <w:rPr>
          <w:szCs w:val="22"/>
        </w:rPr>
        <w:t xml:space="preserve">) of </w:t>
      </w:r>
      <w:r w:rsidRPr="008A6AA1">
        <w:rPr>
          <w:rStyle w:val="FontStyle56"/>
          <w:sz w:val="22"/>
        </w:rPr>
        <w:t xml:space="preserve">Regulation 2017/2196 </w:t>
      </w:r>
      <w:r w:rsidRPr="008A6AA1">
        <w:rPr>
          <w:szCs w:val="22"/>
        </w:rPr>
        <w:t xml:space="preserve">TSO may temporarily suspend the provision of schedules referred to in Article 111(1) and (2) of </w:t>
      </w:r>
      <w:r w:rsidR="00A80B18">
        <w:rPr>
          <w:szCs w:val="22"/>
        </w:rPr>
        <w:t xml:space="preserve">Commission </w:t>
      </w:r>
      <w:r w:rsidRPr="008A6AA1">
        <w:rPr>
          <w:szCs w:val="22"/>
        </w:rPr>
        <w:t>Regulation (EU) 2017/1485.</w:t>
      </w:r>
    </w:p>
    <w:p w14:paraId="272A88F6" w14:textId="7037DD28" w:rsidR="008A6AA1" w:rsidRDefault="008A6AA1" w:rsidP="001C6720">
      <w:pPr>
        <w:pStyle w:val="Heading3"/>
        <w:numPr>
          <w:ilvl w:val="0"/>
          <w:numId w:val="10"/>
        </w:numPr>
        <w:rPr>
          <w:rStyle w:val="FontStyle56"/>
          <w:sz w:val="22"/>
          <w:szCs w:val="22"/>
        </w:rPr>
      </w:pPr>
      <w:r w:rsidRPr="0028499E">
        <w:rPr>
          <w:rStyle w:val="FontStyle56"/>
          <w:sz w:val="22"/>
          <w:szCs w:val="22"/>
        </w:rPr>
        <w:t xml:space="preserve">Elering shall not suspend provision </w:t>
      </w:r>
      <w:r w:rsidR="00A80B18" w:rsidRPr="008A6AA1">
        <w:rPr>
          <w:szCs w:val="22"/>
        </w:rPr>
        <w:t xml:space="preserve">of schedules referred to in Article 111(1) and (2) of </w:t>
      </w:r>
      <w:r w:rsidR="00A80B18">
        <w:rPr>
          <w:szCs w:val="22"/>
        </w:rPr>
        <w:t xml:space="preserve">Commission </w:t>
      </w:r>
      <w:r w:rsidR="00A80B18" w:rsidRPr="008A6AA1">
        <w:rPr>
          <w:szCs w:val="22"/>
        </w:rPr>
        <w:t>Regulation (EU) 2017/1485</w:t>
      </w:r>
      <w:r w:rsidRPr="0028499E">
        <w:rPr>
          <w:rStyle w:val="FontStyle56"/>
          <w:sz w:val="22"/>
          <w:szCs w:val="22"/>
        </w:rPr>
        <w:t xml:space="preserve"> pursuant to Article </w:t>
      </w:r>
      <w:r w:rsidRPr="0028499E">
        <w:rPr>
          <w:szCs w:val="22"/>
        </w:rPr>
        <w:t xml:space="preserve">35(2) </w:t>
      </w:r>
      <w:r w:rsidR="00FA2B8D">
        <w:rPr>
          <w:szCs w:val="22"/>
        </w:rPr>
        <w:t>(e</w:t>
      </w:r>
      <w:r w:rsidRPr="0028499E">
        <w:rPr>
          <w:szCs w:val="22"/>
        </w:rPr>
        <w:t xml:space="preserve">) of </w:t>
      </w:r>
      <w:r w:rsidRPr="0028499E">
        <w:rPr>
          <w:rStyle w:val="FontStyle56"/>
          <w:sz w:val="22"/>
        </w:rPr>
        <w:t>Regulation 2017/2196</w:t>
      </w:r>
      <w:r>
        <w:rPr>
          <w:rStyle w:val="FontStyle56"/>
          <w:sz w:val="22"/>
        </w:rPr>
        <w:t>.</w:t>
      </w:r>
    </w:p>
    <w:p w14:paraId="25D518EA" w14:textId="35974ACE" w:rsidR="008A6AA1" w:rsidRDefault="00A80B18" w:rsidP="001C6720">
      <w:pPr>
        <w:pStyle w:val="Heading3"/>
        <w:numPr>
          <w:ilvl w:val="0"/>
          <w:numId w:val="10"/>
        </w:numPr>
        <w:rPr>
          <w:rStyle w:val="FontStyle56"/>
          <w:sz w:val="22"/>
        </w:rPr>
      </w:pPr>
      <w:r w:rsidRPr="00A80B18">
        <w:rPr>
          <w:rStyle w:val="FontStyle56"/>
          <w:sz w:val="22"/>
        </w:rPr>
        <w:t>W</w:t>
      </w:r>
      <w:r>
        <w:rPr>
          <w:rStyle w:val="FontStyle56"/>
          <w:sz w:val="22"/>
        </w:rPr>
        <w:t>here balance responsible parties</w:t>
      </w:r>
      <w:r w:rsidRPr="00A80B18">
        <w:rPr>
          <w:rStyle w:val="FontStyle56"/>
          <w:sz w:val="22"/>
        </w:rPr>
        <w:t xml:space="preserve"> are unable to submit </w:t>
      </w:r>
      <w:r w:rsidRPr="008A6AA1">
        <w:rPr>
          <w:szCs w:val="22"/>
        </w:rPr>
        <w:t xml:space="preserve">schedules referred to in Article 111(1) and (2) of </w:t>
      </w:r>
      <w:r>
        <w:rPr>
          <w:szCs w:val="22"/>
        </w:rPr>
        <w:t xml:space="preserve">Commission </w:t>
      </w:r>
      <w:r w:rsidRPr="008A6AA1">
        <w:rPr>
          <w:szCs w:val="22"/>
        </w:rPr>
        <w:t>Regulation (EU) 2017/1485</w:t>
      </w:r>
      <w:r w:rsidRPr="00A80B18">
        <w:rPr>
          <w:rStyle w:val="FontStyle56"/>
          <w:sz w:val="22"/>
        </w:rPr>
        <w:t xml:space="preserve"> for reasons outside their control, the consequences are </w:t>
      </w:r>
      <w:r w:rsidRPr="00A80B18">
        <w:rPr>
          <w:rStyle w:val="FontStyle56"/>
          <w:sz w:val="22"/>
        </w:rPr>
        <w:lastRenderedPageBreak/>
        <w:t>as defined in the terms and conditions for balance service providers in accordance with Article 18(5) (k) of Commission Regulation (EU) 2017/2195</w:t>
      </w:r>
      <w:r w:rsidR="00B943FA">
        <w:rPr>
          <w:rStyle w:val="FontStyle56"/>
          <w:sz w:val="22"/>
        </w:rPr>
        <w:t>.</w:t>
      </w:r>
    </w:p>
    <w:p w14:paraId="081D8686" w14:textId="77777777" w:rsidR="00FA2B8D" w:rsidRPr="00FA2B8D" w:rsidRDefault="00FA2B8D" w:rsidP="00FA2B8D">
      <w:pPr>
        <w:rPr>
          <w:lang w:val="en-GB" w:eastAsia="et-EE"/>
        </w:rPr>
      </w:pPr>
    </w:p>
    <w:p w14:paraId="0F3BA00B" w14:textId="023DF3DB" w:rsidR="00FA2B8D" w:rsidRPr="002C4AA8" w:rsidRDefault="00FA2B8D" w:rsidP="00FA2B8D">
      <w:pPr>
        <w:pStyle w:val="Heading2"/>
        <w:rPr>
          <w:rStyle w:val="FontStyle52"/>
          <w:b/>
          <w:bCs w:val="0"/>
        </w:rPr>
      </w:pPr>
      <w:r>
        <w:rPr>
          <w:rStyle w:val="FontStyle52"/>
          <w:b/>
          <w:bCs w:val="0"/>
        </w:rPr>
        <w:t>Article 8</w:t>
      </w:r>
      <w:r w:rsidRPr="002C4AA8">
        <w:rPr>
          <w:rStyle w:val="FontStyle52"/>
          <w:b/>
          <w:bCs w:val="0"/>
        </w:rPr>
        <w:t xml:space="preserve"> </w:t>
      </w:r>
    </w:p>
    <w:p w14:paraId="7D777B91" w14:textId="21DAD197" w:rsidR="00FA2B8D" w:rsidRPr="002C4AA8" w:rsidRDefault="00FA2B8D" w:rsidP="00FA2B8D">
      <w:pPr>
        <w:pStyle w:val="Heading2"/>
        <w:rPr>
          <w:rStyle w:val="FontStyle52"/>
          <w:b/>
          <w:bCs w:val="0"/>
        </w:rPr>
      </w:pPr>
      <w:r>
        <w:rPr>
          <w:rStyle w:val="FontStyle52"/>
          <w:b/>
          <w:bCs w:val="0"/>
        </w:rPr>
        <w:t>Suspension of other relevant market activities</w:t>
      </w:r>
    </w:p>
    <w:p w14:paraId="6BCC6501" w14:textId="1A4219A2" w:rsidR="00FA2B8D" w:rsidRPr="00D04A22" w:rsidRDefault="00FA2B8D" w:rsidP="001C6720">
      <w:pPr>
        <w:pStyle w:val="Heading3"/>
        <w:numPr>
          <w:ilvl w:val="0"/>
          <w:numId w:val="11"/>
        </w:numPr>
        <w:rPr>
          <w:rStyle w:val="FontStyle56"/>
          <w:sz w:val="22"/>
          <w:szCs w:val="22"/>
        </w:rPr>
      </w:pPr>
      <w:r w:rsidRPr="00D04A22">
        <w:rPr>
          <w:szCs w:val="22"/>
        </w:rPr>
        <w:t xml:space="preserve">Pursuant to Article 35(2) </w:t>
      </w:r>
      <w:r>
        <w:rPr>
          <w:szCs w:val="22"/>
        </w:rPr>
        <w:t>(f</w:t>
      </w:r>
      <w:r w:rsidRPr="00D04A22">
        <w:rPr>
          <w:szCs w:val="22"/>
        </w:rPr>
        <w:t xml:space="preserve">) of </w:t>
      </w:r>
      <w:r w:rsidRPr="00D04A22">
        <w:rPr>
          <w:rStyle w:val="FontStyle56"/>
          <w:sz w:val="22"/>
        </w:rPr>
        <w:t xml:space="preserve">Regulation 2017/2196 </w:t>
      </w:r>
      <w:r w:rsidRPr="00D04A22">
        <w:rPr>
          <w:szCs w:val="22"/>
        </w:rPr>
        <w:t xml:space="preserve">TSO may temporarily suspend </w:t>
      </w:r>
      <w:r w:rsidRPr="00FA2B8D">
        <w:rPr>
          <w:szCs w:val="22"/>
        </w:rPr>
        <w:t>other relevant market activities the suspension of which is deemed necessary to preserve and/or restore the system</w:t>
      </w:r>
      <w:r>
        <w:rPr>
          <w:szCs w:val="22"/>
        </w:rPr>
        <w:t>.</w:t>
      </w:r>
    </w:p>
    <w:p w14:paraId="1B4BD6F8" w14:textId="390DC0D5" w:rsidR="00FA2B8D" w:rsidRDefault="00FA2B8D" w:rsidP="001C6720">
      <w:pPr>
        <w:pStyle w:val="Heading3"/>
        <w:numPr>
          <w:ilvl w:val="0"/>
          <w:numId w:val="11"/>
        </w:numPr>
        <w:rPr>
          <w:rStyle w:val="FontStyle56"/>
          <w:sz w:val="22"/>
          <w:szCs w:val="22"/>
        </w:rPr>
      </w:pPr>
      <w:r w:rsidRPr="0028499E">
        <w:rPr>
          <w:rStyle w:val="FontStyle56"/>
          <w:sz w:val="22"/>
          <w:szCs w:val="22"/>
        </w:rPr>
        <w:t xml:space="preserve">Elering </w:t>
      </w:r>
      <w:r>
        <w:rPr>
          <w:rStyle w:val="FontStyle56"/>
          <w:sz w:val="22"/>
          <w:szCs w:val="22"/>
        </w:rPr>
        <w:t xml:space="preserve">has not identified other relevant market activities suspension of which is deemed necessary </w:t>
      </w:r>
      <w:r w:rsidRPr="00FA2B8D">
        <w:rPr>
          <w:rStyle w:val="FontStyle56"/>
          <w:sz w:val="22"/>
          <w:szCs w:val="22"/>
        </w:rPr>
        <w:t>to preserve and/or restore the system</w:t>
      </w:r>
      <w:r>
        <w:rPr>
          <w:rStyle w:val="FontStyle56"/>
          <w:sz w:val="22"/>
          <w:szCs w:val="22"/>
        </w:rPr>
        <w:t>.</w:t>
      </w:r>
    </w:p>
    <w:p w14:paraId="5FAB7BB3" w14:textId="77777777" w:rsidR="00554775" w:rsidRPr="00554775" w:rsidRDefault="00554775" w:rsidP="00554775">
      <w:pPr>
        <w:rPr>
          <w:lang w:val="en-GB" w:eastAsia="et-EE"/>
        </w:rPr>
      </w:pPr>
    </w:p>
    <w:p w14:paraId="16AC353F" w14:textId="28E6D187" w:rsidR="00554775" w:rsidRPr="002C4AA8" w:rsidRDefault="00554775" w:rsidP="00554775">
      <w:pPr>
        <w:pStyle w:val="Heading2"/>
        <w:rPr>
          <w:rStyle w:val="FontStyle52"/>
          <w:b/>
          <w:bCs w:val="0"/>
        </w:rPr>
      </w:pPr>
      <w:r>
        <w:rPr>
          <w:rStyle w:val="FontStyle52"/>
          <w:b/>
          <w:bCs w:val="0"/>
        </w:rPr>
        <w:t>Article 9</w:t>
      </w:r>
      <w:r w:rsidRPr="002C4AA8">
        <w:rPr>
          <w:rStyle w:val="FontStyle52"/>
          <w:b/>
          <w:bCs w:val="0"/>
        </w:rPr>
        <w:t xml:space="preserve"> </w:t>
      </w:r>
    </w:p>
    <w:p w14:paraId="67836EBA" w14:textId="42199740" w:rsidR="00554775" w:rsidRPr="002C4AA8" w:rsidRDefault="00554775" w:rsidP="00554775">
      <w:pPr>
        <w:pStyle w:val="Heading2"/>
        <w:rPr>
          <w:rStyle w:val="FontStyle52"/>
          <w:b/>
          <w:bCs w:val="0"/>
        </w:rPr>
      </w:pPr>
      <w:r>
        <w:rPr>
          <w:rStyle w:val="FontStyle52"/>
          <w:b/>
          <w:bCs w:val="0"/>
        </w:rPr>
        <w:t>Rules for settlement in case of suspension of market activities</w:t>
      </w:r>
    </w:p>
    <w:p w14:paraId="383BC24B" w14:textId="5D83B471" w:rsidR="00554775" w:rsidRDefault="00E73601" w:rsidP="001C6720">
      <w:pPr>
        <w:pStyle w:val="Heading3"/>
        <w:numPr>
          <w:ilvl w:val="0"/>
          <w:numId w:val="12"/>
        </w:numPr>
        <w:rPr>
          <w:szCs w:val="22"/>
        </w:rPr>
      </w:pPr>
      <w:r>
        <w:rPr>
          <w:szCs w:val="22"/>
        </w:rPr>
        <w:t>Elering shall apply same rules for imbalance settlement and settlement of balancing capacity and balancing energy as for normal operation.</w:t>
      </w:r>
    </w:p>
    <w:p w14:paraId="20AE2C4B" w14:textId="77777777" w:rsidR="00985E4E" w:rsidRPr="00985E4E" w:rsidRDefault="00985E4E" w:rsidP="00985E4E">
      <w:pPr>
        <w:rPr>
          <w:lang w:val="en-GB" w:eastAsia="et-EE"/>
        </w:rPr>
      </w:pPr>
    </w:p>
    <w:p w14:paraId="496D55A2" w14:textId="28EF22C9" w:rsidR="00985E4E" w:rsidRPr="002C4AA8" w:rsidRDefault="00985E4E" w:rsidP="00985E4E">
      <w:pPr>
        <w:pStyle w:val="Heading2"/>
        <w:rPr>
          <w:rStyle w:val="FontStyle52"/>
          <w:b/>
          <w:bCs w:val="0"/>
        </w:rPr>
      </w:pPr>
      <w:r>
        <w:rPr>
          <w:rStyle w:val="FontStyle52"/>
          <w:b/>
          <w:bCs w:val="0"/>
        </w:rPr>
        <w:t>Article 10</w:t>
      </w:r>
      <w:r w:rsidRPr="002C4AA8">
        <w:rPr>
          <w:rStyle w:val="FontStyle52"/>
          <w:b/>
          <w:bCs w:val="0"/>
        </w:rPr>
        <w:t xml:space="preserve"> </w:t>
      </w:r>
    </w:p>
    <w:p w14:paraId="027AFC60" w14:textId="15B1F434" w:rsidR="00985E4E" w:rsidRPr="002C4AA8" w:rsidRDefault="00985E4E" w:rsidP="00985E4E">
      <w:pPr>
        <w:pStyle w:val="Heading2"/>
        <w:rPr>
          <w:rStyle w:val="FontStyle52"/>
          <w:b/>
          <w:bCs w:val="0"/>
        </w:rPr>
      </w:pPr>
      <w:r>
        <w:rPr>
          <w:rStyle w:val="FontStyle52"/>
          <w:b/>
          <w:bCs w:val="0"/>
        </w:rPr>
        <w:t>Implementation</w:t>
      </w:r>
    </w:p>
    <w:p w14:paraId="43309E28" w14:textId="14660542" w:rsidR="00985E4E" w:rsidRDefault="00985E4E" w:rsidP="001C6720">
      <w:pPr>
        <w:pStyle w:val="Heading3"/>
        <w:numPr>
          <w:ilvl w:val="0"/>
          <w:numId w:val="13"/>
        </w:numPr>
        <w:rPr>
          <w:szCs w:val="22"/>
        </w:rPr>
      </w:pPr>
      <w:r>
        <w:t>Elering</w:t>
      </w:r>
      <w:r w:rsidRPr="00FB46F8">
        <w:t xml:space="preserve"> shall implement these Rules no later than 12 (twelve) months after approval by the </w:t>
      </w:r>
      <w:r>
        <w:t>competent Estonian regulatory authority</w:t>
      </w:r>
      <w:r>
        <w:rPr>
          <w:szCs w:val="22"/>
        </w:rPr>
        <w:t>.</w:t>
      </w:r>
    </w:p>
    <w:p w14:paraId="133CD7EB" w14:textId="55544C88" w:rsidR="00891ED3" w:rsidRPr="004C0105" w:rsidRDefault="00891ED3" w:rsidP="00985E4E">
      <w:pPr>
        <w:pStyle w:val="Style20"/>
        <w:widowControl/>
        <w:tabs>
          <w:tab w:val="left" w:pos="1430"/>
        </w:tabs>
        <w:spacing w:line="278" w:lineRule="exact"/>
        <w:ind w:firstLine="0"/>
        <w:rPr>
          <w:rFonts w:ascii="Times New Roman" w:hAnsi="Times New Roman" w:cs="Times New Roman"/>
          <w:sz w:val="22"/>
          <w:szCs w:val="20"/>
          <w:lang w:val="en-GB"/>
        </w:rPr>
      </w:pPr>
      <w:bookmarkStart w:id="38" w:name="_Toc507743923"/>
      <w:bookmarkEnd w:id="28"/>
      <w:bookmarkEnd w:id="29"/>
      <w:bookmarkEnd w:id="30"/>
      <w:bookmarkEnd w:id="31"/>
      <w:bookmarkEnd w:id="32"/>
      <w:bookmarkEnd w:id="33"/>
      <w:bookmarkEnd w:id="34"/>
      <w:bookmarkEnd w:id="35"/>
      <w:bookmarkEnd w:id="36"/>
    </w:p>
    <w:p w14:paraId="21E6C8AF" w14:textId="6BCA3DAC" w:rsidR="004C0105" w:rsidRPr="004C0105" w:rsidRDefault="004C0105" w:rsidP="004C0105">
      <w:pPr>
        <w:pStyle w:val="Heading2"/>
        <w:rPr>
          <w:rStyle w:val="FontStyle52"/>
          <w:b/>
          <w:bCs w:val="0"/>
        </w:rPr>
      </w:pPr>
      <w:r w:rsidRPr="004C0105">
        <w:rPr>
          <w:rStyle w:val="FontStyle52"/>
          <w:b/>
          <w:bCs w:val="0"/>
        </w:rPr>
        <w:t>Article 11</w:t>
      </w:r>
    </w:p>
    <w:p w14:paraId="2DAD9DBE" w14:textId="108D5DC5" w:rsidR="004C0105" w:rsidRPr="004C0105" w:rsidRDefault="004C0105" w:rsidP="004C0105">
      <w:pPr>
        <w:pStyle w:val="Heading2"/>
        <w:rPr>
          <w:rStyle w:val="FontStyle52"/>
          <w:b/>
          <w:bCs w:val="0"/>
        </w:rPr>
      </w:pPr>
      <w:r w:rsidRPr="004C0105">
        <w:rPr>
          <w:rStyle w:val="FontStyle52"/>
          <w:b/>
          <w:bCs w:val="0"/>
        </w:rPr>
        <w:t>Language</w:t>
      </w:r>
    </w:p>
    <w:p w14:paraId="78895664" w14:textId="061D62AA" w:rsidR="004C0105" w:rsidRPr="004C0105" w:rsidRDefault="004C0105" w:rsidP="001C6720">
      <w:pPr>
        <w:pStyle w:val="Heading3"/>
        <w:numPr>
          <w:ilvl w:val="0"/>
          <w:numId w:val="14"/>
        </w:numPr>
        <w:rPr>
          <w:szCs w:val="22"/>
        </w:rPr>
      </w:pPr>
      <w:r w:rsidRPr="004C0105">
        <w:t>The reference language for these Rules shall be English. For the avoidance of doubt, where Elering need to translate these Rules to their national language(s), in the event of inconsistencies between the English version published by Elering in accordance with Article 36 of the Regulation 2017/2196 and any version in another language, the Elering shall, in accordance with national legislation, provide the relevant national regulatory authorities with an updated translation of the Rules</w:t>
      </w:r>
      <w:r w:rsidRPr="004C0105">
        <w:rPr>
          <w:szCs w:val="22"/>
        </w:rPr>
        <w:t>.</w:t>
      </w:r>
    </w:p>
    <w:bookmarkEnd w:id="37"/>
    <w:bookmarkEnd w:id="38"/>
    <w:p w14:paraId="20342026" w14:textId="77777777" w:rsidR="009A2615" w:rsidRPr="004C0105" w:rsidRDefault="009A2615" w:rsidP="00891ED3">
      <w:pPr>
        <w:pStyle w:val="Style20"/>
        <w:widowControl/>
        <w:tabs>
          <w:tab w:val="left" w:pos="1430"/>
        </w:tabs>
        <w:spacing w:line="278" w:lineRule="exact"/>
        <w:ind w:left="1430" w:firstLine="0"/>
        <w:rPr>
          <w:rFonts w:ascii="Times New Roman" w:hAnsi="Times New Roman" w:cs="Times New Roman"/>
          <w:sz w:val="22"/>
          <w:szCs w:val="20"/>
          <w:lang w:val="en-GB"/>
        </w:rPr>
      </w:pPr>
    </w:p>
    <w:sectPr w:rsidR="009A2615" w:rsidRPr="004C0105" w:rsidSect="003311C5">
      <w:headerReference w:type="default" r:id="rId8"/>
      <w:footerReference w:type="default" r:id="rId9"/>
      <w:pgSz w:w="11906" w:h="16838"/>
      <w:pgMar w:top="1418" w:right="1418"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A2332F" w16cid:durableId="1F8D397B"/>
  <w16cid:commentId w16cid:paraId="5D0B89FE" w16cid:durableId="1F8C0A6A"/>
  <w16cid:commentId w16cid:paraId="6F6D5031" w16cid:durableId="1F8D36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2B7AF" w14:textId="77777777" w:rsidR="000568F9" w:rsidRDefault="000568F9" w:rsidP="00226749">
      <w:pPr>
        <w:spacing w:after="0" w:line="240" w:lineRule="auto"/>
      </w:pPr>
      <w:r>
        <w:separator/>
      </w:r>
    </w:p>
  </w:endnote>
  <w:endnote w:type="continuationSeparator" w:id="0">
    <w:p w14:paraId="66003033" w14:textId="77777777" w:rsidR="000568F9" w:rsidRDefault="000568F9" w:rsidP="00226749">
      <w:pPr>
        <w:spacing w:after="0" w:line="240" w:lineRule="auto"/>
      </w:pPr>
      <w:r>
        <w:continuationSeparator/>
      </w:r>
    </w:p>
  </w:endnote>
  <w:endnote w:type="continuationNotice" w:id="1">
    <w:p w14:paraId="091DB810" w14:textId="77777777" w:rsidR="000568F9" w:rsidRDefault="000568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680612"/>
      <w:docPartObj>
        <w:docPartGallery w:val="Page Numbers (Bottom of Page)"/>
        <w:docPartUnique/>
      </w:docPartObj>
    </w:sdtPr>
    <w:sdtEndPr>
      <w:rPr>
        <w:noProof/>
      </w:rPr>
    </w:sdtEndPr>
    <w:sdtContent>
      <w:p w14:paraId="202AA3EC" w14:textId="1E36CE01" w:rsidR="00B627D3" w:rsidRDefault="00B627D3">
        <w:pPr>
          <w:pStyle w:val="Footer"/>
          <w:jc w:val="center"/>
        </w:pPr>
        <w:r>
          <w:fldChar w:fldCharType="begin"/>
        </w:r>
        <w:r>
          <w:instrText xml:space="preserve"> PAGE   \* MERGEFORMAT </w:instrText>
        </w:r>
        <w:r>
          <w:fldChar w:fldCharType="separate"/>
        </w:r>
        <w:r w:rsidR="00F668B2">
          <w:rPr>
            <w:noProof/>
          </w:rPr>
          <w:t>1</w:t>
        </w:r>
        <w:r>
          <w:rPr>
            <w:noProof/>
          </w:rPr>
          <w:fldChar w:fldCharType="end"/>
        </w:r>
      </w:p>
    </w:sdtContent>
  </w:sdt>
  <w:p w14:paraId="42A4C15B" w14:textId="0D08A83B" w:rsidR="00B05827" w:rsidRPr="003311C5" w:rsidRDefault="00B05827" w:rsidP="003311C5">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FEFA6" w14:textId="77777777" w:rsidR="000568F9" w:rsidRDefault="000568F9" w:rsidP="00226749">
      <w:pPr>
        <w:spacing w:after="0" w:line="240" w:lineRule="auto"/>
      </w:pPr>
      <w:r>
        <w:separator/>
      </w:r>
    </w:p>
  </w:footnote>
  <w:footnote w:type="continuationSeparator" w:id="0">
    <w:p w14:paraId="687F8486" w14:textId="77777777" w:rsidR="000568F9" w:rsidRDefault="000568F9" w:rsidP="00226749">
      <w:pPr>
        <w:spacing w:after="0" w:line="240" w:lineRule="auto"/>
      </w:pPr>
      <w:r>
        <w:continuationSeparator/>
      </w:r>
    </w:p>
  </w:footnote>
  <w:footnote w:type="continuationNotice" w:id="1">
    <w:p w14:paraId="083140A5" w14:textId="77777777" w:rsidR="000568F9" w:rsidRDefault="000568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98D7A" w14:textId="3BBE4A7B" w:rsidR="00B05827" w:rsidRDefault="00B05827" w:rsidP="002C4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56875"/>
    <w:multiLevelType w:val="multilevel"/>
    <w:tmpl w:val="522E1E46"/>
    <w:lvl w:ilvl="0">
      <w:start w:val="1"/>
      <w:numFmt w:val="decimal"/>
      <w:lvlText w:val="%1."/>
      <w:lvlJc w:val="left"/>
      <w:pPr>
        <w:ind w:left="142" w:firstLine="0"/>
      </w:pPr>
      <w:rPr>
        <w:rFonts w:hint="default"/>
      </w:rPr>
    </w:lvl>
    <w:lvl w:ilvl="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 w15:restartNumberingAfterBreak="0">
    <w:nsid w:val="11157FFD"/>
    <w:multiLevelType w:val="singleLevel"/>
    <w:tmpl w:val="A394EF3E"/>
    <w:lvl w:ilvl="0">
      <w:start w:val="1"/>
      <w:numFmt w:val="decimal"/>
      <w:lvlText w:val="(%1)"/>
      <w:legacy w:legacy="1" w:legacySpace="0" w:legacyIndent="710"/>
      <w:lvlJc w:val="left"/>
      <w:rPr>
        <w:rFonts w:ascii="Times New Roman" w:hAnsi="Times New Roman" w:cs="Times New Roman" w:hint="default"/>
      </w:rPr>
    </w:lvl>
  </w:abstractNum>
  <w:abstractNum w:abstractNumId="2" w15:restartNumberingAfterBreak="0">
    <w:nsid w:val="141A5B1F"/>
    <w:multiLevelType w:val="multilevel"/>
    <w:tmpl w:val="E7CAD01E"/>
    <w:lvl w:ilvl="0">
      <w:start w:val="1"/>
      <w:numFmt w:val="decimal"/>
      <w:lvlText w:val="%1."/>
      <w:lvlJc w:val="left"/>
      <w:pPr>
        <w:ind w:left="142" w:firstLine="0"/>
      </w:pPr>
      <w:rPr>
        <w:rFonts w:hint="default"/>
      </w:rPr>
    </w:lvl>
    <w:lvl w:ilvl="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3" w15:restartNumberingAfterBreak="0">
    <w:nsid w:val="230778F6"/>
    <w:multiLevelType w:val="multilevel"/>
    <w:tmpl w:val="522E1E46"/>
    <w:lvl w:ilvl="0">
      <w:start w:val="1"/>
      <w:numFmt w:val="decimal"/>
      <w:lvlText w:val="%1."/>
      <w:lvlJc w:val="left"/>
      <w:pPr>
        <w:ind w:left="142" w:firstLine="0"/>
      </w:pPr>
      <w:rPr>
        <w:rFonts w:hint="default"/>
      </w:rPr>
    </w:lvl>
    <w:lvl w:ilvl="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4" w15:restartNumberingAfterBreak="0">
    <w:nsid w:val="240B71CD"/>
    <w:multiLevelType w:val="multilevel"/>
    <w:tmpl w:val="4616387A"/>
    <w:lvl w:ilvl="0">
      <w:start w:val="1"/>
      <w:numFmt w:val="decimal"/>
      <w:lvlText w:val="%1."/>
      <w:lvlJc w:val="left"/>
      <w:pPr>
        <w:ind w:left="142" w:firstLine="0"/>
      </w:pPr>
      <w:rPr>
        <w:rFonts w:hint="default"/>
      </w:rPr>
    </w:lvl>
    <w:lvl w:ilvl="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5" w15:restartNumberingAfterBreak="0">
    <w:nsid w:val="243843DB"/>
    <w:multiLevelType w:val="hybridMultilevel"/>
    <w:tmpl w:val="4DE6F3D2"/>
    <w:lvl w:ilvl="0" w:tplc="041261E0">
      <w:start w:val="1"/>
      <w:numFmt w:val="lowerLetter"/>
      <w:pStyle w:val="Heading4"/>
      <w:lvlText w:val="%1)"/>
      <w:lvlJc w:val="left"/>
      <w:pPr>
        <w:ind w:left="1211" w:hanging="360"/>
      </w:pPr>
    </w:lvl>
    <w:lvl w:ilvl="1" w:tplc="E39EE9A2">
      <w:start w:val="65535"/>
      <w:numFmt w:val="bullet"/>
      <w:lvlText w:val="-"/>
      <w:lvlJc w:val="left"/>
      <w:pPr>
        <w:ind w:left="1931" w:hanging="360"/>
      </w:pPr>
      <w:rPr>
        <w:rFonts w:ascii="Times New Roman" w:hAnsi="Times New Roman" w:cs="Times New Roman" w:hint="default"/>
      </w:r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2BE06E51"/>
    <w:multiLevelType w:val="multilevel"/>
    <w:tmpl w:val="ED3A7B9E"/>
    <w:lvl w:ilvl="0">
      <w:start w:val="1"/>
      <w:numFmt w:val="decimal"/>
      <w:pStyle w:val="Heading3"/>
      <w:lvlText w:val="%1."/>
      <w:lvlJc w:val="left"/>
      <w:pPr>
        <w:ind w:left="142" w:firstLine="0"/>
      </w:pPr>
      <w:rPr>
        <w:rFonts w:ascii="Times New Roman" w:hAnsi="Times New Roman" w:cs="Times New Roman" w:hint="default"/>
      </w:rPr>
    </w:lvl>
    <w:lvl w:ilvl="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7" w15:restartNumberingAfterBreak="0">
    <w:nsid w:val="3FDC19ED"/>
    <w:multiLevelType w:val="multilevel"/>
    <w:tmpl w:val="522E1E46"/>
    <w:lvl w:ilvl="0">
      <w:start w:val="1"/>
      <w:numFmt w:val="decimal"/>
      <w:lvlText w:val="%1."/>
      <w:lvlJc w:val="left"/>
      <w:pPr>
        <w:ind w:left="142" w:firstLine="0"/>
      </w:pPr>
      <w:rPr>
        <w:rFonts w:hint="default"/>
      </w:rPr>
    </w:lvl>
    <w:lvl w:ilvl="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8" w15:restartNumberingAfterBreak="0">
    <w:nsid w:val="4AA56EA6"/>
    <w:multiLevelType w:val="multilevel"/>
    <w:tmpl w:val="522E1E46"/>
    <w:lvl w:ilvl="0">
      <w:start w:val="1"/>
      <w:numFmt w:val="decimal"/>
      <w:lvlText w:val="%1."/>
      <w:lvlJc w:val="left"/>
      <w:pPr>
        <w:ind w:left="142" w:firstLine="0"/>
      </w:pPr>
      <w:rPr>
        <w:rFonts w:hint="default"/>
      </w:rPr>
    </w:lvl>
    <w:lvl w:ilvl="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9" w15:restartNumberingAfterBreak="0">
    <w:nsid w:val="591E1BF8"/>
    <w:multiLevelType w:val="multilevel"/>
    <w:tmpl w:val="519E9A4E"/>
    <w:lvl w:ilvl="0">
      <w:start w:val="1"/>
      <w:numFmt w:val="decimal"/>
      <w:lvlText w:val="%1."/>
      <w:lvlJc w:val="left"/>
      <w:pPr>
        <w:ind w:left="142" w:firstLine="0"/>
      </w:pPr>
      <w:rPr>
        <w:rFonts w:hint="default"/>
      </w:rPr>
    </w:lvl>
    <w:lvl w:ilvl="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0" w15:restartNumberingAfterBreak="0">
    <w:nsid w:val="693034A4"/>
    <w:multiLevelType w:val="hybridMultilevel"/>
    <w:tmpl w:val="50649D1A"/>
    <w:lvl w:ilvl="0" w:tplc="04250017">
      <w:start w:val="1"/>
      <w:numFmt w:val="lowerLetter"/>
      <w:lvlText w:val="%1)"/>
      <w:lvlJc w:val="left"/>
      <w:pPr>
        <w:ind w:left="1211" w:hanging="360"/>
      </w:pPr>
    </w:lvl>
    <w:lvl w:ilvl="1" w:tplc="E39EE9A2">
      <w:start w:val="65535"/>
      <w:numFmt w:val="bullet"/>
      <w:lvlText w:val="-"/>
      <w:lvlJc w:val="left"/>
      <w:pPr>
        <w:ind w:left="1931" w:hanging="360"/>
      </w:pPr>
      <w:rPr>
        <w:rFonts w:ascii="Times New Roman" w:hAnsi="Times New Roman" w:cs="Times New Roman" w:hint="default"/>
      </w:r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B770DE0"/>
    <w:multiLevelType w:val="multilevel"/>
    <w:tmpl w:val="522E1E46"/>
    <w:lvl w:ilvl="0">
      <w:start w:val="1"/>
      <w:numFmt w:val="decimal"/>
      <w:lvlText w:val="%1."/>
      <w:lvlJc w:val="left"/>
      <w:pPr>
        <w:ind w:left="142" w:firstLine="0"/>
      </w:pPr>
      <w:rPr>
        <w:rFonts w:hint="default"/>
      </w:rPr>
    </w:lvl>
    <w:lvl w:ilvl="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num w:numId="1">
    <w:abstractNumId w:val="1"/>
  </w:num>
  <w:num w:numId="2">
    <w:abstractNumId w:val="6"/>
  </w:num>
  <w:num w:numId="3">
    <w:abstractNumId w:val="5"/>
  </w:num>
  <w:num w:numId="4">
    <w:abstractNumId w:val="6"/>
    <w:lvlOverride w:ilvl="0">
      <w:startOverride w:val="1"/>
    </w:lvlOverride>
  </w:num>
  <w:num w:numId="5">
    <w:abstractNumId w:val="6"/>
    <w:lvlOverride w:ilvl="0">
      <w:startOverride w:val="1"/>
    </w:lvlOverride>
  </w:num>
  <w:num w:numId="6">
    <w:abstractNumId w:val="10"/>
  </w:num>
  <w:num w:numId="7">
    <w:abstractNumId w:val="2"/>
  </w:num>
  <w:num w:numId="8">
    <w:abstractNumId w:val="9"/>
  </w:num>
  <w:num w:numId="9">
    <w:abstractNumId w:val="8"/>
  </w:num>
  <w:num w:numId="10">
    <w:abstractNumId w:val="4"/>
  </w:num>
  <w:num w:numId="11">
    <w:abstractNumId w:val="11"/>
  </w:num>
  <w:num w:numId="12">
    <w:abstractNumId w:val="0"/>
  </w:num>
  <w:num w:numId="13">
    <w:abstractNumId w:val="7"/>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A3"/>
    <w:rsid w:val="000020C0"/>
    <w:rsid w:val="00002404"/>
    <w:rsid w:val="00006BB0"/>
    <w:rsid w:val="00020372"/>
    <w:rsid w:val="000222A2"/>
    <w:rsid w:val="0002272B"/>
    <w:rsid w:val="00035564"/>
    <w:rsid w:val="000437E0"/>
    <w:rsid w:val="0004463D"/>
    <w:rsid w:val="00047514"/>
    <w:rsid w:val="00047CA2"/>
    <w:rsid w:val="00047F90"/>
    <w:rsid w:val="00056580"/>
    <w:rsid w:val="000568F9"/>
    <w:rsid w:val="0007350A"/>
    <w:rsid w:val="000806ED"/>
    <w:rsid w:val="00081F43"/>
    <w:rsid w:val="00082360"/>
    <w:rsid w:val="00095407"/>
    <w:rsid w:val="000A17B4"/>
    <w:rsid w:val="000A1BE6"/>
    <w:rsid w:val="000B0FD2"/>
    <w:rsid w:val="000B65AC"/>
    <w:rsid w:val="000B7351"/>
    <w:rsid w:val="000C1A1C"/>
    <w:rsid w:val="000C295D"/>
    <w:rsid w:val="000C2B7B"/>
    <w:rsid w:val="000C6945"/>
    <w:rsid w:val="000D3BF9"/>
    <w:rsid w:val="000D3FA1"/>
    <w:rsid w:val="000D726B"/>
    <w:rsid w:val="000E182F"/>
    <w:rsid w:val="000E1F71"/>
    <w:rsid w:val="000E32D6"/>
    <w:rsid w:val="000E77A1"/>
    <w:rsid w:val="000F5A93"/>
    <w:rsid w:val="000F5D95"/>
    <w:rsid w:val="0010061C"/>
    <w:rsid w:val="00121D36"/>
    <w:rsid w:val="00126407"/>
    <w:rsid w:val="00126CE4"/>
    <w:rsid w:val="00133468"/>
    <w:rsid w:val="001369B2"/>
    <w:rsid w:val="00141366"/>
    <w:rsid w:val="00141777"/>
    <w:rsid w:val="00144C8D"/>
    <w:rsid w:val="00145DF9"/>
    <w:rsid w:val="0014739A"/>
    <w:rsid w:val="00150315"/>
    <w:rsid w:val="00152318"/>
    <w:rsid w:val="0016311F"/>
    <w:rsid w:val="00164FAF"/>
    <w:rsid w:val="00165089"/>
    <w:rsid w:val="001673A3"/>
    <w:rsid w:val="00170CAD"/>
    <w:rsid w:val="001730D5"/>
    <w:rsid w:val="00173A84"/>
    <w:rsid w:val="00175D72"/>
    <w:rsid w:val="0018518E"/>
    <w:rsid w:val="00191FC9"/>
    <w:rsid w:val="00194794"/>
    <w:rsid w:val="001A6BB5"/>
    <w:rsid w:val="001B4963"/>
    <w:rsid w:val="001B6380"/>
    <w:rsid w:val="001C02EE"/>
    <w:rsid w:val="001C3869"/>
    <w:rsid w:val="001C6720"/>
    <w:rsid w:val="001C7679"/>
    <w:rsid w:val="001C7D0E"/>
    <w:rsid w:val="001D1BB0"/>
    <w:rsid w:val="001D4352"/>
    <w:rsid w:val="001D564C"/>
    <w:rsid w:val="001F0A53"/>
    <w:rsid w:val="001F1AF0"/>
    <w:rsid w:val="001F6B01"/>
    <w:rsid w:val="001F736C"/>
    <w:rsid w:val="001F7F07"/>
    <w:rsid w:val="0020366A"/>
    <w:rsid w:val="002065B7"/>
    <w:rsid w:val="002077B4"/>
    <w:rsid w:val="00213CBC"/>
    <w:rsid w:val="002211AB"/>
    <w:rsid w:val="00226749"/>
    <w:rsid w:val="00232489"/>
    <w:rsid w:val="00233857"/>
    <w:rsid w:val="00237D19"/>
    <w:rsid w:val="002436A6"/>
    <w:rsid w:val="00243A7B"/>
    <w:rsid w:val="002478B8"/>
    <w:rsid w:val="0025108E"/>
    <w:rsid w:val="00253B7F"/>
    <w:rsid w:val="00255492"/>
    <w:rsid w:val="00260496"/>
    <w:rsid w:val="00267758"/>
    <w:rsid w:val="002765E8"/>
    <w:rsid w:val="002801B7"/>
    <w:rsid w:val="00280CBC"/>
    <w:rsid w:val="00282386"/>
    <w:rsid w:val="0028275C"/>
    <w:rsid w:val="00283778"/>
    <w:rsid w:val="00283E48"/>
    <w:rsid w:val="00283FB0"/>
    <w:rsid w:val="0028499E"/>
    <w:rsid w:val="00285511"/>
    <w:rsid w:val="00291D5D"/>
    <w:rsid w:val="002956DD"/>
    <w:rsid w:val="00297535"/>
    <w:rsid w:val="0029783E"/>
    <w:rsid w:val="00297FCB"/>
    <w:rsid w:val="002A2C10"/>
    <w:rsid w:val="002A3A03"/>
    <w:rsid w:val="002C087A"/>
    <w:rsid w:val="002C15A0"/>
    <w:rsid w:val="002C2D00"/>
    <w:rsid w:val="002C4AA8"/>
    <w:rsid w:val="002D2947"/>
    <w:rsid w:val="002E2B7E"/>
    <w:rsid w:val="002E50C2"/>
    <w:rsid w:val="002E5E92"/>
    <w:rsid w:val="002E6BD5"/>
    <w:rsid w:val="002F5A04"/>
    <w:rsid w:val="003026F6"/>
    <w:rsid w:val="0030390F"/>
    <w:rsid w:val="00303AC3"/>
    <w:rsid w:val="003056A7"/>
    <w:rsid w:val="003121DA"/>
    <w:rsid w:val="00313482"/>
    <w:rsid w:val="0032008A"/>
    <w:rsid w:val="003212F2"/>
    <w:rsid w:val="00321412"/>
    <w:rsid w:val="00323E96"/>
    <w:rsid w:val="003246A3"/>
    <w:rsid w:val="00325892"/>
    <w:rsid w:val="003311C5"/>
    <w:rsid w:val="0033683F"/>
    <w:rsid w:val="0033719B"/>
    <w:rsid w:val="00343F97"/>
    <w:rsid w:val="00344F33"/>
    <w:rsid w:val="00351C6E"/>
    <w:rsid w:val="003538A0"/>
    <w:rsid w:val="003538A2"/>
    <w:rsid w:val="00353F9A"/>
    <w:rsid w:val="00355CE4"/>
    <w:rsid w:val="00357708"/>
    <w:rsid w:val="003643C8"/>
    <w:rsid w:val="00364B94"/>
    <w:rsid w:val="003716A1"/>
    <w:rsid w:val="0037371A"/>
    <w:rsid w:val="0037538F"/>
    <w:rsid w:val="00377C13"/>
    <w:rsid w:val="003831D3"/>
    <w:rsid w:val="003831F7"/>
    <w:rsid w:val="003845A0"/>
    <w:rsid w:val="003850C7"/>
    <w:rsid w:val="00392809"/>
    <w:rsid w:val="003957E5"/>
    <w:rsid w:val="0039626F"/>
    <w:rsid w:val="003A392C"/>
    <w:rsid w:val="003A3D93"/>
    <w:rsid w:val="003B5D7C"/>
    <w:rsid w:val="003B6F39"/>
    <w:rsid w:val="003C6DB4"/>
    <w:rsid w:val="003D0BE5"/>
    <w:rsid w:val="003D52DD"/>
    <w:rsid w:val="003E0615"/>
    <w:rsid w:val="003E4E22"/>
    <w:rsid w:val="003E744B"/>
    <w:rsid w:val="003E7B9A"/>
    <w:rsid w:val="00401BF1"/>
    <w:rsid w:val="00414BDD"/>
    <w:rsid w:val="0041783D"/>
    <w:rsid w:val="00420114"/>
    <w:rsid w:val="004222D8"/>
    <w:rsid w:val="00424D66"/>
    <w:rsid w:val="00426CD6"/>
    <w:rsid w:val="00430231"/>
    <w:rsid w:val="00431993"/>
    <w:rsid w:val="00431A59"/>
    <w:rsid w:val="00436C71"/>
    <w:rsid w:val="004415E1"/>
    <w:rsid w:val="00443421"/>
    <w:rsid w:val="00445845"/>
    <w:rsid w:val="00450164"/>
    <w:rsid w:val="00451424"/>
    <w:rsid w:val="004535CB"/>
    <w:rsid w:val="00453988"/>
    <w:rsid w:val="00460D7C"/>
    <w:rsid w:val="00460E4A"/>
    <w:rsid w:val="00463421"/>
    <w:rsid w:val="0047248B"/>
    <w:rsid w:val="004819F0"/>
    <w:rsid w:val="0048367D"/>
    <w:rsid w:val="00483EEA"/>
    <w:rsid w:val="00484778"/>
    <w:rsid w:val="004932DF"/>
    <w:rsid w:val="004959B8"/>
    <w:rsid w:val="00495EC4"/>
    <w:rsid w:val="004A1278"/>
    <w:rsid w:val="004A2874"/>
    <w:rsid w:val="004B1863"/>
    <w:rsid w:val="004B1A79"/>
    <w:rsid w:val="004B2448"/>
    <w:rsid w:val="004B4316"/>
    <w:rsid w:val="004C0105"/>
    <w:rsid w:val="004C5447"/>
    <w:rsid w:val="004D1F41"/>
    <w:rsid w:val="004D2D24"/>
    <w:rsid w:val="004E2868"/>
    <w:rsid w:val="004F238A"/>
    <w:rsid w:val="004F2956"/>
    <w:rsid w:val="00500887"/>
    <w:rsid w:val="00504B1F"/>
    <w:rsid w:val="00505E1C"/>
    <w:rsid w:val="00511D27"/>
    <w:rsid w:val="0051399C"/>
    <w:rsid w:val="00530839"/>
    <w:rsid w:val="00532FFD"/>
    <w:rsid w:val="005331BC"/>
    <w:rsid w:val="00534009"/>
    <w:rsid w:val="00536287"/>
    <w:rsid w:val="005372F5"/>
    <w:rsid w:val="00547EBE"/>
    <w:rsid w:val="00552CBE"/>
    <w:rsid w:val="00554246"/>
    <w:rsid w:val="00554775"/>
    <w:rsid w:val="00555F6F"/>
    <w:rsid w:val="00574A64"/>
    <w:rsid w:val="005760AF"/>
    <w:rsid w:val="005766AC"/>
    <w:rsid w:val="00583119"/>
    <w:rsid w:val="00584ED1"/>
    <w:rsid w:val="0058651B"/>
    <w:rsid w:val="0059640B"/>
    <w:rsid w:val="00597498"/>
    <w:rsid w:val="00597CEC"/>
    <w:rsid w:val="005A7918"/>
    <w:rsid w:val="005B3D45"/>
    <w:rsid w:val="005B58D0"/>
    <w:rsid w:val="005B5C60"/>
    <w:rsid w:val="005B6825"/>
    <w:rsid w:val="005C190A"/>
    <w:rsid w:val="005C3D8B"/>
    <w:rsid w:val="005C6963"/>
    <w:rsid w:val="005C7C1B"/>
    <w:rsid w:val="005D467D"/>
    <w:rsid w:val="005D7712"/>
    <w:rsid w:val="005E31D3"/>
    <w:rsid w:val="005F1E2E"/>
    <w:rsid w:val="006026C2"/>
    <w:rsid w:val="00607BD9"/>
    <w:rsid w:val="006101C6"/>
    <w:rsid w:val="00612555"/>
    <w:rsid w:val="00614A44"/>
    <w:rsid w:val="00616101"/>
    <w:rsid w:val="00625243"/>
    <w:rsid w:val="00637147"/>
    <w:rsid w:val="00644C97"/>
    <w:rsid w:val="00657F23"/>
    <w:rsid w:val="0066255B"/>
    <w:rsid w:val="00664AF7"/>
    <w:rsid w:val="00667BB2"/>
    <w:rsid w:val="00667DDD"/>
    <w:rsid w:val="006717E7"/>
    <w:rsid w:val="006771CD"/>
    <w:rsid w:val="006807AF"/>
    <w:rsid w:val="0068193B"/>
    <w:rsid w:val="006834C5"/>
    <w:rsid w:val="006947DB"/>
    <w:rsid w:val="00695511"/>
    <w:rsid w:val="006A26FB"/>
    <w:rsid w:val="006B6D89"/>
    <w:rsid w:val="006D06E9"/>
    <w:rsid w:val="006E139A"/>
    <w:rsid w:val="006E17AA"/>
    <w:rsid w:val="006E18B4"/>
    <w:rsid w:val="006E231D"/>
    <w:rsid w:val="006E2854"/>
    <w:rsid w:val="006E5257"/>
    <w:rsid w:val="006E63A8"/>
    <w:rsid w:val="006F2ADF"/>
    <w:rsid w:val="006F2ECF"/>
    <w:rsid w:val="006F5C1E"/>
    <w:rsid w:val="006F6871"/>
    <w:rsid w:val="0070050E"/>
    <w:rsid w:val="00701CE2"/>
    <w:rsid w:val="00705718"/>
    <w:rsid w:val="00710BCB"/>
    <w:rsid w:val="007150E8"/>
    <w:rsid w:val="0072610D"/>
    <w:rsid w:val="00736B45"/>
    <w:rsid w:val="007418B2"/>
    <w:rsid w:val="00743D81"/>
    <w:rsid w:val="007443EC"/>
    <w:rsid w:val="00746FB2"/>
    <w:rsid w:val="007534D2"/>
    <w:rsid w:val="00753704"/>
    <w:rsid w:val="0075437C"/>
    <w:rsid w:val="00755DC7"/>
    <w:rsid w:val="00765180"/>
    <w:rsid w:val="00770E4D"/>
    <w:rsid w:val="007710DF"/>
    <w:rsid w:val="007715FD"/>
    <w:rsid w:val="0077290E"/>
    <w:rsid w:val="00776622"/>
    <w:rsid w:val="00781906"/>
    <w:rsid w:val="007867BB"/>
    <w:rsid w:val="00787115"/>
    <w:rsid w:val="00790F39"/>
    <w:rsid w:val="007A2923"/>
    <w:rsid w:val="007A51C0"/>
    <w:rsid w:val="007B25EA"/>
    <w:rsid w:val="007B3E84"/>
    <w:rsid w:val="007B60C7"/>
    <w:rsid w:val="007C1134"/>
    <w:rsid w:val="007D00D6"/>
    <w:rsid w:val="007D129E"/>
    <w:rsid w:val="007D26F8"/>
    <w:rsid w:val="007E3808"/>
    <w:rsid w:val="007E6335"/>
    <w:rsid w:val="007E7C67"/>
    <w:rsid w:val="007F271B"/>
    <w:rsid w:val="007F7ABB"/>
    <w:rsid w:val="00805A14"/>
    <w:rsid w:val="00810D23"/>
    <w:rsid w:val="00813E9D"/>
    <w:rsid w:val="00814A1F"/>
    <w:rsid w:val="00830F6D"/>
    <w:rsid w:val="00832A0D"/>
    <w:rsid w:val="0083711A"/>
    <w:rsid w:val="00842795"/>
    <w:rsid w:val="00861CD4"/>
    <w:rsid w:val="008671ED"/>
    <w:rsid w:val="00870A6F"/>
    <w:rsid w:val="00873B68"/>
    <w:rsid w:val="00876F91"/>
    <w:rsid w:val="008841DE"/>
    <w:rsid w:val="00884898"/>
    <w:rsid w:val="00890238"/>
    <w:rsid w:val="0089097A"/>
    <w:rsid w:val="00891ED3"/>
    <w:rsid w:val="00892850"/>
    <w:rsid w:val="00893617"/>
    <w:rsid w:val="00896039"/>
    <w:rsid w:val="008974EC"/>
    <w:rsid w:val="008A6AA1"/>
    <w:rsid w:val="008C51AE"/>
    <w:rsid w:val="008C53D0"/>
    <w:rsid w:val="008C644E"/>
    <w:rsid w:val="008D3325"/>
    <w:rsid w:val="008D4427"/>
    <w:rsid w:val="008D6455"/>
    <w:rsid w:val="008E051F"/>
    <w:rsid w:val="008E07F3"/>
    <w:rsid w:val="008F154A"/>
    <w:rsid w:val="008F1F9F"/>
    <w:rsid w:val="008F73EB"/>
    <w:rsid w:val="00902A0E"/>
    <w:rsid w:val="00903DED"/>
    <w:rsid w:val="00903ED0"/>
    <w:rsid w:val="00905D05"/>
    <w:rsid w:val="0090604C"/>
    <w:rsid w:val="00907259"/>
    <w:rsid w:val="00911E59"/>
    <w:rsid w:val="00914A56"/>
    <w:rsid w:val="0091677A"/>
    <w:rsid w:val="00920BEB"/>
    <w:rsid w:val="00920F85"/>
    <w:rsid w:val="00927D7F"/>
    <w:rsid w:val="00941B2A"/>
    <w:rsid w:val="009426D9"/>
    <w:rsid w:val="00943DDD"/>
    <w:rsid w:val="00945E50"/>
    <w:rsid w:val="00946C32"/>
    <w:rsid w:val="00950A2A"/>
    <w:rsid w:val="0095385A"/>
    <w:rsid w:val="0096158B"/>
    <w:rsid w:val="00964CE3"/>
    <w:rsid w:val="00973400"/>
    <w:rsid w:val="0097465B"/>
    <w:rsid w:val="009759D5"/>
    <w:rsid w:val="00985E4E"/>
    <w:rsid w:val="00995D2A"/>
    <w:rsid w:val="009A1352"/>
    <w:rsid w:val="009A2615"/>
    <w:rsid w:val="009A3DCE"/>
    <w:rsid w:val="009C0B76"/>
    <w:rsid w:val="009C16FE"/>
    <w:rsid w:val="009D122E"/>
    <w:rsid w:val="009D202C"/>
    <w:rsid w:val="009D2498"/>
    <w:rsid w:val="009D2723"/>
    <w:rsid w:val="009D4336"/>
    <w:rsid w:val="009D6797"/>
    <w:rsid w:val="009D7E7D"/>
    <w:rsid w:val="009E0770"/>
    <w:rsid w:val="009E2820"/>
    <w:rsid w:val="009E2910"/>
    <w:rsid w:val="009E29CD"/>
    <w:rsid w:val="009E46F4"/>
    <w:rsid w:val="009E495E"/>
    <w:rsid w:val="009E4AE9"/>
    <w:rsid w:val="009E7E00"/>
    <w:rsid w:val="009F1D0A"/>
    <w:rsid w:val="009F33CD"/>
    <w:rsid w:val="009F5FE4"/>
    <w:rsid w:val="009F6322"/>
    <w:rsid w:val="009F64F7"/>
    <w:rsid w:val="00A115AB"/>
    <w:rsid w:val="00A13C03"/>
    <w:rsid w:val="00A16208"/>
    <w:rsid w:val="00A2228D"/>
    <w:rsid w:val="00A240A5"/>
    <w:rsid w:val="00A30B06"/>
    <w:rsid w:val="00A3189D"/>
    <w:rsid w:val="00A33EE3"/>
    <w:rsid w:val="00A372CA"/>
    <w:rsid w:val="00A37CE5"/>
    <w:rsid w:val="00A4715A"/>
    <w:rsid w:val="00A522FF"/>
    <w:rsid w:val="00A52B4A"/>
    <w:rsid w:val="00A54953"/>
    <w:rsid w:val="00A54E7B"/>
    <w:rsid w:val="00A605EB"/>
    <w:rsid w:val="00A62C0D"/>
    <w:rsid w:val="00A72CD9"/>
    <w:rsid w:val="00A80B18"/>
    <w:rsid w:val="00A8444C"/>
    <w:rsid w:val="00A9613A"/>
    <w:rsid w:val="00A97EB8"/>
    <w:rsid w:val="00AA0165"/>
    <w:rsid w:val="00AA2596"/>
    <w:rsid w:val="00AA35B7"/>
    <w:rsid w:val="00AB29D3"/>
    <w:rsid w:val="00AB4FCA"/>
    <w:rsid w:val="00AC1E0E"/>
    <w:rsid w:val="00AC28CC"/>
    <w:rsid w:val="00AC48A2"/>
    <w:rsid w:val="00AC78FF"/>
    <w:rsid w:val="00AD3248"/>
    <w:rsid w:val="00AD641F"/>
    <w:rsid w:val="00AD6440"/>
    <w:rsid w:val="00AD779D"/>
    <w:rsid w:val="00AE123B"/>
    <w:rsid w:val="00AE3460"/>
    <w:rsid w:val="00AE39EF"/>
    <w:rsid w:val="00AF1BBC"/>
    <w:rsid w:val="00AF4159"/>
    <w:rsid w:val="00AF46CD"/>
    <w:rsid w:val="00AF5D69"/>
    <w:rsid w:val="00B00494"/>
    <w:rsid w:val="00B05827"/>
    <w:rsid w:val="00B12F43"/>
    <w:rsid w:val="00B16789"/>
    <w:rsid w:val="00B1749E"/>
    <w:rsid w:val="00B278CE"/>
    <w:rsid w:val="00B42C11"/>
    <w:rsid w:val="00B46C7E"/>
    <w:rsid w:val="00B50D61"/>
    <w:rsid w:val="00B51EB4"/>
    <w:rsid w:val="00B540D6"/>
    <w:rsid w:val="00B541B9"/>
    <w:rsid w:val="00B5538B"/>
    <w:rsid w:val="00B627D3"/>
    <w:rsid w:val="00B66432"/>
    <w:rsid w:val="00B75C7C"/>
    <w:rsid w:val="00B75FB6"/>
    <w:rsid w:val="00B76B82"/>
    <w:rsid w:val="00B868DA"/>
    <w:rsid w:val="00B8722F"/>
    <w:rsid w:val="00B90DF6"/>
    <w:rsid w:val="00B943FA"/>
    <w:rsid w:val="00B94C3F"/>
    <w:rsid w:val="00B95628"/>
    <w:rsid w:val="00B963A8"/>
    <w:rsid w:val="00B977D6"/>
    <w:rsid w:val="00BA0BBA"/>
    <w:rsid w:val="00BA28A1"/>
    <w:rsid w:val="00BA3EEF"/>
    <w:rsid w:val="00BA5416"/>
    <w:rsid w:val="00BA722B"/>
    <w:rsid w:val="00BB1BFA"/>
    <w:rsid w:val="00BD0FB7"/>
    <w:rsid w:val="00BD7109"/>
    <w:rsid w:val="00BE3A94"/>
    <w:rsid w:val="00BE7BE3"/>
    <w:rsid w:val="00BF4B3F"/>
    <w:rsid w:val="00BF7187"/>
    <w:rsid w:val="00C006A4"/>
    <w:rsid w:val="00C00958"/>
    <w:rsid w:val="00C00B59"/>
    <w:rsid w:val="00C03E40"/>
    <w:rsid w:val="00C1048F"/>
    <w:rsid w:val="00C11320"/>
    <w:rsid w:val="00C11661"/>
    <w:rsid w:val="00C157EC"/>
    <w:rsid w:val="00C15866"/>
    <w:rsid w:val="00C1736C"/>
    <w:rsid w:val="00C2604F"/>
    <w:rsid w:val="00C348C4"/>
    <w:rsid w:val="00C348D9"/>
    <w:rsid w:val="00C42D69"/>
    <w:rsid w:val="00C45DA4"/>
    <w:rsid w:val="00C50345"/>
    <w:rsid w:val="00C604AD"/>
    <w:rsid w:val="00C618ED"/>
    <w:rsid w:val="00C63AB1"/>
    <w:rsid w:val="00C669AA"/>
    <w:rsid w:val="00C77340"/>
    <w:rsid w:val="00C7789B"/>
    <w:rsid w:val="00C81227"/>
    <w:rsid w:val="00C9073A"/>
    <w:rsid w:val="00C917AD"/>
    <w:rsid w:val="00C931CA"/>
    <w:rsid w:val="00C94F15"/>
    <w:rsid w:val="00CA55BA"/>
    <w:rsid w:val="00CA6A75"/>
    <w:rsid w:val="00CA6DA5"/>
    <w:rsid w:val="00CA757F"/>
    <w:rsid w:val="00CB545C"/>
    <w:rsid w:val="00CB5618"/>
    <w:rsid w:val="00CC1367"/>
    <w:rsid w:val="00CC24C7"/>
    <w:rsid w:val="00CC5A2E"/>
    <w:rsid w:val="00CC6245"/>
    <w:rsid w:val="00CD09B8"/>
    <w:rsid w:val="00CD24D6"/>
    <w:rsid w:val="00CD4723"/>
    <w:rsid w:val="00CF3776"/>
    <w:rsid w:val="00CF456C"/>
    <w:rsid w:val="00CF5A5B"/>
    <w:rsid w:val="00CF5E20"/>
    <w:rsid w:val="00D02301"/>
    <w:rsid w:val="00D026FE"/>
    <w:rsid w:val="00D04742"/>
    <w:rsid w:val="00D04A22"/>
    <w:rsid w:val="00D139F9"/>
    <w:rsid w:val="00D13AD9"/>
    <w:rsid w:val="00D265AE"/>
    <w:rsid w:val="00D27A82"/>
    <w:rsid w:val="00D27D10"/>
    <w:rsid w:val="00D355D2"/>
    <w:rsid w:val="00D37981"/>
    <w:rsid w:val="00D40612"/>
    <w:rsid w:val="00D417C8"/>
    <w:rsid w:val="00D425AB"/>
    <w:rsid w:val="00D4274E"/>
    <w:rsid w:val="00D459FE"/>
    <w:rsid w:val="00D508F8"/>
    <w:rsid w:val="00D5160F"/>
    <w:rsid w:val="00D521E1"/>
    <w:rsid w:val="00D554E0"/>
    <w:rsid w:val="00D630C0"/>
    <w:rsid w:val="00D72A3C"/>
    <w:rsid w:val="00D73B07"/>
    <w:rsid w:val="00D73E1D"/>
    <w:rsid w:val="00D81020"/>
    <w:rsid w:val="00D81051"/>
    <w:rsid w:val="00D813B8"/>
    <w:rsid w:val="00D81A99"/>
    <w:rsid w:val="00D81AFA"/>
    <w:rsid w:val="00D86A28"/>
    <w:rsid w:val="00D94C33"/>
    <w:rsid w:val="00D97F9E"/>
    <w:rsid w:val="00DA0F34"/>
    <w:rsid w:val="00DA2C8F"/>
    <w:rsid w:val="00DA31A7"/>
    <w:rsid w:val="00DA483E"/>
    <w:rsid w:val="00DA4BD1"/>
    <w:rsid w:val="00DA5456"/>
    <w:rsid w:val="00DA5AE1"/>
    <w:rsid w:val="00DA7C84"/>
    <w:rsid w:val="00DB461B"/>
    <w:rsid w:val="00DB4819"/>
    <w:rsid w:val="00DC228F"/>
    <w:rsid w:val="00DC316C"/>
    <w:rsid w:val="00DC4132"/>
    <w:rsid w:val="00DC4817"/>
    <w:rsid w:val="00DC58B3"/>
    <w:rsid w:val="00DD4520"/>
    <w:rsid w:val="00DD6047"/>
    <w:rsid w:val="00DE7029"/>
    <w:rsid w:val="00DE7C91"/>
    <w:rsid w:val="00DF3130"/>
    <w:rsid w:val="00E01DA5"/>
    <w:rsid w:val="00E1111B"/>
    <w:rsid w:val="00E12B70"/>
    <w:rsid w:val="00E1630E"/>
    <w:rsid w:val="00E23C0C"/>
    <w:rsid w:val="00E313D1"/>
    <w:rsid w:val="00E33872"/>
    <w:rsid w:val="00E34CB1"/>
    <w:rsid w:val="00E41A6A"/>
    <w:rsid w:val="00E42C24"/>
    <w:rsid w:val="00E42CC8"/>
    <w:rsid w:val="00E42FCA"/>
    <w:rsid w:val="00E46E35"/>
    <w:rsid w:val="00E50702"/>
    <w:rsid w:val="00E531FB"/>
    <w:rsid w:val="00E5576A"/>
    <w:rsid w:val="00E5741F"/>
    <w:rsid w:val="00E60DD8"/>
    <w:rsid w:val="00E63BEF"/>
    <w:rsid w:val="00E65D2D"/>
    <w:rsid w:val="00E73601"/>
    <w:rsid w:val="00E76FF7"/>
    <w:rsid w:val="00E77323"/>
    <w:rsid w:val="00E83E3F"/>
    <w:rsid w:val="00E906B6"/>
    <w:rsid w:val="00E90DA8"/>
    <w:rsid w:val="00E912FB"/>
    <w:rsid w:val="00E93790"/>
    <w:rsid w:val="00EA0059"/>
    <w:rsid w:val="00EA1E40"/>
    <w:rsid w:val="00EB2442"/>
    <w:rsid w:val="00EB56DF"/>
    <w:rsid w:val="00EC1534"/>
    <w:rsid w:val="00EC196C"/>
    <w:rsid w:val="00EC4911"/>
    <w:rsid w:val="00ED1582"/>
    <w:rsid w:val="00ED1A03"/>
    <w:rsid w:val="00ED1EB6"/>
    <w:rsid w:val="00ED22D1"/>
    <w:rsid w:val="00ED3747"/>
    <w:rsid w:val="00EE06A9"/>
    <w:rsid w:val="00EE3A20"/>
    <w:rsid w:val="00EE4692"/>
    <w:rsid w:val="00EE60DE"/>
    <w:rsid w:val="00EE6CC4"/>
    <w:rsid w:val="00EE7932"/>
    <w:rsid w:val="00EE7CBA"/>
    <w:rsid w:val="00EF0A52"/>
    <w:rsid w:val="00EF4630"/>
    <w:rsid w:val="00F028F0"/>
    <w:rsid w:val="00F048A0"/>
    <w:rsid w:val="00F07940"/>
    <w:rsid w:val="00F1155B"/>
    <w:rsid w:val="00F201AF"/>
    <w:rsid w:val="00F20E77"/>
    <w:rsid w:val="00F2601A"/>
    <w:rsid w:val="00F30BED"/>
    <w:rsid w:val="00F4078E"/>
    <w:rsid w:val="00F43FC8"/>
    <w:rsid w:val="00F54669"/>
    <w:rsid w:val="00F667EF"/>
    <w:rsid w:val="00F668B2"/>
    <w:rsid w:val="00F73FF1"/>
    <w:rsid w:val="00F76928"/>
    <w:rsid w:val="00F77193"/>
    <w:rsid w:val="00F771BC"/>
    <w:rsid w:val="00F83F10"/>
    <w:rsid w:val="00F85A20"/>
    <w:rsid w:val="00F90B3D"/>
    <w:rsid w:val="00F938EC"/>
    <w:rsid w:val="00F95B2E"/>
    <w:rsid w:val="00F95D8E"/>
    <w:rsid w:val="00FA2B8D"/>
    <w:rsid w:val="00FA5413"/>
    <w:rsid w:val="00FA748D"/>
    <w:rsid w:val="00FA74E5"/>
    <w:rsid w:val="00FB0CB7"/>
    <w:rsid w:val="00FB17D3"/>
    <w:rsid w:val="00FB30DE"/>
    <w:rsid w:val="00FB46F8"/>
    <w:rsid w:val="00FC0278"/>
    <w:rsid w:val="00FD0CC4"/>
    <w:rsid w:val="00FD1198"/>
    <w:rsid w:val="00FD1595"/>
    <w:rsid w:val="00FD773C"/>
    <w:rsid w:val="00FE4BE4"/>
    <w:rsid w:val="00FE6CAD"/>
    <w:rsid w:val="00FE78C7"/>
    <w:rsid w:val="00FF1A08"/>
    <w:rsid w:val="00FF50AE"/>
    <w:rsid w:val="00FF72EB"/>
    <w:rsid w:val="00FF74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D783E"/>
  <w15:docId w15:val="{E67A6FFA-2341-42B8-A833-4E37E8E6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11C5"/>
    <w:pPr>
      <w:spacing w:after="0" w:line="260" w:lineRule="exact"/>
      <w:jc w:val="center"/>
      <w:outlineLvl w:val="0"/>
    </w:pPr>
    <w:rPr>
      <w:rFonts w:ascii="Times New Roman" w:hAnsi="Times New Roman" w:cs="Times New Roman"/>
      <w:b/>
      <w:lang w:val="en-GB"/>
    </w:rPr>
  </w:style>
  <w:style w:type="paragraph" w:styleId="Heading2">
    <w:name w:val="heading 2"/>
    <w:basedOn w:val="Normal"/>
    <w:next w:val="Normal"/>
    <w:link w:val="Heading2Char"/>
    <w:uiPriority w:val="9"/>
    <w:unhideWhenUsed/>
    <w:qFormat/>
    <w:rsid w:val="003311C5"/>
    <w:pPr>
      <w:spacing w:after="0" w:line="240" w:lineRule="auto"/>
      <w:jc w:val="center"/>
      <w:outlineLvl w:val="1"/>
    </w:pPr>
    <w:rPr>
      <w:rFonts w:ascii="Times New Roman" w:hAnsi="Times New Roman" w:cs="Times New Roman"/>
      <w:b/>
      <w:lang w:val="en-GB"/>
    </w:rPr>
  </w:style>
  <w:style w:type="paragraph" w:styleId="Heading3">
    <w:name w:val="heading 3"/>
    <w:basedOn w:val="Style20"/>
    <w:next w:val="Normal"/>
    <w:link w:val="Heading3Char"/>
    <w:uiPriority w:val="9"/>
    <w:unhideWhenUsed/>
    <w:qFormat/>
    <w:rsid w:val="00C11320"/>
    <w:pPr>
      <w:widowControl/>
      <w:numPr>
        <w:numId w:val="2"/>
      </w:numPr>
      <w:tabs>
        <w:tab w:val="left" w:pos="426"/>
      </w:tabs>
      <w:spacing w:before="120" w:line="240" w:lineRule="auto"/>
      <w:outlineLvl w:val="2"/>
    </w:pPr>
    <w:rPr>
      <w:rFonts w:ascii="Times New Roman" w:hAnsi="Times New Roman"/>
      <w:sz w:val="22"/>
      <w:lang w:val="en-GB"/>
    </w:rPr>
  </w:style>
  <w:style w:type="paragraph" w:styleId="Heading4">
    <w:name w:val="heading 4"/>
    <w:basedOn w:val="Heading3"/>
    <w:next w:val="Normal"/>
    <w:link w:val="Heading4Char"/>
    <w:uiPriority w:val="9"/>
    <w:unhideWhenUsed/>
    <w:qFormat/>
    <w:rsid w:val="003311C5"/>
    <w:pPr>
      <w:numPr>
        <w:numId w:val="3"/>
      </w:numPr>
      <w:spacing w:before="0"/>
      <w:ind w:left="1208" w:hanging="357"/>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
    <w:name w:val="Medium List 2"/>
    <w:basedOn w:val="TableNormal"/>
    <w:uiPriority w:val="66"/>
    <w:rsid w:val="001D4352"/>
    <w:pPr>
      <w:spacing w:after="0" w:line="240" w:lineRule="auto"/>
    </w:pPr>
    <w:rPr>
      <w:rFonts w:asciiTheme="majorHAnsi" w:eastAsiaTheme="majorEastAsia" w:hAnsiTheme="majorHAnsi" w:cstheme="majorBidi"/>
      <w:color w:val="000000" w:themeColor="text1"/>
      <w:lang w:val="et-E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3D5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2DD"/>
    <w:rPr>
      <w:rFonts w:ascii="Tahoma" w:hAnsi="Tahoma" w:cs="Tahoma"/>
      <w:sz w:val="16"/>
      <w:szCs w:val="16"/>
    </w:rPr>
  </w:style>
  <w:style w:type="paragraph" w:styleId="TOC2">
    <w:name w:val="toc 2"/>
    <w:basedOn w:val="Normal"/>
    <w:next w:val="Normal"/>
    <w:autoRedefine/>
    <w:uiPriority w:val="39"/>
    <w:unhideWhenUsed/>
    <w:rsid w:val="00DE7C91"/>
    <w:pPr>
      <w:tabs>
        <w:tab w:val="right" w:leader="dot" w:pos="9060"/>
      </w:tabs>
      <w:spacing w:after="100"/>
      <w:ind w:left="284"/>
    </w:pPr>
  </w:style>
  <w:style w:type="paragraph" w:styleId="TOC1">
    <w:name w:val="toc 1"/>
    <w:basedOn w:val="Normal"/>
    <w:next w:val="Normal"/>
    <w:autoRedefine/>
    <w:uiPriority w:val="39"/>
    <w:unhideWhenUsed/>
    <w:rsid w:val="00364B94"/>
    <w:pPr>
      <w:tabs>
        <w:tab w:val="right" w:leader="dot" w:pos="9060"/>
      </w:tabs>
      <w:spacing w:after="100"/>
      <w:ind w:left="284"/>
    </w:pPr>
  </w:style>
  <w:style w:type="character" w:styleId="Hyperlink">
    <w:name w:val="Hyperlink"/>
    <w:basedOn w:val="DefaultParagraphFont"/>
    <w:uiPriority w:val="99"/>
    <w:unhideWhenUsed/>
    <w:rsid w:val="003D52DD"/>
    <w:rPr>
      <w:color w:val="0000FF" w:themeColor="hyperlink"/>
      <w:u w:val="single"/>
    </w:rPr>
  </w:style>
  <w:style w:type="paragraph" w:styleId="ListParagraph">
    <w:name w:val="List Paragraph"/>
    <w:basedOn w:val="Normal"/>
    <w:link w:val="ListParagraphChar"/>
    <w:uiPriority w:val="34"/>
    <w:qFormat/>
    <w:rsid w:val="00B94C3F"/>
    <w:pPr>
      <w:ind w:left="720"/>
      <w:contextualSpacing/>
    </w:pPr>
  </w:style>
  <w:style w:type="character" w:styleId="CommentReference">
    <w:name w:val="annotation reference"/>
    <w:basedOn w:val="DefaultParagraphFont"/>
    <w:uiPriority w:val="99"/>
    <w:semiHidden/>
    <w:unhideWhenUsed/>
    <w:rsid w:val="00DE7029"/>
    <w:rPr>
      <w:sz w:val="16"/>
      <w:szCs w:val="16"/>
    </w:rPr>
  </w:style>
  <w:style w:type="paragraph" w:styleId="CommentText">
    <w:name w:val="annotation text"/>
    <w:basedOn w:val="Normal"/>
    <w:link w:val="CommentTextChar"/>
    <w:uiPriority w:val="99"/>
    <w:unhideWhenUsed/>
    <w:rsid w:val="00DE7029"/>
    <w:pPr>
      <w:spacing w:line="240" w:lineRule="auto"/>
    </w:pPr>
    <w:rPr>
      <w:sz w:val="20"/>
      <w:szCs w:val="20"/>
    </w:rPr>
  </w:style>
  <w:style w:type="character" w:customStyle="1" w:styleId="CommentTextChar">
    <w:name w:val="Comment Text Char"/>
    <w:basedOn w:val="DefaultParagraphFont"/>
    <w:link w:val="CommentText"/>
    <w:uiPriority w:val="99"/>
    <w:rsid w:val="00DE7029"/>
    <w:rPr>
      <w:sz w:val="20"/>
      <w:szCs w:val="20"/>
    </w:rPr>
  </w:style>
  <w:style w:type="paragraph" w:styleId="CommentSubject">
    <w:name w:val="annotation subject"/>
    <w:basedOn w:val="CommentText"/>
    <w:next w:val="CommentText"/>
    <w:link w:val="CommentSubjectChar"/>
    <w:uiPriority w:val="99"/>
    <w:semiHidden/>
    <w:unhideWhenUsed/>
    <w:rsid w:val="00DE7029"/>
    <w:rPr>
      <w:b/>
      <w:bCs/>
    </w:rPr>
  </w:style>
  <w:style w:type="character" w:customStyle="1" w:styleId="CommentSubjectChar">
    <w:name w:val="Comment Subject Char"/>
    <w:basedOn w:val="CommentTextChar"/>
    <w:link w:val="CommentSubject"/>
    <w:uiPriority w:val="99"/>
    <w:semiHidden/>
    <w:rsid w:val="00DE7029"/>
    <w:rPr>
      <w:b/>
      <w:bCs/>
      <w:sz w:val="20"/>
      <w:szCs w:val="20"/>
    </w:rPr>
  </w:style>
  <w:style w:type="paragraph" w:styleId="Header">
    <w:name w:val="header"/>
    <w:basedOn w:val="Normal"/>
    <w:link w:val="HeaderChar"/>
    <w:uiPriority w:val="99"/>
    <w:unhideWhenUsed/>
    <w:rsid w:val="002267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26749"/>
  </w:style>
  <w:style w:type="paragraph" w:styleId="Footer">
    <w:name w:val="footer"/>
    <w:basedOn w:val="Normal"/>
    <w:link w:val="FooterChar"/>
    <w:uiPriority w:val="99"/>
    <w:unhideWhenUsed/>
    <w:rsid w:val="002267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6749"/>
  </w:style>
  <w:style w:type="character" w:customStyle="1" w:styleId="ListstyckeChar">
    <w:name w:val="Liststycke Char"/>
    <w:aliases w:val="F List Paragraph Char"/>
    <w:basedOn w:val="DefaultParagraphFont"/>
    <w:link w:val="Liststycke1"/>
    <w:uiPriority w:val="34"/>
    <w:rsid w:val="00805A14"/>
    <w:rPr>
      <w:rFonts w:ascii="Arial" w:hAnsi="Arial" w:cs="Arial"/>
      <w:lang w:eastAsia="de-DE"/>
    </w:rPr>
  </w:style>
  <w:style w:type="paragraph" w:customStyle="1" w:styleId="Liststycke1">
    <w:name w:val="Liststycke1"/>
    <w:aliases w:val="F List Paragraph"/>
    <w:basedOn w:val="Normal"/>
    <w:link w:val="ListstyckeChar"/>
    <w:uiPriority w:val="1"/>
    <w:rsid w:val="00805A14"/>
    <w:pPr>
      <w:spacing w:after="0" w:line="240" w:lineRule="auto"/>
      <w:ind w:left="720"/>
      <w:contextualSpacing/>
    </w:pPr>
    <w:rPr>
      <w:rFonts w:ascii="Arial" w:hAnsi="Arial" w:cs="Arial"/>
      <w:lang w:eastAsia="de-DE"/>
    </w:rPr>
  </w:style>
  <w:style w:type="character" w:customStyle="1" w:styleId="ListParagraphChar">
    <w:name w:val="List Paragraph Char"/>
    <w:basedOn w:val="DefaultParagraphFont"/>
    <w:link w:val="ListParagraph"/>
    <w:uiPriority w:val="34"/>
    <w:locked/>
    <w:rsid w:val="00FB17D3"/>
  </w:style>
  <w:style w:type="paragraph" w:customStyle="1" w:styleId="Style15">
    <w:name w:val="Style15"/>
    <w:basedOn w:val="Normal"/>
    <w:uiPriority w:val="99"/>
    <w:rsid w:val="00DA0F34"/>
    <w:pPr>
      <w:widowControl w:val="0"/>
      <w:autoSpaceDE w:val="0"/>
      <w:autoSpaceDN w:val="0"/>
      <w:adjustRightInd w:val="0"/>
      <w:spacing w:after="0" w:line="274" w:lineRule="exact"/>
      <w:ind w:hanging="710"/>
      <w:jc w:val="both"/>
    </w:pPr>
    <w:rPr>
      <w:rFonts w:ascii="Arial" w:eastAsia="Times New Roman" w:hAnsi="Arial" w:cs="Arial"/>
      <w:sz w:val="24"/>
      <w:szCs w:val="24"/>
      <w:lang w:val="et-EE" w:eastAsia="et-EE"/>
    </w:rPr>
  </w:style>
  <w:style w:type="character" w:customStyle="1" w:styleId="FontStyle56">
    <w:name w:val="Font Style56"/>
    <w:uiPriority w:val="99"/>
    <w:rsid w:val="00DA0F34"/>
    <w:rPr>
      <w:rFonts w:ascii="Times New Roman" w:hAnsi="Times New Roman" w:cs="Times New Roman"/>
      <w:sz w:val="20"/>
      <w:szCs w:val="20"/>
    </w:rPr>
  </w:style>
  <w:style w:type="character" w:customStyle="1" w:styleId="Heading1Char">
    <w:name w:val="Heading 1 Char"/>
    <w:basedOn w:val="DefaultParagraphFont"/>
    <w:link w:val="Heading1"/>
    <w:uiPriority w:val="9"/>
    <w:rsid w:val="003311C5"/>
    <w:rPr>
      <w:rFonts w:ascii="Times New Roman" w:hAnsi="Times New Roman" w:cs="Times New Roman"/>
      <w:b/>
      <w:lang w:val="en-GB"/>
    </w:rPr>
  </w:style>
  <w:style w:type="character" w:customStyle="1" w:styleId="Heading2Char">
    <w:name w:val="Heading 2 Char"/>
    <w:basedOn w:val="DefaultParagraphFont"/>
    <w:link w:val="Heading2"/>
    <w:uiPriority w:val="9"/>
    <w:rsid w:val="003311C5"/>
    <w:rPr>
      <w:rFonts w:ascii="Times New Roman" w:hAnsi="Times New Roman" w:cs="Times New Roman"/>
      <w:b/>
      <w:lang w:val="en-GB"/>
    </w:rPr>
  </w:style>
  <w:style w:type="paragraph" w:customStyle="1" w:styleId="Style7">
    <w:name w:val="Style7"/>
    <w:basedOn w:val="Normal"/>
    <w:uiPriority w:val="99"/>
    <w:rsid w:val="00DA0F34"/>
    <w:pPr>
      <w:widowControl w:val="0"/>
      <w:autoSpaceDE w:val="0"/>
      <w:autoSpaceDN w:val="0"/>
      <w:adjustRightInd w:val="0"/>
      <w:spacing w:after="0" w:line="240" w:lineRule="auto"/>
      <w:jc w:val="both"/>
    </w:pPr>
    <w:rPr>
      <w:rFonts w:ascii="Arial" w:eastAsia="Times New Roman" w:hAnsi="Arial" w:cs="Arial"/>
      <w:sz w:val="24"/>
      <w:szCs w:val="24"/>
      <w:lang w:val="et-EE" w:eastAsia="et-EE"/>
    </w:rPr>
  </w:style>
  <w:style w:type="paragraph" w:customStyle="1" w:styleId="Style20">
    <w:name w:val="Style20"/>
    <w:basedOn w:val="Normal"/>
    <w:uiPriority w:val="99"/>
    <w:rsid w:val="00DA0F34"/>
    <w:pPr>
      <w:widowControl w:val="0"/>
      <w:autoSpaceDE w:val="0"/>
      <w:autoSpaceDN w:val="0"/>
      <w:adjustRightInd w:val="0"/>
      <w:spacing w:after="0" w:line="274" w:lineRule="exact"/>
      <w:ind w:hanging="355"/>
      <w:jc w:val="both"/>
    </w:pPr>
    <w:rPr>
      <w:rFonts w:ascii="Arial" w:eastAsia="Times New Roman" w:hAnsi="Arial" w:cs="Arial"/>
      <w:sz w:val="24"/>
      <w:szCs w:val="24"/>
      <w:lang w:val="et-EE" w:eastAsia="et-EE"/>
    </w:rPr>
  </w:style>
  <w:style w:type="paragraph" w:customStyle="1" w:styleId="Style13">
    <w:name w:val="Style13"/>
    <w:basedOn w:val="Normal"/>
    <w:uiPriority w:val="99"/>
    <w:rsid w:val="00DA0F34"/>
    <w:pPr>
      <w:widowControl w:val="0"/>
      <w:autoSpaceDE w:val="0"/>
      <w:autoSpaceDN w:val="0"/>
      <w:adjustRightInd w:val="0"/>
      <w:spacing w:after="0" w:line="259" w:lineRule="exact"/>
      <w:jc w:val="both"/>
    </w:pPr>
    <w:rPr>
      <w:rFonts w:ascii="Arial" w:eastAsia="Times New Roman" w:hAnsi="Arial" w:cs="Arial"/>
      <w:sz w:val="24"/>
      <w:szCs w:val="24"/>
      <w:lang w:val="et-EE" w:eastAsia="et-EE"/>
    </w:rPr>
  </w:style>
  <w:style w:type="paragraph" w:customStyle="1" w:styleId="Style33">
    <w:name w:val="Style33"/>
    <w:basedOn w:val="Normal"/>
    <w:uiPriority w:val="99"/>
    <w:rsid w:val="00DA0F34"/>
    <w:pPr>
      <w:widowControl w:val="0"/>
      <w:autoSpaceDE w:val="0"/>
      <w:autoSpaceDN w:val="0"/>
      <w:adjustRightInd w:val="0"/>
      <w:spacing w:after="0" w:line="274" w:lineRule="exact"/>
      <w:ind w:hanging="336"/>
      <w:jc w:val="both"/>
    </w:pPr>
    <w:rPr>
      <w:rFonts w:ascii="Arial" w:eastAsia="Times New Roman" w:hAnsi="Arial" w:cs="Arial"/>
      <w:sz w:val="24"/>
      <w:szCs w:val="24"/>
      <w:lang w:val="et-EE" w:eastAsia="et-EE"/>
    </w:rPr>
  </w:style>
  <w:style w:type="character" w:customStyle="1" w:styleId="Heading3Char">
    <w:name w:val="Heading 3 Char"/>
    <w:basedOn w:val="DefaultParagraphFont"/>
    <w:link w:val="Heading3"/>
    <w:uiPriority w:val="9"/>
    <w:rsid w:val="00C11320"/>
    <w:rPr>
      <w:rFonts w:ascii="Times New Roman" w:eastAsia="Times New Roman" w:hAnsi="Times New Roman" w:cs="Arial"/>
      <w:szCs w:val="24"/>
      <w:lang w:val="en-GB" w:eastAsia="et-EE"/>
    </w:rPr>
  </w:style>
  <w:style w:type="character" w:customStyle="1" w:styleId="Heading4Char">
    <w:name w:val="Heading 4 Char"/>
    <w:basedOn w:val="DefaultParagraphFont"/>
    <w:link w:val="Heading4"/>
    <w:uiPriority w:val="9"/>
    <w:rsid w:val="003311C5"/>
    <w:rPr>
      <w:rFonts w:ascii="Times New Roman" w:eastAsia="Times New Roman" w:hAnsi="Times New Roman" w:cs="Arial"/>
      <w:szCs w:val="24"/>
      <w:lang w:val="en-GB" w:eastAsia="et-EE"/>
    </w:rPr>
  </w:style>
  <w:style w:type="paragraph" w:customStyle="1" w:styleId="Style18">
    <w:name w:val="Style18"/>
    <w:basedOn w:val="Normal"/>
    <w:uiPriority w:val="99"/>
    <w:rsid w:val="007D129E"/>
    <w:pPr>
      <w:widowControl w:val="0"/>
      <w:autoSpaceDE w:val="0"/>
      <w:autoSpaceDN w:val="0"/>
      <w:adjustRightInd w:val="0"/>
      <w:spacing w:after="0" w:line="259" w:lineRule="exact"/>
      <w:ind w:firstLine="840"/>
    </w:pPr>
    <w:rPr>
      <w:rFonts w:ascii="Arial" w:eastAsia="Times New Roman" w:hAnsi="Arial" w:cs="Arial"/>
      <w:sz w:val="24"/>
      <w:szCs w:val="24"/>
      <w:lang w:val="et-EE" w:eastAsia="et-EE"/>
    </w:rPr>
  </w:style>
  <w:style w:type="paragraph" w:customStyle="1" w:styleId="Style31">
    <w:name w:val="Style31"/>
    <w:basedOn w:val="Normal"/>
    <w:uiPriority w:val="99"/>
    <w:rsid w:val="007D129E"/>
    <w:pPr>
      <w:widowControl w:val="0"/>
      <w:autoSpaceDE w:val="0"/>
      <w:autoSpaceDN w:val="0"/>
      <w:adjustRightInd w:val="0"/>
      <w:spacing w:after="0" w:line="346" w:lineRule="exact"/>
      <w:ind w:firstLine="1805"/>
    </w:pPr>
    <w:rPr>
      <w:rFonts w:ascii="Arial" w:eastAsia="Times New Roman" w:hAnsi="Arial" w:cs="Arial"/>
      <w:sz w:val="24"/>
      <w:szCs w:val="24"/>
      <w:lang w:val="et-EE" w:eastAsia="et-EE"/>
    </w:rPr>
  </w:style>
  <w:style w:type="character" w:customStyle="1" w:styleId="FontStyle52">
    <w:name w:val="Font Style52"/>
    <w:uiPriority w:val="99"/>
    <w:rsid w:val="007D129E"/>
    <w:rPr>
      <w:rFonts w:ascii="Times New Roman" w:hAnsi="Times New Roman" w:cs="Times New Roman"/>
      <w:b/>
      <w:bCs/>
      <w:sz w:val="22"/>
      <w:szCs w:val="22"/>
    </w:rPr>
  </w:style>
  <w:style w:type="paragraph" w:customStyle="1" w:styleId="Style39">
    <w:name w:val="Style39"/>
    <w:basedOn w:val="Normal"/>
    <w:uiPriority w:val="99"/>
    <w:rsid w:val="00C11320"/>
    <w:pPr>
      <w:widowControl w:val="0"/>
      <w:autoSpaceDE w:val="0"/>
      <w:autoSpaceDN w:val="0"/>
      <w:adjustRightInd w:val="0"/>
      <w:spacing w:after="0" w:line="259" w:lineRule="exact"/>
      <w:ind w:firstLine="422"/>
    </w:pPr>
    <w:rPr>
      <w:rFonts w:ascii="Arial" w:eastAsia="Times New Roman" w:hAnsi="Arial" w:cs="Arial"/>
      <w:sz w:val="24"/>
      <w:szCs w:val="24"/>
      <w:lang w:val="et-EE" w:eastAsia="et-EE"/>
    </w:rPr>
  </w:style>
  <w:style w:type="paragraph" w:customStyle="1" w:styleId="Style30">
    <w:name w:val="Style30"/>
    <w:basedOn w:val="Normal"/>
    <w:uiPriority w:val="99"/>
    <w:rsid w:val="00ED22D1"/>
    <w:pPr>
      <w:widowControl w:val="0"/>
      <w:autoSpaceDE w:val="0"/>
      <w:autoSpaceDN w:val="0"/>
      <w:adjustRightInd w:val="0"/>
      <w:spacing w:after="0" w:line="259" w:lineRule="exact"/>
      <w:ind w:firstLine="499"/>
    </w:pPr>
    <w:rPr>
      <w:rFonts w:ascii="Arial" w:eastAsia="Times New Roman" w:hAnsi="Arial" w:cs="Arial"/>
      <w:sz w:val="24"/>
      <w:szCs w:val="24"/>
      <w:lang w:val="et-EE" w:eastAsia="et-EE"/>
    </w:rPr>
  </w:style>
  <w:style w:type="paragraph" w:customStyle="1" w:styleId="Style40">
    <w:name w:val="Style40"/>
    <w:basedOn w:val="Normal"/>
    <w:uiPriority w:val="99"/>
    <w:rsid w:val="00ED22D1"/>
    <w:pPr>
      <w:widowControl w:val="0"/>
      <w:autoSpaceDE w:val="0"/>
      <w:autoSpaceDN w:val="0"/>
      <w:adjustRightInd w:val="0"/>
      <w:spacing w:after="0" w:line="240" w:lineRule="auto"/>
      <w:jc w:val="center"/>
    </w:pPr>
    <w:rPr>
      <w:rFonts w:ascii="Arial" w:eastAsia="Times New Roman" w:hAnsi="Arial" w:cs="Arial"/>
      <w:sz w:val="24"/>
      <w:szCs w:val="24"/>
      <w:lang w:val="et-EE" w:eastAsia="et-EE"/>
    </w:rPr>
  </w:style>
  <w:style w:type="paragraph" w:customStyle="1" w:styleId="Style37">
    <w:name w:val="Style37"/>
    <w:basedOn w:val="Normal"/>
    <w:uiPriority w:val="99"/>
    <w:rsid w:val="00ED22D1"/>
    <w:pPr>
      <w:widowControl w:val="0"/>
      <w:autoSpaceDE w:val="0"/>
      <w:autoSpaceDN w:val="0"/>
      <w:adjustRightInd w:val="0"/>
      <w:spacing w:after="0" w:line="240" w:lineRule="auto"/>
    </w:pPr>
    <w:rPr>
      <w:rFonts w:ascii="Arial" w:eastAsia="Times New Roman" w:hAnsi="Arial" w:cs="Arial"/>
      <w:sz w:val="24"/>
      <w:szCs w:val="24"/>
      <w:lang w:val="et-EE" w:eastAsia="et-EE"/>
    </w:rPr>
  </w:style>
  <w:style w:type="paragraph" w:customStyle="1" w:styleId="Style10">
    <w:name w:val="Style10"/>
    <w:basedOn w:val="Normal"/>
    <w:uiPriority w:val="99"/>
    <w:rsid w:val="00DA5AE1"/>
    <w:pPr>
      <w:widowControl w:val="0"/>
      <w:autoSpaceDE w:val="0"/>
      <w:autoSpaceDN w:val="0"/>
      <w:adjustRightInd w:val="0"/>
      <w:spacing w:after="0" w:line="341" w:lineRule="exact"/>
      <w:ind w:firstLine="706"/>
    </w:pPr>
    <w:rPr>
      <w:rFonts w:ascii="Arial" w:eastAsia="Times New Roman" w:hAnsi="Arial" w:cs="Arial"/>
      <w:sz w:val="24"/>
      <w:szCs w:val="24"/>
      <w:lang w:val="et-EE" w:eastAsia="et-EE"/>
    </w:rPr>
  </w:style>
  <w:style w:type="paragraph" w:customStyle="1" w:styleId="Style16">
    <w:name w:val="Style16"/>
    <w:basedOn w:val="Normal"/>
    <w:uiPriority w:val="99"/>
    <w:rsid w:val="005C190A"/>
    <w:pPr>
      <w:widowControl w:val="0"/>
      <w:autoSpaceDE w:val="0"/>
      <w:autoSpaceDN w:val="0"/>
      <w:adjustRightInd w:val="0"/>
      <w:spacing w:after="0" w:line="254" w:lineRule="exact"/>
      <w:ind w:hanging="96"/>
    </w:pPr>
    <w:rPr>
      <w:rFonts w:ascii="Arial" w:eastAsia="Times New Roman" w:hAnsi="Arial" w:cs="Arial"/>
      <w:sz w:val="24"/>
      <w:szCs w:val="24"/>
      <w:lang w:val="et-EE" w:eastAsia="et-EE"/>
    </w:rPr>
  </w:style>
  <w:style w:type="paragraph" w:customStyle="1" w:styleId="Style21">
    <w:name w:val="Style21"/>
    <w:basedOn w:val="Normal"/>
    <w:uiPriority w:val="99"/>
    <w:rsid w:val="00753704"/>
    <w:pPr>
      <w:widowControl w:val="0"/>
      <w:autoSpaceDE w:val="0"/>
      <w:autoSpaceDN w:val="0"/>
      <w:adjustRightInd w:val="0"/>
      <w:spacing w:after="0" w:line="254" w:lineRule="exact"/>
      <w:ind w:firstLine="317"/>
    </w:pPr>
    <w:rPr>
      <w:rFonts w:ascii="Arial" w:eastAsia="Times New Roman" w:hAnsi="Arial" w:cs="Arial"/>
      <w:sz w:val="24"/>
      <w:szCs w:val="24"/>
      <w:lang w:val="et-EE" w:eastAsia="et-EE"/>
    </w:rPr>
  </w:style>
  <w:style w:type="paragraph" w:customStyle="1" w:styleId="Style22">
    <w:name w:val="Style22"/>
    <w:basedOn w:val="Normal"/>
    <w:uiPriority w:val="99"/>
    <w:rsid w:val="00753704"/>
    <w:pPr>
      <w:widowControl w:val="0"/>
      <w:autoSpaceDE w:val="0"/>
      <w:autoSpaceDN w:val="0"/>
      <w:adjustRightInd w:val="0"/>
      <w:spacing w:after="0" w:line="341" w:lineRule="exact"/>
      <w:ind w:firstLine="154"/>
    </w:pPr>
    <w:rPr>
      <w:rFonts w:ascii="Arial" w:eastAsia="Times New Roman" w:hAnsi="Arial" w:cs="Arial"/>
      <w:sz w:val="24"/>
      <w:szCs w:val="24"/>
      <w:lang w:val="et-EE" w:eastAsia="et-EE"/>
    </w:rPr>
  </w:style>
  <w:style w:type="paragraph" w:customStyle="1" w:styleId="Default">
    <w:name w:val="Default"/>
    <w:rsid w:val="006101C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Revision">
    <w:name w:val="Revision"/>
    <w:hidden/>
    <w:uiPriority w:val="99"/>
    <w:semiHidden/>
    <w:rsid w:val="00AC1E0E"/>
    <w:pPr>
      <w:spacing w:after="0" w:line="240" w:lineRule="auto"/>
    </w:pPr>
  </w:style>
  <w:style w:type="character" w:styleId="PlaceholderText">
    <w:name w:val="Placeholder Text"/>
    <w:basedOn w:val="DefaultParagraphFont"/>
    <w:uiPriority w:val="99"/>
    <w:semiHidden/>
    <w:rsid w:val="008928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5693">
      <w:bodyDiv w:val="1"/>
      <w:marLeft w:val="0"/>
      <w:marRight w:val="0"/>
      <w:marTop w:val="0"/>
      <w:marBottom w:val="0"/>
      <w:divBdr>
        <w:top w:val="none" w:sz="0" w:space="0" w:color="auto"/>
        <w:left w:val="none" w:sz="0" w:space="0" w:color="auto"/>
        <w:bottom w:val="none" w:sz="0" w:space="0" w:color="auto"/>
        <w:right w:val="none" w:sz="0" w:space="0" w:color="auto"/>
      </w:divBdr>
    </w:div>
    <w:div w:id="658075006">
      <w:bodyDiv w:val="1"/>
      <w:marLeft w:val="0"/>
      <w:marRight w:val="0"/>
      <w:marTop w:val="0"/>
      <w:marBottom w:val="0"/>
      <w:divBdr>
        <w:top w:val="none" w:sz="0" w:space="0" w:color="auto"/>
        <w:left w:val="none" w:sz="0" w:space="0" w:color="auto"/>
        <w:bottom w:val="none" w:sz="0" w:space="0" w:color="auto"/>
        <w:right w:val="none" w:sz="0" w:space="0" w:color="auto"/>
      </w:divBdr>
      <w:divsChild>
        <w:div w:id="912861449">
          <w:marLeft w:val="0"/>
          <w:marRight w:val="0"/>
          <w:marTop w:val="0"/>
          <w:marBottom w:val="0"/>
          <w:divBdr>
            <w:top w:val="none" w:sz="0" w:space="0" w:color="auto"/>
            <w:left w:val="none" w:sz="0" w:space="0" w:color="auto"/>
            <w:bottom w:val="none" w:sz="0" w:space="0" w:color="auto"/>
            <w:right w:val="none" w:sz="0" w:space="0" w:color="auto"/>
          </w:divBdr>
        </w:div>
      </w:divsChild>
    </w:div>
    <w:div w:id="784809666">
      <w:bodyDiv w:val="1"/>
      <w:marLeft w:val="0"/>
      <w:marRight w:val="0"/>
      <w:marTop w:val="0"/>
      <w:marBottom w:val="0"/>
      <w:divBdr>
        <w:top w:val="none" w:sz="0" w:space="0" w:color="auto"/>
        <w:left w:val="none" w:sz="0" w:space="0" w:color="auto"/>
        <w:bottom w:val="none" w:sz="0" w:space="0" w:color="auto"/>
        <w:right w:val="none" w:sz="0" w:space="0" w:color="auto"/>
      </w:divBdr>
      <w:divsChild>
        <w:div w:id="62946289">
          <w:marLeft w:val="0"/>
          <w:marRight w:val="0"/>
          <w:marTop w:val="0"/>
          <w:marBottom w:val="0"/>
          <w:divBdr>
            <w:top w:val="none" w:sz="0" w:space="0" w:color="auto"/>
            <w:left w:val="none" w:sz="0" w:space="0" w:color="auto"/>
            <w:bottom w:val="none" w:sz="0" w:space="0" w:color="auto"/>
            <w:right w:val="none" w:sz="0" w:space="0" w:color="auto"/>
          </w:divBdr>
        </w:div>
      </w:divsChild>
    </w:div>
    <w:div w:id="1465733667">
      <w:bodyDiv w:val="1"/>
      <w:marLeft w:val="240"/>
      <w:marRight w:val="240"/>
      <w:marTop w:val="240"/>
      <w:marBottom w:val="6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EBE1A-E9AD-44F6-8DF8-34F789583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1730</Words>
  <Characters>10037</Characters>
  <Application>Microsoft Office Word</Application>
  <DocSecurity>0</DocSecurity>
  <Lines>83</Lines>
  <Paragraphs>23</Paragraphs>
  <ScaleCrop>false</ScaleCrop>
  <HeadingPairs>
    <vt:vector size="8" baseType="variant">
      <vt:variant>
        <vt:lpstr>Title</vt:lpstr>
      </vt:variant>
      <vt:variant>
        <vt:i4>1</vt:i4>
      </vt:variant>
      <vt:variant>
        <vt:lpstr>Rubrik</vt:lpstr>
      </vt:variant>
      <vt:variant>
        <vt:i4>1</vt:i4>
      </vt:variant>
      <vt:variant>
        <vt:lpstr>Tytuł</vt:lpstr>
      </vt:variant>
      <vt:variant>
        <vt:i4>1</vt:i4>
      </vt:variant>
      <vt:variant>
        <vt:lpstr>Otsikko</vt:lpstr>
      </vt:variant>
      <vt:variant>
        <vt:i4>1</vt:i4>
      </vt:variant>
    </vt:vector>
  </HeadingPairs>
  <TitlesOfParts>
    <vt:vector size="4" baseType="lpstr">
      <vt:lpstr/>
      <vt:lpstr/>
      <vt:lpstr/>
      <vt:lpstr/>
    </vt:vector>
  </TitlesOfParts>
  <Company>AST</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Mart.Allika@elering.ee</dc:creator>
  <cp:lastModifiedBy>Kätlin Klemmer</cp:lastModifiedBy>
  <cp:revision>2</cp:revision>
  <cp:lastPrinted>2018-11-08T15:32:00Z</cp:lastPrinted>
  <dcterms:created xsi:type="dcterms:W3CDTF">2019-02-15T11:37:00Z</dcterms:created>
  <dcterms:modified xsi:type="dcterms:W3CDTF">2019-02-15T11:37:00Z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