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54"/>
        <w:gridCol w:w="1415"/>
        <w:gridCol w:w="1776"/>
        <w:gridCol w:w="6882"/>
        <w:gridCol w:w="3367"/>
      </w:tblGrid>
      <w:tr w:rsidR="008571FD" w:rsidRPr="008571FD" w14:paraId="3026E36F" w14:textId="77777777" w:rsidTr="00095F8D">
        <w:tc>
          <w:tcPr>
            <w:tcW w:w="554" w:type="dxa"/>
          </w:tcPr>
          <w:p w14:paraId="377A8B8F" w14:textId="11BDFDB7" w:rsidR="00095F8D" w:rsidRPr="008571FD" w:rsidRDefault="00095F8D">
            <w:pPr>
              <w:rPr>
                <w:b/>
                <w:bCs/>
              </w:rPr>
            </w:pPr>
            <w:r w:rsidRPr="008571FD">
              <w:rPr>
                <w:b/>
                <w:bCs/>
              </w:rPr>
              <w:t>Jrk</w:t>
            </w:r>
          </w:p>
        </w:tc>
        <w:tc>
          <w:tcPr>
            <w:tcW w:w="1415" w:type="dxa"/>
          </w:tcPr>
          <w:p w14:paraId="6A6688F7" w14:textId="041BBEFC" w:rsidR="00095F8D" w:rsidRPr="008571FD" w:rsidRDefault="00095F8D">
            <w:pPr>
              <w:rPr>
                <w:b/>
                <w:bCs/>
              </w:rPr>
            </w:pPr>
            <w:r w:rsidRPr="008571FD">
              <w:rPr>
                <w:b/>
                <w:bCs/>
              </w:rPr>
              <w:t>Turuosaline</w:t>
            </w:r>
          </w:p>
        </w:tc>
        <w:tc>
          <w:tcPr>
            <w:tcW w:w="1776" w:type="dxa"/>
          </w:tcPr>
          <w:p w14:paraId="7AA14FE8" w14:textId="295DA9AC" w:rsidR="00095F8D" w:rsidRPr="008571FD" w:rsidRDefault="00095F8D">
            <w:pPr>
              <w:rPr>
                <w:b/>
                <w:bCs/>
              </w:rPr>
            </w:pPr>
            <w:r w:rsidRPr="008571FD">
              <w:rPr>
                <w:b/>
                <w:bCs/>
              </w:rPr>
              <w:t>Tüüptingimuste punkt</w:t>
            </w:r>
          </w:p>
        </w:tc>
        <w:tc>
          <w:tcPr>
            <w:tcW w:w="6882" w:type="dxa"/>
          </w:tcPr>
          <w:p w14:paraId="198371DE" w14:textId="36CCB970" w:rsidR="00095F8D" w:rsidRPr="008571FD" w:rsidRDefault="00095F8D">
            <w:pPr>
              <w:rPr>
                <w:b/>
                <w:bCs/>
              </w:rPr>
            </w:pPr>
            <w:r w:rsidRPr="008571FD">
              <w:rPr>
                <w:b/>
                <w:bCs/>
              </w:rPr>
              <w:t xml:space="preserve">Turuosalise ettepanek </w:t>
            </w:r>
          </w:p>
        </w:tc>
        <w:tc>
          <w:tcPr>
            <w:tcW w:w="3367" w:type="dxa"/>
          </w:tcPr>
          <w:p w14:paraId="62B40B6B" w14:textId="061C7142" w:rsidR="00095F8D" w:rsidRPr="008571FD" w:rsidRDefault="00095F8D">
            <w:pPr>
              <w:rPr>
                <w:b/>
                <w:bCs/>
              </w:rPr>
            </w:pPr>
            <w:r w:rsidRPr="008571FD">
              <w:rPr>
                <w:b/>
                <w:bCs/>
              </w:rPr>
              <w:t>Eleringi kommentaar</w:t>
            </w:r>
          </w:p>
        </w:tc>
      </w:tr>
      <w:tr w:rsidR="008571FD" w:rsidRPr="008571FD" w14:paraId="20009559" w14:textId="77777777" w:rsidTr="00095F8D">
        <w:tc>
          <w:tcPr>
            <w:tcW w:w="554" w:type="dxa"/>
          </w:tcPr>
          <w:p w14:paraId="4A246360" w14:textId="40BB1818" w:rsidR="00095F8D" w:rsidRPr="008571FD" w:rsidRDefault="00095F8D">
            <w:r w:rsidRPr="008571FD">
              <w:t>1</w:t>
            </w:r>
          </w:p>
        </w:tc>
        <w:tc>
          <w:tcPr>
            <w:tcW w:w="1415" w:type="dxa"/>
          </w:tcPr>
          <w:p w14:paraId="5EEFF1D0" w14:textId="7348C7C2" w:rsidR="00095F8D" w:rsidRPr="008571FD" w:rsidRDefault="00095F8D">
            <w:r w:rsidRPr="008571FD">
              <w:t>Energy Estonia OÜ</w:t>
            </w:r>
          </w:p>
        </w:tc>
        <w:tc>
          <w:tcPr>
            <w:tcW w:w="1776" w:type="dxa"/>
          </w:tcPr>
          <w:p w14:paraId="361CA642" w14:textId="567F6379" w:rsidR="00095F8D" w:rsidRPr="008571FD" w:rsidRDefault="00095F8D">
            <w:r w:rsidRPr="008571FD">
              <w:t>p 9.1.2</w:t>
            </w:r>
          </w:p>
        </w:tc>
        <w:tc>
          <w:tcPr>
            <w:tcW w:w="6882" w:type="dxa"/>
          </w:tcPr>
          <w:p w14:paraId="24CB918F" w14:textId="77777777" w:rsidR="00095F8D" w:rsidRPr="008571FD" w:rsidRDefault="00095F8D">
            <w:r w:rsidRPr="008571FD">
              <w:t>Teeme ettepaneku sõnastada tüüptingimuste p 9.1.2 järgmiselt: „Kui süsteemihaldur on aktiveeritud strateegilisi reserve, on bilansienergia hinnaks aktiveeritud sageduse taastamise reservide marginaalhind“.</w:t>
            </w:r>
          </w:p>
          <w:p w14:paraId="6528534F" w14:textId="77777777" w:rsidR="00095F8D" w:rsidRPr="008571FD" w:rsidRDefault="00095F8D"/>
          <w:p w14:paraId="608FC0B8" w14:textId="51168F8B" w:rsidR="00095F8D" w:rsidRPr="008571FD" w:rsidRDefault="00095F8D" w:rsidP="00095F8D">
            <w:r w:rsidRPr="008571FD">
              <w:t>Esiteks on Konkurentsiamet oma 17.04.2024 otsusega nr 7-26/2024-004 määranud vastavalt Euroopa Parlamendi ja nõukogu määruse (EL) 2019/943 artiklile 11 saamata jäänud energia hinna 9206 €/MWh.</w:t>
            </w:r>
            <w:r w:rsidRPr="008571FD">
              <w:rPr>
                <w:rStyle w:val="FootnoteReference"/>
              </w:rPr>
              <w:footnoteReference w:id="1"/>
            </w:r>
          </w:p>
          <w:p w14:paraId="650C84A6" w14:textId="77777777" w:rsidR="00095F8D" w:rsidRPr="008571FD" w:rsidRDefault="00095F8D" w:rsidP="00095F8D"/>
          <w:p w14:paraId="2D282878" w14:textId="22359A9F" w:rsidR="00095F8D" w:rsidRPr="008571FD" w:rsidRDefault="00095F8D" w:rsidP="00095F8D">
            <w:r w:rsidRPr="008571FD">
              <w:t>Teiseks on päevasisese turu tehniline piirhind NordPooli Eesti hinnapiirkonnas 9999 €/MWh.</w:t>
            </w:r>
            <w:r w:rsidRPr="008571FD">
              <w:rPr>
                <w:rStyle w:val="FootnoteReference"/>
              </w:rPr>
              <w:footnoteReference w:id="2"/>
            </w:r>
            <w:r w:rsidRPr="008571FD">
              <w:t xml:space="preserve"> See tähendab, et eelnõu praeguse sõnastuse kohaselt ei saa strateegilise reservi aktiveerimisel bilansienergia hinnaks olla vähem kui 9999 €/MWh. Selline olukord kannab aga bilansienergiast sõltuvate turuosaliste jaoks väga suurt finantsilist riski. Niivõrd ekstreemne bilansihind iga strateegilise reservi käivitamise korral muudaks põhjendamatult keeruliseks nende turuosaliste omavahelise bilansiselgituse, kes kasutavad bilansihinda (s.h ärikliendi avatud tarne katkemisel), ent ei ole seotud avariiga, mis strateegilise reservi käivitamise põhjustas.</w:t>
            </w:r>
          </w:p>
          <w:p w14:paraId="5D34C7F0" w14:textId="77777777" w:rsidR="00095F8D" w:rsidRPr="008571FD" w:rsidRDefault="00095F8D" w:rsidP="00095F8D"/>
          <w:p w14:paraId="042308D3" w14:textId="78A54740" w:rsidR="00095F8D" w:rsidRPr="008571FD" w:rsidRDefault="00095F8D" w:rsidP="00095F8D">
            <w:r w:rsidRPr="008571FD">
              <w:t>Riskide maandamise huvides peame vajalikuks arvestada bilansienergia hinnaks aktiveeritud sageduse taastamise reservide marginaalhinda, mis on turuosalise vaatest märkimisväärselt arusaadavam ja põhjendatum lahendus.</w:t>
            </w:r>
          </w:p>
        </w:tc>
        <w:tc>
          <w:tcPr>
            <w:tcW w:w="3367" w:type="dxa"/>
          </w:tcPr>
          <w:p w14:paraId="26493DCF" w14:textId="5EC1D02B" w:rsidR="00213431" w:rsidRPr="008571FD" w:rsidRDefault="00213431" w:rsidP="00373E87">
            <w:pPr>
              <w:pStyle w:val="NormalWeb"/>
              <w:rPr>
                <w:rFonts w:asciiTheme="minorHAnsi" w:hAnsiTheme="minorHAnsi"/>
                <w:sz w:val="22"/>
                <w:szCs w:val="22"/>
              </w:rPr>
            </w:pPr>
            <w:r w:rsidRPr="008571FD">
              <w:rPr>
                <w:rFonts w:asciiTheme="minorHAnsi" w:hAnsiTheme="minorHAnsi"/>
                <w:sz w:val="22"/>
                <w:szCs w:val="22"/>
              </w:rPr>
              <w:t>Oleme ettepanekule vastu. Vastavalt Euroopa Komisjoni Teatise  (CEEAG2022)</w:t>
            </w:r>
            <w:r w:rsidRPr="008571FD">
              <w:rPr>
                <w:rStyle w:val="FootnoteReference"/>
                <w:rFonts w:asciiTheme="minorHAnsi" w:hAnsiTheme="minorHAnsi"/>
                <w:sz w:val="22"/>
                <w:szCs w:val="22"/>
              </w:rPr>
              <w:footnoteReference w:id="3"/>
            </w:r>
            <w:r w:rsidRPr="008571FD">
              <w:rPr>
                <w:rFonts w:asciiTheme="minorHAnsi" w:hAnsiTheme="minorHAnsi"/>
                <w:sz w:val="22"/>
                <w:szCs w:val="22"/>
              </w:rPr>
              <w:t xml:space="preserve"> punkt 363 alapunktile b), mille kohaselt tuleb  strateegiliste reservide ja muude ressursside piisavuse tagamise meetmete, sealhulgas katkestamiskavade korral, mille puhul võimsust hoitakse väljaspool turgu, kohaldatakse turuhindade kujunemise moonutamise vältimiseks järgmisi täiendavaid kumulatiivseid nõudeid: tasakaaluarveldusperioodidel, mil meetme ressursse  edastatakse, tehakse arveldused seoses turul esineva tasakaalustamatusega vähemalt saamata energia hinna alusel või päevasisesest tehnilisest piirhinnast kõrgema hinna alusel, olenevalt sellest, kumb on kõrgem;</w:t>
            </w:r>
          </w:p>
          <w:p w14:paraId="4F1627C5" w14:textId="36578B4B" w:rsidR="00095F8D" w:rsidRPr="008571FD" w:rsidRDefault="00095F8D" w:rsidP="008571FD">
            <w:pPr>
              <w:pStyle w:val="NormalWeb"/>
            </w:pPr>
          </w:p>
        </w:tc>
      </w:tr>
      <w:tr w:rsidR="008571FD" w:rsidRPr="008571FD" w14:paraId="28829FA1" w14:textId="77777777" w:rsidTr="00095F8D">
        <w:tc>
          <w:tcPr>
            <w:tcW w:w="554" w:type="dxa"/>
          </w:tcPr>
          <w:p w14:paraId="6D47E00D" w14:textId="6498168D" w:rsidR="00095F8D" w:rsidRPr="008571FD" w:rsidRDefault="00095F8D">
            <w:r w:rsidRPr="008571FD">
              <w:lastRenderedPageBreak/>
              <w:t>2</w:t>
            </w:r>
          </w:p>
        </w:tc>
        <w:tc>
          <w:tcPr>
            <w:tcW w:w="1415" w:type="dxa"/>
          </w:tcPr>
          <w:p w14:paraId="516E3692" w14:textId="6DA802A7" w:rsidR="00095F8D" w:rsidRPr="008571FD" w:rsidRDefault="00095F8D">
            <w:r w:rsidRPr="008571FD">
              <w:t>Eesti Energia AS</w:t>
            </w:r>
          </w:p>
        </w:tc>
        <w:tc>
          <w:tcPr>
            <w:tcW w:w="1776" w:type="dxa"/>
          </w:tcPr>
          <w:p w14:paraId="0C306492" w14:textId="1B5DA34E" w:rsidR="00095F8D" w:rsidRPr="008571FD" w:rsidRDefault="00095F8D">
            <w:r w:rsidRPr="008571FD">
              <w:t>p 7.1.3</w:t>
            </w:r>
          </w:p>
        </w:tc>
        <w:tc>
          <w:tcPr>
            <w:tcW w:w="6882" w:type="dxa"/>
          </w:tcPr>
          <w:p w14:paraId="05AF1BAD" w14:textId="77777777" w:rsidR="00095F8D" w:rsidRPr="008571FD" w:rsidRDefault="00095F8D">
            <w:r w:rsidRPr="008571FD">
              <w:t>Ettepanek kustutada tüüptingimistest bilansiplaanide tasakaalustamise nõude, kuna esineb olukordi kus seda praktiliselt ei ole võimalik saavutada majanduslikel turutingimustel ning see kahjustab turuosaliste huve.</w:t>
            </w:r>
          </w:p>
          <w:p w14:paraId="1380D508" w14:textId="77777777" w:rsidR="00095F8D" w:rsidRPr="008571FD" w:rsidRDefault="00095F8D"/>
          <w:p w14:paraId="778F25D0" w14:textId="77777777" w:rsidR="00095F8D" w:rsidRPr="008571FD" w:rsidRDefault="00095F8D" w:rsidP="00095F8D">
            <w:r w:rsidRPr="008571FD">
              <w:rPr>
                <w:u w:val="single"/>
              </w:rPr>
              <w:t>Selgitus</w:t>
            </w:r>
            <w:r w:rsidRPr="008571FD">
              <w:t xml:space="preserve">: </w:t>
            </w:r>
          </w:p>
          <w:p w14:paraId="49AA96EC" w14:textId="77777777" w:rsidR="00095F8D" w:rsidRPr="008571FD" w:rsidRDefault="00095F8D" w:rsidP="00095F8D">
            <w:r w:rsidRPr="008571FD">
              <w:t>Tüüptingimustes olev nõue esitada päev-ette tasakaalus bilansiplaani piirab põhjendamatult bilansihaldurite elektrikauplemise majanduslikke otsuseid ning sunnib tegema tehinguid päev-ette turul, mis ei ole alati majanduslikult otstarbekas ega kulutõhus. Ekstreemsete päev-ette turu elektrihindade või muude turutõrgete puhul võib bilansihaldur olla motiveeritud jätma tarbimise rahuldamiseks vajaliku elektri ostmise täielikult või osaliselt päevasisesele turule, lähtudes majanduslikust otstarbekusest ja kulutõhususest. Kehtiv tüüptingimuste nõue suurendab põhjendamatult bilansihaldurite kulu. Kehtivat nõuet on väga keerukas ja kõigile osapooltele liigselt kulukas täita, juhul kui tasakaalustavaid turutehinguid sõlmitakse planeerimisfaasi järgnevatel turgudel või kui näiteks on tegemist suure installeeritud võimsuse energiaploki rikkega ning päevasisene turg ei võimalda täielikult ära tasakaalustada tootmisest välja langenud tootmisvara. Juhime tähelepanu, et Euroopa Liidu õigusaktid ei nõua, et kõik planeeritud tarbimise ja tootmise kogused tuleb osta ja müüa päev-ette turul. Lisame selgituseks näite järgmisest olukorrast:</w:t>
            </w:r>
          </w:p>
          <w:p w14:paraId="378EED3C" w14:textId="306CA70A" w:rsidR="00095F8D" w:rsidRPr="008571FD" w:rsidRDefault="00095F8D" w:rsidP="00095F8D">
            <w:r w:rsidRPr="008571FD">
              <w:t xml:space="preserve">Oletagem ööpäeva tundideks 19-20 on bilansihaldur prognoosinud tarbimist 500 MWh/h. Paraku (mingite sõltumatute sündmuste kokkulangemisel) kujuneb päev-ette turuhind kõrgel tasemel, nt 4500 EUR/MWh. Bilansihalduril ei ole sel juhul põhjust osta kogu prognoositud kogust päev-ette turult eeltoodud kõrge hinnaga, vaid bilansihalduril on igati majanduslikult mõistlik jätta 50% ost vajaminevast kogusest päevasisesele turu ostule või bilateraalsetele tehingutele. Selge on, et sõltumata kõrgest turuhinnast tarbimine ei </w:t>
            </w:r>
            <w:r w:rsidRPr="008571FD">
              <w:lastRenderedPageBreak/>
              <w:t>vähene 50% võrra. Seega asjakohane ja korrektne viis kuidas esitada bilansiplaani antud juhul on näidata prognoositud tarbimist 500 MWh ja ostu Nord Pool päev-ette turult 250 MWh ulatuses ning samuti teavitada süsteemihaldurit, et 250 MWh ulatuses on päev-ette turu seisuga puudu. Tasakaalu nõue sellist teavitamist ei võimalda. Seega on bilansihalduril kehtivate tüüptingimuste kohaselt kaks võimalust: (a) osta 100% planeeritud tarbimisest kuludega arvestamata päev-ette turult; või (b) esitada süsteemihaldurile eksitavate kogustega bilansiplaan kus prognoositud tarbimine on kunstlikult vähendatud 250 MWh-ni ja millega on kunstlikult saavutatud nõutud tasakaal. Esimesel juhul bilansihaldur tegutseb majanduslikult ebaõigesti ja ebaoptimaalsel viisil tarbijate suhtes; või teisel juhul esitab ekslikku teavet süsteemihaldurile, mis on keelatud tegevus. Mõlemal juhul on tulemuseks ebaoptimaalne käitumine ning erinevate turuosaliste huvide kahjustamine. Seetõttu ei ole mõistlik nõuda bilansihaldurilt tasakaalustatud plaani igal hetkel. Lisame, et eeltoodud põhjustel ei ole teistes riikides peale Balti riike sellist nõuet. Aeg on sellest nõudest loobuda kuna see ilmselgelt ei soodusta majanduslikult optimaalsete otsuste tegemist, mis saab eriti oluliseks sagedusala vahetusega, et maandada elektrisüsteemi ja turuosaliste kulusid ja riske.</w:t>
            </w:r>
          </w:p>
        </w:tc>
        <w:tc>
          <w:tcPr>
            <w:tcW w:w="3367" w:type="dxa"/>
          </w:tcPr>
          <w:p w14:paraId="675B03B0" w14:textId="6C6800B6" w:rsidR="00EF5C11" w:rsidRPr="008571FD" w:rsidRDefault="00EF5C11" w:rsidP="00EF5C11">
            <w:pPr>
              <w:pStyle w:val="Heading3"/>
              <w:shd w:val="clear" w:color="auto" w:fill="FFFFFF"/>
              <w:spacing w:before="0" w:after="0"/>
              <w:rPr>
                <w:rFonts w:eastAsia="Times New Roman" w:cs="Arial"/>
                <w:color w:val="auto"/>
                <w:kern w:val="0"/>
                <w:sz w:val="22"/>
                <w:szCs w:val="22"/>
                <w:lang w:eastAsia="et-EE"/>
                <w14:ligatures w14:val="none"/>
              </w:rPr>
            </w:pPr>
            <w:r w:rsidRPr="008571FD">
              <w:rPr>
                <w:color w:val="auto"/>
                <w:sz w:val="22"/>
                <w:szCs w:val="22"/>
              </w:rPr>
              <w:lastRenderedPageBreak/>
              <w:t xml:space="preserve">Ettepanek tagasi lükatud. Elering ei luba süsteemse bilansienergia tekitamist ning nõue on kooskõlas elektrituru toimimise võrgueeskirjaga </w:t>
            </w:r>
            <w:r w:rsidRPr="008571FD">
              <w:rPr>
                <w:rFonts w:eastAsia="Times New Roman" w:cs="Arial"/>
                <w:color w:val="auto"/>
                <w:kern w:val="0"/>
                <w:sz w:val="22"/>
                <w:szCs w:val="22"/>
                <w:bdr w:val="none" w:sz="0" w:space="0" w:color="auto" w:frame="1"/>
                <w:lang w:eastAsia="et-EE"/>
                <w14:ligatures w14:val="none"/>
              </w:rPr>
              <w:t>§ 12.(</w:t>
            </w:r>
            <w:r w:rsidRPr="008571FD">
              <w:rPr>
                <w:rFonts w:eastAsia="Times New Roman" w:cs="Arial"/>
                <w:color w:val="auto"/>
                <w:kern w:val="0"/>
                <w:sz w:val="22"/>
                <w:szCs w:val="22"/>
                <w:lang w:eastAsia="et-EE"/>
                <w14:ligatures w14:val="none"/>
              </w:rPr>
              <w:t>3), mille alusel bilansihaldur ei tohi ettekavatsetult bilansienergiat kasutada.</w:t>
            </w:r>
          </w:p>
          <w:p w14:paraId="7F597962" w14:textId="77777777" w:rsidR="00EF5C11" w:rsidRPr="008571FD" w:rsidRDefault="00EF5C11" w:rsidP="00EF5C11">
            <w:pPr>
              <w:rPr>
                <w:lang w:eastAsia="et-EE"/>
              </w:rPr>
            </w:pPr>
          </w:p>
          <w:p w14:paraId="0869F994" w14:textId="1EF2F065" w:rsidR="00EF5C11" w:rsidRPr="008571FD" w:rsidRDefault="00EF5C11" w:rsidP="008571FD">
            <w:pPr>
              <w:rPr>
                <w:lang w:eastAsia="et-EE"/>
              </w:rPr>
            </w:pPr>
            <w:r w:rsidRPr="008571FD">
              <w:rPr>
                <w:lang w:eastAsia="et-EE"/>
              </w:rPr>
              <w:t>Bilansiplaanid näitavad, et turule müüdud ja turult ostetud kogused vastavad portfellis prognoositud tootmisele ja tarbimisele.</w:t>
            </w:r>
          </w:p>
          <w:p w14:paraId="3DF6149E" w14:textId="77777777" w:rsidR="00EF5C11" w:rsidRPr="008571FD" w:rsidRDefault="00EF5C11" w:rsidP="008571FD">
            <w:pPr>
              <w:rPr>
                <w:lang w:eastAsia="et-EE"/>
              </w:rPr>
            </w:pPr>
          </w:p>
          <w:p w14:paraId="012FF97B" w14:textId="29A951E7" w:rsidR="00EF5C11" w:rsidRPr="008571FD" w:rsidRDefault="00EF5C11"/>
        </w:tc>
      </w:tr>
      <w:tr w:rsidR="008571FD" w:rsidRPr="008571FD" w14:paraId="64646C91" w14:textId="77777777" w:rsidTr="00095F8D">
        <w:tc>
          <w:tcPr>
            <w:tcW w:w="554" w:type="dxa"/>
          </w:tcPr>
          <w:p w14:paraId="2187CBD1" w14:textId="39A60427" w:rsidR="00095F8D" w:rsidRPr="008571FD" w:rsidRDefault="00095F8D">
            <w:r w:rsidRPr="008571FD">
              <w:t>3</w:t>
            </w:r>
          </w:p>
        </w:tc>
        <w:tc>
          <w:tcPr>
            <w:tcW w:w="1415" w:type="dxa"/>
          </w:tcPr>
          <w:p w14:paraId="3632A2F4" w14:textId="42C0A839" w:rsidR="00095F8D" w:rsidRPr="008571FD" w:rsidRDefault="00095F8D">
            <w:r w:rsidRPr="008571FD">
              <w:t>Eesti Energia AS</w:t>
            </w:r>
          </w:p>
        </w:tc>
        <w:tc>
          <w:tcPr>
            <w:tcW w:w="1776" w:type="dxa"/>
          </w:tcPr>
          <w:p w14:paraId="4FA24A36" w14:textId="49025DEA" w:rsidR="00095F8D" w:rsidRPr="008571FD" w:rsidRDefault="00095F8D">
            <w:r w:rsidRPr="008571FD">
              <w:t>p 7.3.1 -7.3.3</w:t>
            </w:r>
          </w:p>
        </w:tc>
        <w:tc>
          <w:tcPr>
            <w:tcW w:w="6882" w:type="dxa"/>
          </w:tcPr>
          <w:p w14:paraId="21713E75" w14:textId="77777777" w:rsidR="00095F8D" w:rsidRPr="008571FD" w:rsidRDefault="00095F8D">
            <w:r w:rsidRPr="008571FD">
              <w:t>Ettepanek kasutada raporteerimiseks päevasisese turu tehingute tarnekavasid elektrituru korraldajate poolt, mis on igal juhul määratletud kui prioriteetse tähtsusega tüüptingimused ning seeläbi vabastada bilansihaldurid üleliigsest päevasisese raporteerimise kohustusest.</w:t>
            </w:r>
          </w:p>
          <w:p w14:paraId="13D5A6DF" w14:textId="77777777" w:rsidR="00095F8D" w:rsidRPr="008571FD" w:rsidRDefault="00095F8D"/>
          <w:p w14:paraId="2350079A" w14:textId="77777777" w:rsidR="00095F8D" w:rsidRPr="008571FD" w:rsidRDefault="00095F8D" w:rsidP="00095F8D">
            <w:r w:rsidRPr="008571FD">
              <w:rPr>
                <w:u w:val="single"/>
              </w:rPr>
              <w:t>Selgitus</w:t>
            </w:r>
            <w:r w:rsidRPr="008571FD">
              <w:t xml:space="preserve">: </w:t>
            </w:r>
          </w:p>
          <w:p w14:paraId="2005DA6D" w14:textId="4F95602C" w:rsidR="00095F8D" w:rsidRPr="008571FD" w:rsidRDefault="00095F8D">
            <w:r w:rsidRPr="008571FD">
              <w:t>Enamuste teiste EL liikmesriikide andmevahetuses (Soome, muud Skandinaavia riigid, Poola) raporteeritakse ainult bilansipiirkonna välised tarnekavad ja tootmisplaanid. Näiteks Skandinaavias ei ole bilansihalduril tarvis raporteerida elektribörsidel tehtud tehinguid, kuna süsteemihaldurid kasutavad elektrituru korraldaja andmeid bilansiplaneerimises</w:t>
            </w:r>
          </w:p>
        </w:tc>
        <w:tc>
          <w:tcPr>
            <w:tcW w:w="3367" w:type="dxa"/>
          </w:tcPr>
          <w:p w14:paraId="41DFC237" w14:textId="77777777" w:rsidR="005F085E" w:rsidRPr="008571FD" w:rsidRDefault="005F085E"/>
          <w:p w14:paraId="1B995527" w14:textId="312D0F11" w:rsidR="005F085E" w:rsidRPr="008571FD" w:rsidRDefault="005F085E">
            <w:r w:rsidRPr="008571FD">
              <w:t>Ettepanek tagasi lükatud, kuna hetkel ei ole Eleringil võimalik IT tehnilist lahendust muuta.</w:t>
            </w:r>
          </w:p>
        </w:tc>
      </w:tr>
      <w:tr w:rsidR="008571FD" w:rsidRPr="008571FD" w14:paraId="02DD72DB" w14:textId="77777777" w:rsidTr="00095F8D">
        <w:tc>
          <w:tcPr>
            <w:tcW w:w="554" w:type="dxa"/>
          </w:tcPr>
          <w:p w14:paraId="1054C70E" w14:textId="30FA1958" w:rsidR="00095F8D" w:rsidRPr="008571FD" w:rsidRDefault="00095F8D">
            <w:r w:rsidRPr="008571FD">
              <w:lastRenderedPageBreak/>
              <w:t>4</w:t>
            </w:r>
          </w:p>
        </w:tc>
        <w:tc>
          <w:tcPr>
            <w:tcW w:w="1415" w:type="dxa"/>
          </w:tcPr>
          <w:p w14:paraId="7BA5E7BD" w14:textId="74027190" w:rsidR="00095F8D" w:rsidRPr="008571FD" w:rsidRDefault="00095F8D">
            <w:r w:rsidRPr="008571FD">
              <w:t>Eesti Energia AS</w:t>
            </w:r>
          </w:p>
        </w:tc>
        <w:tc>
          <w:tcPr>
            <w:tcW w:w="1776" w:type="dxa"/>
          </w:tcPr>
          <w:p w14:paraId="26B84189" w14:textId="7BEDF202" w:rsidR="00095F8D" w:rsidRPr="008571FD" w:rsidRDefault="00095F8D">
            <w:r w:rsidRPr="008571FD">
              <w:t>p 13.1.10</w:t>
            </w:r>
          </w:p>
        </w:tc>
        <w:tc>
          <w:tcPr>
            <w:tcW w:w="6882" w:type="dxa"/>
          </w:tcPr>
          <w:p w14:paraId="1C19A846" w14:textId="77777777" w:rsidR="00095F8D" w:rsidRPr="008571FD" w:rsidRDefault="00095F8D">
            <w:r w:rsidRPr="008571FD">
              <w:t>Ettepanek sätestada, et peale seda kui neutraalsuse komponent on arvestatud bilansiteenuse tasu tariifides peab lõplike bilansienergia hindade arvutamine ja avaldamine toimuma koheselt (minimaalse viitega) peale 15 minuti ISP perioodi lõppu.</w:t>
            </w:r>
          </w:p>
          <w:p w14:paraId="130F2BDC" w14:textId="77777777" w:rsidR="00095F8D" w:rsidRPr="008571FD" w:rsidRDefault="00095F8D" w:rsidP="00095F8D"/>
          <w:p w14:paraId="61974808" w14:textId="0DCD2B9F" w:rsidR="00095F8D" w:rsidRPr="008571FD" w:rsidRDefault="00095F8D" w:rsidP="00095F8D">
            <w:r w:rsidRPr="008571FD">
              <w:rPr>
                <w:u w:val="single"/>
              </w:rPr>
              <w:t>Selgitus</w:t>
            </w:r>
            <w:r w:rsidRPr="008571FD">
              <w:t>:</w:t>
            </w:r>
          </w:p>
          <w:p w14:paraId="05B6F2A0" w14:textId="03B33A38" w:rsidR="00095F8D" w:rsidRPr="008571FD" w:rsidRDefault="00095F8D" w:rsidP="00095F8D">
            <w:r w:rsidRPr="008571FD">
              <w:t>Kuna kogu andmestik hinna määramiseks on koheselt süsteemihalduril olemas, ei ole põhjust bilansienergia hindade arvutamise ja avaldamisega viivitada. Kiirem info liikumine soodustab efektiivset turukorraldust.</w:t>
            </w:r>
          </w:p>
        </w:tc>
        <w:tc>
          <w:tcPr>
            <w:tcW w:w="3367" w:type="dxa"/>
          </w:tcPr>
          <w:p w14:paraId="56868D09" w14:textId="4033E9D0" w:rsidR="00FF7350" w:rsidRPr="008571FD" w:rsidRDefault="00226496">
            <w:r w:rsidRPr="008571FD">
              <w:t xml:space="preserve">Oleme nõus avaldama esialgse hinna pärast kauplemisperioodi lõppu, kuid jätame endale õiguse hindu korrigeerida pärast bilansienergia hinna arvutamise sisendandmete täpsustumist </w:t>
            </w:r>
            <w:r w:rsidR="001037F7" w:rsidRPr="008571FD">
              <w:t>kuni järgneva kalendrikuu 5nda tööpäevani</w:t>
            </w:r>
            <w:r w:rsidRPr="008571FD">
              <w:t xml:space="preserve">. </w:t>
            </w:r>
          </w:p>
        </w:tc>
      </w:tr>
      <w:tr w:rsidR="008571FD" w:rsidRPr="008571FD" w14:paraId="5B614FC9" w14:textId="77777777" w:rsidTr="00095F8D">
        <w:tc>
          <w:tcPr>
            <w:tcW w:w="554" w:type="dxa"/>
          </w:tcPr>
          <w:p w14:paraId="02D5D18B" w14:textId="05AB2242" w:rsidR="00095F8D" w:rsidRPr="008571FD" w:rsidRDefault="00095F8D">
            <w:r w:rsidRPr="008571FD">
              <w:t>5</w:t>
            </w:r>
          </w:p>
        </w:tc>
        <w:tc>
          <w:tcPr>
            <w:tcW w:w="1415" w:type="dxa"/>
          </w:tcPr>
          <w:p w14:paraId="048BF435" w14:textId="1CCB9FDE" w:rsidR="00095F8D" w:rsidRPr="008571FD" w:rsidRDefault="00095F8D">
            <w:r w:rsidRPr="008571FD">
              <w:t>Eesti Energia AS</w:t>
            </w:r>
          </w:p>
        </w:tc>
        <w:tc>
          <w:tcPr>
            <w:tcW w:w="1776" w:type="dxa"/>
          </w:tcPr>
          <w:p w14:paraId="08245506" w14:textId="7125D742" w:rsidR="00095F8D" w:rsidRPr="008571FD" w:rsidRDefault="00095F8D">
            <w:r w:rsidRPr="008571FD">
              <w:t>p 7.1.1.</w:t>
            </w:r>
          </w:p>
        </w:tc>
        <w:tc>
          <w:tcPr>
            <w:tcW w:w="6882" w:type="dxa"/>
          </w:tcPr>
          <w:p w14:paraId="7EC76B2D" w14:textId="77777777" w:rsidR="00095F8D" w:rsidRPr="008571FD" w:rsidRDefault="00095F8D">
            <w:r w:rsidRPr="008571FD">
              <w:t>Ettepanek täpsustada selgelt, et bilansiplaneerimine muudetakse MWh energiaühikust ümber MW võimsuseühikule.</w:t>
            </w:r>
          </w:p>
          <w:p w14:paraId="783F4589" w14:textId="77777777" w:rsidR="00095F8D" w:rsidRPr="008571FD" w:rsidRDefault="00095F8D"/>
          <w:p w14:paraId="031639C1" w14:textId="77777777" w:rsidR="00095F8D" w:rsidRPr="008571FD" w:rsidRDefault="00095F8D" w:rsidP="00095F8D">
            <w:r w:rsidRPr="008571FD">
              <w:rPr>
                <w:u w:val="single"/>
              </w:rPr>
              <w:t>Selgitus</w:t>
            </w:r>
            <w:r w:rsidRPr="008571FD">
              <w:t>:</w:t>
            </w:r>
          </w:p>
          <w:p w14:paraId="74DE8163" w14:textId="06B24070" w:rsidR="00095F8D" w:rsidRPr="008571FD" w:rsidRDefault="00095F8D" w:rsidP="00095F8D">
            <w:bookmarkStart w:id="0" w:name="_Hlk172648542"/>
            <w:r w:rsidRPr="008571FD">
              <w:t>Pärast 15-min ebabilansiperioodi juurutamist esitatakse bilansiplaani tarnekavad 0,1 MW täpsusega ning MW võimsusühikus</w:t>
            </w:r>
            <w:bookmarkEnd w:id="0"/>
          </w:p>
        </w:tc>
        <w:tc>
          <w:tcPr>
            <w:tcW w:w="3367" w:type="dxa"/>
          </w:tcPr>
          <w:p w14:paraId="1716A915" w14:textId="053C6336" w:rsidR="00095F8D" w:rsidRPr="008571FD" w:rsidRDefault="00FF7350">
            <w:r w:rsidRPr="008571FD">
              <w:t>Oleme</w:t>
            </w:r>
            <w:r w:rsidR="00213431" w:rsidRPr="008571FD">
              <w:t xml:space="preserve"> ettepanekuga</w:t>
            </w:r>
            <w:r w:rsidRPr="008571FD">
              <w:t xml:space="preserve"> nõus. Tä</w:t>
            </w:r>
            <w:r w:rsidR="00213431" w:rsidRPr="008571FD">
              <w:t xml:space="preserve">iendame punkti 2.12 </w:t>
            </w:r>
          </w:p>
        </w:tc>
      </w:tr>
      <w:tr w:rsidR="008571FD" w:rsidRPr="008571FD" w14:paraId="2F9DF5EC" w14:textId="77777777" w:rsidTr="00095F8D">
        <w:tc>
          <w:tcPr>
            <w:tcW w:w="554" w:type="dxa"/>
          </w:tcPr>
          <w:p w14:paraId="73171775" w14:textId="114DF6ED" w:rsidR="00095F8D" w:rsidRPr="008571FD" w:rsidRDefault="00095F8D">
            <w:r w:rsidRPr="008571FD">
              <w:t>6</w:t>
            </w:r>
          </w:p>
        </w:tc>
        <w:tc>
          <w:tcPr>
            <w:tcW w:w="1415" w:type="dxa"/>
          </w:tcPr>
          <w:p w14:paraId="3F3EC4F6" w14:textId="4AC0D98B" w:rsidR="00095F8D" w:rsidRPr="008571FD" w:rsidRDefault="00095F8D">
            <w:r w:rsidRPr="008571FD">
              <w:t>Eesti Energia AS</w:t>
            </w:r>
          </w:p>
        </w:tc>
        <w:tc>
          <w:tcPr>
            <w:tcW w:w="1776" w:type="dxa"/>
          </w:tcPr>
          <w:p w14:paraId="6616DD44" w14:textId="3A6E5B13" w:rsidR="00095F8D" w:rsidRPr="008571FD" w:rsidRDefault="00095F8D">
            <w:r w:rsidRPr="008571FD">
              <w:t>p 2.21</w:t>
            </w:r>
          </w:p>
        </w:tc>
        <w:tc>
          <w:tcPr>
            <w:tcW w:w="6882" w:type="dxa"/>
          </w:tcPr>
          <w:p w14:paraId="163379FC" w14:textId="39F0134D" w:rsidR="00095F8D" w:rsidRPr="008571FD" w:rsidRDefault="00095F8D">
            <w:r w:rsidRPr="008571FD">
              <w:t>Ettepanek täpsustada sõnastust järgmiselt: „/… /</w:t>
            </w:r>
            <w:bookmarkStart w:id="1" w:name="_Hlk172648699"/>
            <w:r w:rsidRPr="008571FD">
              <w:t>Eesti hinnapiirkonnas soodsaima aktiveerimata reguleerimispakkumise hinna ja vastava kauplemistunni päev-ette turu hinna hinnavahe</w:t>
            </w:r>
            <w:bookmarkEnd w:id="1"/>
            <w:r w:rsidRPr="008571FD">
              <w:t>/../“</w:t>
            </w:r>
          </w:p>
        </w:tc>
        <w:tc>
          <w:tcPr>
            <w:tcW w:w="3367" w:type="dxa"/>
          </w:tcPr>
          <w:p w14:paraId="4FDB6AD3" w14:textId="4BEB7E03" w:rsidR="00095F8D" w:rsidRPr="008571FD" w:rsidRDefault="00226496">
            <w:r w:rsidRPr="008571FD">
              <w:t>Oleme</w:t>
            </w:r>
            <w:r w:rsidR="00487382" w:rsidRPr="008571FD">
              <w:t xml:space="preserve"> ettepanekuga</w:t>
            </w:r>
            <w:r w:rsidRPr="008571FD">
              <w:t xml:space="preserve"> nõus. </w:t>
            </w:r>
            <w:r w:rsidR="00487382" w:rsidRPr="008571FD">
              <w:t>Korrigeerisime punkti 2.20 sõnastust.</w:t>
            </w:r>
            <w:r w:rsidR="00FF7350" w:rsidRPr="008571FD">
              <w:t xml:space="preserve"> </w:t>
            </w:r>
          </w:p>
        </w:tc>
      </w:tr>
      <w:tr w:rsidR="00095F8D" w:rsidRPr="008571FD" w14:paraId="343EC9C5" w14:textId="77777777" w:rsidTr="00095F8D">
        <w:tc>
          <w:tcPr>
            <w:tcW w:w="554" w:type="dxa"/>
          </w:tcPr>
          <w:p w14:paraId="169610E6" w14:textId="67CF53EB" w:rsidR="00095F8D" w:rsidRPr="008571FD" w:rsidRDefault="00095F8D">
            <w:r w:rsidRPr="008571FD">
              <w:t>7</w:t>
            </w:r>
          </w:p>
        </w:tc>
        <w:tc>
          <w:tcPr>
            <w:tcW w:w="1415" w:type="dxa"/>
          </w:tcPr>
          <w:p w14:paraId="1612F8EF" w14:textId="21E02A96" w:rsidR="00095F8D" w:rsidRPr="008571FD" w:rsidRDefault="00095F8D">
            <w:r w:rsidRPr="008571FD">
              <w:t>Eesti Energia AS</w:t>
            </w:r>
          </w:p>
        </w:tc>
        <w:tc>
          <w:tcPr>
            <w:tcW w:w="1776" w:type="dxa"/>
          </w:tcPr>
          <w:p w14:paraId="70E4B732" w14:textId="257ABC2C" w:rsidR="00095F8D" w:rsidRPr="008571FD" w:rsidRDefault="00095F8D">
            <w:r w:rsidRPr="008571FD">
              <w:t>p 7.2</w:t>
            </w:r>
          </w:p>
        </w:tc>
        <w:tc>
          <w:tcPr>
            <w:tcW w:w="6882" w:type="dxa"/>
          </w:tcPr>
          <w:p w14:paraId="1154F938" w14:textId="2765AAE1" w:rsidR="00095F8D" w:rsidRPr="008571FD" w:rsidRDefault="00095F8D">
            <w:r w:rsidRPr="008571FD">
              <w:t>Ettepanek täiendada sättega, et süsteemihaldur avaldab uue tähtaja, juhul kui kl 14:30-ks ei ole bilansihalduritele teatatud päev-ette turu hinnad ja turutehingute kogused. Turutulemuste avaldamise ja bilansiplaani esitamise tähtaegade vahel peab olema vähemalt 1-tunnine ajapuhver.</w:t>
            </w:r>
          </w:p>
        </w:tc>
        <w:tc>
          <w:tcPr>
            <w:tcW w:w="3367" w:type="dxa"/>
          </w:tcPr>
          <w:p w14:paraId="3E2A91DF" w14:textId="77777777" w:rsidR="005F085E" w:rsidRPr="008571FD" w:rsidRDefault="005F085E"/>
          <w:p w14:paraId="03E99D28" w14:textId="6029FEAD" w:rsidR="005F085E" w:rsidRPr="008571FD" w:rsidRDefault="005F085E">
            <w:r w:rsidRPr="008571FD">
              <w:t>Oleme nõus. Lisame selle erandi.</w:t>
            </w:r>
          </w:p>
        </w:tc>
      </w:tr>
    </w:tbl>
    <w:p w14:paraId="2C27003D" w14:textId="77777777" w:rsidR="00DA0A4D" w:rsidRPr="008571FD" w:rsidRDefault="00DA0A4D"/>
    <w:sectPr w:rsidR="00DA0A4D" w:rsidRPr="008571FD" w:rsidSect="00095F8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E4F5E" w14:textId="77777777" w:rsidR="0093501D" w:rsidRDefault="0093501D" w:rsidP="00095F8D">
      <w:pPr>
        <w:spacing w:after="0" w:line="240" w:lineRule="auto"/>
      </w:pPr>
      <w:r>
        <w:separator/>
      </w:r>
    </w:p>
  </w:endnote>
  <w:endnote w:type="continuationSeparator" w:id="0">
    <w:p w14:paraId="23A095C6" w14:textId="77777777" w:rsidR="0093501D" w:rsidRDefault="0093501D" w:rsidP="0009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21E8" w14:textId="77777777" w:rsidR="0093501D" w:rsidRDefault="0093501D" w:rsidP="00095F8D">
      <w:pPr>
        <w:spacing w:after="0" w:line="240" w:lineRule="auto"/>
      </w:pPr>
      <w:r>
        <w:separator/>
      </w:r>
    </w:p>
  </w:footnote>
  <w:footnote w:type="continuationSeparator" w:id="0">
    <w:p w14:paraId="0CD6B64E" w14:textId="77777777" w:rsidR="0093501D" w:rsidRDefault="0093501D" w:rsidP="00095F8D">
      <w:pPr>
        <w:spacing w:after="0" w:line="240" w:lineRule="auto"/>
      </w:pPr>
      <w:r>
        <w:continuationSeparator/>
      </w:r>
    </w:p>
  </w:footnote>
  <w:footnote w:id="1">
    <w:p w14:paraId="25DFF2B6" w14:textId="191A5021" w:rsidR="00095F8D" w:rsidRDefault="00095F8D" w:rsidP="00095F8D">
      <w:pPr>
        <w:pStyle w:val="Default"/>
      </w:pPr>
      <w:r w:rsidRPr="00095F8D">
        <w:rPr>
          <w:rStyle w:val="FootnoteReference"/>
          <w:color w:val="FF0000"/>
        </w:rPr>
        <w:footnoteRef/>
      </w:r>
      <w:r>
        <w:t xml:space="preserve"> </w:t>
      </w:r>
      <w:r>
        <w:rPr>
          <w:sz w:val="20"/>
          <w:szCs w:val="20"/>
        </w:rPr>
        <w:t xml:space="preserve">Konkurentsiamet - </w:t>
      </w:r>
      <w:hyperlink r:id="rId1" w:history="1">
        <w:r w:rsidRPr="00F15AD7">
          <w:rPr>
            <w:rStyle w:val="Hyperlink"/>
            <w:sz w:val="20"/>
            <w:szCs w:val="20"/>
          </w:rPr>
          <w:t>https://www.konkurentsiamet.ee/asutus-uudised-ja-kontakt/aruanded-analuusid-hinnangud/elekter</w:t>
        </w:r>
      </w:hyperlink>
      <w:r>
        <w:rPr>
          <w:sz w:val="20"/>
          <w:szCs w:val="20"/>
        </w:rPr>
        <w:t xml:space="preserve"> </w:t>
      </w:r>
    </w:p>
  </w:footnote>
  <w:footnote w:id="2">
    <w:p w14:paraId="65CEF916" w14:textId="472E2A38" w:rsidR="00095F8D" w:rsidRDefault="00095F8D">
      <w:pPr>
        <w:pStyle w:val="FootnoteText"/>
      </w:pPr>
      <w:r w:rsidRPr="00095F8D">
        <w:rPr>
          <w:rStyle w:val="FootnoteReference"/>
          <w:color w:val="FF0000"/>
        </w:rPr>
        <w:footnoteRef/>
      </w:r>
      <w:r>
        <w:t xml:space="preserve"> </w:t>
      </w:r>
      <w:r w:rsidRPr="00095F8D">
        <w:t xml:space="preserve">NordPool, Product specifications- </w:t>
      </w:r>
      <w:hyperlink r:id="rId2" w:history="1">
        <w:r w:rsidRPr="00F15AD7">
          <w:rPr>
            <w:rStyle w:val="Hyperlink"/>
          </w:rPr>
          <w:t>https://www.nordpoolgroup.com/49c7f7/globalassets/download-center/rules-and-regulations/product-specifications--nordic-and-baltic-market-areas--13.06.24.pdf</w:t>
        </w:r>
      </w:hyperlink>
      <w:r>
        <w:t xml:space="preserve"> </w:t>
      </w:r>
    </w:p>
  </w:footnote>
  <w:footnote w:id="3">
    <w:p w14:paraId="0E6D1631" w14:textId="6FADF304" w:rsidR="00213431" w:rsidRDefault="00213431">
      <w:pPr>
        <w:pStyle w:val="FootnoteText"/>
      </w:pPr>
      <w:r>
        <w:rPr>
          <w:rStyle w:val="FootnoteReference"/>
        </w:rPr>
        <w:footnoteRef/>
      </w:r>
      <w:r>
        <w:t xml:space="preserve"> Euroopa Komisjoni Teatis</w:t>
      </w:r>
      <w:r w:rsidRPr="00213431">
        <w:t xml:space="preserve"> — Kliima-, keskkonnakaitse ja energiaalase riigiabi suunised alates aastast 2022</w:t>
      </w:r>
      <w:r>
        <w:t>:</w:t>
      </w:r>
      <w:r w:rsidRPr="00213431">
        <w:t xml:space="preserve"> </w:t>
      </w:r>
      <w:hyperlink r:id="rId3" w:history="1">
        <w:r w:rsidRPr="00F15AD7">
          <w:rPr>
            <w:rStyle w:val="Hyperlink"/>
          </w:rPr>
          <w:t>https://eur-lex.europa.eu/legal-content/ET/TXT/PDF/?uri=CELEX:52022XC0218(03)</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8D"/>
    <w:rsid w:val="0007570B"/>
    <w:rsid w:val="00095F8D"/>
    <w:rsid w:val="001037F7"/>
    <w:rsid w:val="0016688E"/>
    <w:rsid w:val="001D0733"/>
    <w:rsid w:val="00213431"/>
    <w:rsid w:val="00226496"/>
    <w:rsid w:val="00373E87"/>
    <w:rsid w:val="00487382"/>
    <w:rsid w:val="005D1ED0"/>
    <w:rsid w:val="005F085E"/>
    <w:rsid w:val="0069101D"/>
    <w:rsid w:val="008571FD"/>
    <w:rsid w:val="0093501D"/>
    <w:rsid w:val="009F2598"/>
    <w:rsid w:val="00A95FBB"/>
    <w:rsid w:val="00AE3E76"/>
    <w:rsid w:val="00B706AA"/>
    <w:rsid w:val="00B83724"/>
    <w:rsid w:val="00BE66F4"/>
    <w:rsid w:val="00D11BA6"/>
    <w:rsid w:val="00DA0A4D"/>
    <w:rsid w:val="00E74576"/>
    <w:rsid w:val="00ED6BCC"/>
    <w:rsid w:val="00EF5C11"/>
    <w:rsid w:val="00F55734"/>
    <w:rsid w:val="00F9222B"/>
    <w:rsid w:val="00FF73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D364"/>
  <w15:chartTrackingRefBased/>
  <w15:docId w15:val="{6F3C6F5A-0AF0-4AAA-9B92-F89EF449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5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5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F8D"/>
    <w:rPr>
      <w:rFonts w:eastAsiaTheme="majorEastAsia" w:cstheme="majorBidi"/>
      <w:color w:val="272727" w:themeColor="text1" w:themeTint="D8"/>
    </w:rPr>
  </w:style>
  <w:style w:type="paragraph" w:styleId="Title">
    <w:name w:val="Title"/>
    <w:basedOn w:val="Normal"/>
    <w:next w:val="Normal"/>
    <w:link w:val="TitleChar"/>
    <w:uiPriority w:val="10"/>
    <w:qFormat/>
    <w:rsid w:val="00095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F8D"/>
    <w:pPr>
      <w:spacing w:before="160"/>
      <w:jc w:val="center"/>
    </w:pPr>
    <w:rPr>
      <w:i/>
      <w:iCs/>
      <w:color w:val="404040" w:themeColor="text1" w:themeTint="BF"/>
    </w:rPr>
  </w:style>
  <w:style w:type="character" w:customStyle="1" w:styleId="QuoteChar">
    <w:name w:val="Quote Char"/>
    <w:basedOn w:val="DefaultParagraphFont"/>
    <w:link w:val="Quote"/>
    <w:uiPriority w:val="29"/>
    <w:rsid w:val="00095F8D"/>
    <w:rPr>
      <w:i/>
      <w:iCs/>
      <w:color w:val="404040" w:themeColor="text1" w:themeTint="BF"/>
    </w:rPr>
  </w:style>
  <w:style w:type="paragraph" w:styleId="ListParagraph">
    <w:name w:val="List Paragraph"/>
    <w:basedOn w:val="Normal"/>
    <w:uiPriority w:val="34"/>
    <w:qFormat/>
    <w:rsid w:val="00095F8D"/>
    <w:pPr>
      <w:ind w:left="720"/>
      <w:contextualSpacing/>
    </w:pPr>
  </w:style>
  <w:style w:type="character" w:styleId="IntenseEmphasis">
    <w:name w:val="Intense Emphasis"/>
    <w:basedOn w:val="DefaultParagraphFont"/>
    <w:uiPriority w:val="21"/>
    <w:qFormat/>
    <w:rsid w:val="00095F8D"/>
    <w:rPr>
      <w:i/>
      <w:iCs/>
      <w:color w:val="0F4761" w:themeColor="accent1" w:themeShade="BF"/>
    </w:rPr>
  </w:style>
  <w:style w:type="paragraph" w:styleId="IntenseQuote">
    <w:name w:val="Intense Quote"/>
    <w:basedOn w:val="Normal"/>
    <w:next w:val="Normal"/>
    <w:link w:val="IntenseQuoteChar"/>
    <w:uiPriority w:val="30"/>
    <w:qFormat/>
    <w:rsid w:val="00095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F8D"/>
    <w:rPr>
      <w:i/>
      <w:iCs/>
      <w:color w:val="0F4761" w:themeColor="accent1" w:themeShade="BF"/>
    </w:rPr>
  </w:style>
  <w:style w:type="character" w:styleId="IntenseReference">
    <w:name w:val="Intense Reference"/>
    <w:basedOn w:val="DefaultParagraphFont"/>
    <w:uiPriority w:val="32"/>
    <w:qFormat/>
    <w:rsid w:val="00095F8D"/>
    <w:rPr>
      <w:b/>
      <w:bCs/>
      <w:smallCaps/>
      <w:color w:val="0F4761" w:themeColor="accent1" w:themeShade="BF"/>
      <w:spacing w:val="5"/>
    </w:rPr>
  </w:style>
  <w:style w:type="table" w:styleId="TableGrid">
    <w:name w:val="Table Grid"/>
    <w:basedOn w:val="TableNormal"/>
    <w:uiPriority w:val="39"/>
    <w:rsid w:val="0009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5F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F8D"/>
    <w:rPr>
      <w:sz w:val="20"/>
      <w:szCs w:val="20"/>
    </w:rPr>
  </w:style>
  <w:style w:type="character" w:styleId="FootnoteReference">
    <w:name w:val="footnote reference"/>
    <w:basedOn w:val="DefaultParagraphFont"/>
    <w:uiPriority w:val="99"/>
    <w:semiHidden/>
    <w:unhideWhenUsed/>
    <w:rsid w:val="00095F8D"/>
    <w:rPr>
      <w:vertAlign w:val="superscript"/>
    </w:rPr>
  </w:style>
  <w:style w:type="paragraph" w:customStyle="1" w:styleId="Default">
    <w:name w:val="Default"/>
    <w:rsid w:val="00095F8D"/>
    <w:pPr>
      <w:autoSpaceDE w:val="0"/>
      <w:autoSpaceDN w:val="0"/>
      <w:adjustRightInd w:val="0"/>
      <w:spacing w:after="0" w:line="240" w:lineRule="auto"/>
    </w:pPr>
    <w:rPr>
      <w:rFonts w:ascii="Roboto" w:hAnsi="Roboto" w:cs="Roboto"/>
      <w:color w:val="000000"/>
      <w:kern w:val="0"/>
      <w:sz w:val="24"/>
      <w:szCs w:val="24"/>
    </w:rPr>
  </w:style>
  <w:style w:type="character" w:styleId="Hyperlink">
    <w:name w:val="Hyperlink"/>
    <w:basedOn w:val="DefaultParagraphFont"/>
    <w:uiPriority w:val="99"/>
    <w:unhideWhenUsed/>
    <w:rsid w:val="00095F8D"/>
    <w:rPr>
      <w:color w:val="467886" w:themeColor="hyperlink"/>
      <w:u w:val="single"/>
    </w:rPr>
  </w:style>
  <w:style w:type="character" w:styleId="UnresolvedMention">
    <w:name w:val="Unresolved Mention"/>
    <w:basedOn w:val="DefaultParagraphFont"/>
    <w:uiPriority w:val="99"/>
    <w:semiHidden/>
    <w:unhideWhenUsed/>
    <w:rsid w:val="00095F8D"/>
    <w:rPr>
      <w:color w:val="605E5C"/>
      <w:shd w:val="clear" w:color="auto" w:fill="E1DFDD"/>
    </w:rPr>
  </w:style>
  <w:style w:type="character" w:styleId="CommentReference">
    <w:name w:val="annotation reference"/>
    <w:basedOn w:val="DefaultParagraphFont"/>
    <w:uiPriority w:val="99"/>
    <w:semiHidden/>
    <w:unhideWhenUsed/>
    <w:rsid w:val="00095F8D"/>
    <w:rPr>
      <w:sz w:val="16"/>
      <w:szCs w:val="16"/>
    </w:rPr>
  </w:style>
  <w:style w:type="paragraph" w:styleId="CommentText">
    <w:name w:val="annotation text"/>
    <w:basedOn w:val="Normal"/>
    <w:link w:val="CommentTextChar"/>
    <w:uiPriority w:val="99"/>
    <w:unhideWhenUsed/>
    <w:rsid w:val="00095F8D"/>
    <w:pPr>
      <w:spacing w:line="240" w:lineRule="auto"/>
    </w:pPr>
    <w:rPr>
      <w:sz w:val="20"/>
      <w:szCs w:val="20"/>
    </w:rPr>
  </w:style>
  <w:style w:type="character" w:customStyle="1" w:styleId="CommentTextChar">
    <w:name w:val="Comment Text Char"/>
    <w:basedOn w:val="DefaultParagraphFont"/>
    <w:link w:val="CommentText"/>
    <w:uiPriority w:val="99"/>
    <w:rsid w:val="00095F8D"/>
    <w:rPr>
      <w:sz w:val="20"/>
      <w:szCs w:val="20"/>
    </w:rPr>
  </w:style>
  <w:style w:type="paragraph" w:styleId="CommentSubject">
    <w:name w:val="annotation subject"/>
    <w:basedOn w:val="CommentText"/>
    <w:next w:val="CommentText"/>
    <w:link w:val="CommentSubjectChar"/>
    <w:uiPriority w:val="99"/>
    <w:semiHidden/>
    <w:unhideWhenUsed/>
    <w:rsid w:val="00095F8D"/>
    <w:rPr>
      <w:b/>
      <w:bCs/>
    </w:rPr>
  </w:style>
  <w:style w:type="character" w:customStyle="1" w:styleId="CommentSubjectChar">
    <w:name w:val="Comment Subject Char"/>
    <w:basedOn w:val="CommentTextChar"/>
    <w:link w:val="CommentSubject"/>
    <w:uiPriority w:val="99"/>
    <w:semiHidden/>
    <w:rsid w:val="00095F8D"/>
    <w:rPr>
      <w:b/>
      <w:bCs/>
      <w:sz w:val="20"/>
      <w:szCs w:val="20"/>
    </w:rPr>
  </w:style>
  <w:style w:type="paragraph" w:styleId="Revision">
    <w:name w:val="Revision"/>
    <w:hidden/>
    <w:uiPriority w:val="99"/>
    <w:semiHidden/>
    <w:rsid w:val="00FF7350"/>
    <w:pPr>
      <w:spacing w:after="0" w:line="240" w:lineRule="auto"/>
    </w:pPr>
  </w:style>
  <w:style w:type="paragraph" w:styleId="NormalWeb">
    <w:name w:val="Normal (Web)"/>
    <w:basedOn w:val="Normal"/>
    <w:uiPriority w:val="99"/>
    <w:semiHidden/>
    <w:unhideWhenUsed/>
    <w:rsid w:val="00373E8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Strong">
    <w:name w:val="Strong"/>
    <w:basedOn w:val="DefaultParagraphFont"/>
    <w:uiPriority w:val="22"/>
    <w:qFormat/>
    <w:rsid w:val="00EF5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029312">
      <w:bodyDiv w:val="1"/>
      <w:marLeft w:val="0"/>
      <w:marRight w:val="0"/>
      <w:marTop w:val="0"/>
      <w:marBottom w:val="0"/>
      <w:divBdr>
        <w:top w:val="none" w:sz="0" w:space="0" w:color="auto"/>
        <w:left w:val="none" w:sz="0" w:space="0" w:color="auto"/>
        <w:bottom w:val="none" w:sz="0" w:space="0" w:color="auto"/>
        <w:right w:val="none" w:sz="0" w:space="0" w:color="auto"/>
      </w:divBdr>
    </w:div>
    <w:div w:id="684287284">
      <w:bodyDiv w:val="1"/>
      <w:marLeft w:val="0"/>
      <w:marRight w:val="0"/>
      <w:marTop w:val="0"/>
      <w:marBottom w:val="0"/>
      <w:divBdr>
        <w:top w:val="none" w:sz="0" w:space="0" w:color="auto"/>
        <w:left w:val="none" w:sz="0" w:space="0" w:color="auto"/>
        <w:bottom w:val="none" w:sz="0" w:space="0" w:color="auto"/>
        <w:right w:val="none" w:sz="0" w:space="0" w:color="auto"/>
      </w:divBdr>
    </w:div>
    <w:div w:id="20741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PDF/?uri=CELEX:52022XC0218(03)" TargetMode="External"/><Relationship Id="rId2" Type="http://schemas.openxmlformats.org/officeDocument/2006/relationships/hyperlink" Target="https://www.nordpoolgroup.com/49c7f7/globalassets/download-center/rules-and-regulations/product-specifications--nordic-and-baltic-market-areas--13.06.24.pdf" TargetMode="External"/><Relationship Id="rId1" Type="http://schemas.openxmlformats.org/officeDocument/2006/relationships/hyperlink" Target="https://www.konkurentsiamet.ee/asutus-uudised-ja-kontakt/aruanded-analuusid-hinnangud/elek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F380D-C5F4-40C9-A09B-23373E19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Elektrienergia bilansilepingu tüüptingimuste AK kokkuvõte</dc:title>
  <dc:subject/>
  <dc:creator>Kristofer Vare</dc:creator>
  <cp:keywords/>
  <dc:description/>
  <cp:lastModifiedBy>Kristofer Vare</cp:lastModifiedBy>
  <cp:revision>2</cp:revision>
  <dcterms:created xsi:type="dcterms:W3CDTF">2024-09-26T11:47:00Z</dcterms:created>
  <dcterms:modified xsi:type="dcterms:W3CDTF">2024-09-26T11:47:00Z</dcterms:modified>
</cp:coreProperties>
</file>