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42" w:rightFromText="142" w:topFromText="5528" w:vertAnchor="page" w:horzAnchor="margin" w:tblpY="5104"/>
        <w:tblW w:w="0" w:type="auto"/>
        <w:tblBorders>
          <w:top w:val="single" w:sz="8" w:space="0" w:color="44546A" w:themeColor="text2"/>
          <w:left w:val="none" w:sz="0" w:space="0" w:color="auto"/>
          <w:bottom w:val="single" w:sz="8" w:space="0" w:color="auto"/>
          <w:right w:val="none" w:sz="0" w:space="0" w:color="auto"/>
          <w:insideH w:val="single" w:sz="8" w:space="0" w:color="auto"/>
          <w:insideV w:val="single" w:sz="8" w:space="0" w:color="auto"/>
        </w:tblBorders>
        <w:tblLayout w:type="fixed"/>
        <w:tblCellMar>
          <w:left w:w="0" w:type="dxa"/>
          <w:right w:w="0" w:type="dxa"/>
        </w:tblCellMar>
        <w:tblLook w:val="06A0" w:firstRow="1" w:lastRow="0" w:firstColumn="1" w:lastColumn="0" w:noHBand="1" w:noVBand="1"/>
      </w:tblPr>
      <w:tblGrid>
        <w:gridCol w:w="9524"/>
      </w:tblGrid>
      <w:tr w:rsidR="009B33F4" w:rsidRPr="00AC3636" w14:paraId="2B1F5ACC" w14:textId="77777777" w:rsidTr="003767F8">
        <w:trPr>
          <w:trHeight w:val="3182"/>
        </w:trPr>
        <w:tc>
          <w:tcPr>
            <w:tcW w:w="9524" w:type="dxa"/>
            <w:tcBorders>
              <w:bottom w:val="single" w:sz="8" w:space="0" w:color="44546A" w:themeColor="text2"/>
            </w:tcBorders>
            <w:tcMar>
              <w:top w:w="198" w:type="dxa"/>
            </w:tcMar>
          </w:tcPr>
          <w:bookmarkStart w:id="0" w:name="_Hlk510690547"/>
          <w:bookmarkStart w:id="1" w:name="_Hlk510690517"/>
          <w:p w14:paraId="770F904A" w14:textId="7725C3DA" w:rsidR="009B33F4" w:rsidRPr="00AC3636" w:rsidRDefault="00140439" w:rsidP="009B33F4">
            <w:pPr>
              <w:pStyle w:val="headlineheader"/>
              <w:spacing w:after="120" w:line="276" w:lineRule="auto"/>
              <w:jc w:val="center"/>
              <w:rPr>
                <w:sz w:val="44"/>
                <w:szCs w:val="44"/>
                <w:lang w:val="en-US"/>
              </w:rPr>
            </w:pPr>
            <w:sdt>
              <w:sdtPr>
                <w:rPr>
                  <w:sz w:val="40"/>
                  <w:szCs w:val="40"/>
                  <w:lang w:val="en-US"/>
                </w:rPr>
                <w:alias w:val="Titel"/>
                <w:tag w:val="Titel"/>
                <w:id w:val="32412703"/>
                <w:placeholder>
                  <w:docPart w:val="FE1244F690FE41F5872109A7ED323A2C"/>
                </w:placeholder>
                <w:dataBinding w:prefixMappings="xmlns:ns0='http://purl.org/dc/elements/1.1/' xmlns:ns1='http://schemas.openxmlformats.org/package/2006/metadata/core-properties' " w:xpath="/ns1:coreProperties[1]/ns0:title[1]" w:storeItemID="{6C3C8BC8-F283-45AE-878A-BAB7291924A1}"/>
                <w:text w:multiLine="1"/>
              </w:sdtPr>
              <w:sdtContent>
                <w:r w:rsidR="00F6738E" w:rsidRPr="00AC3636">
                  <w:rPr>
                    <w:sz w:val="40"/>
                    <w:szCs w:val="40"/>
                    <w:lang w:val="en-US"/>
                  </w:rPr>
                  <w:t>Baltic TSOs’ report on balancing in accordance with the Article 60(1) of Commission Regulation (EU) 2017/2195 of 23 November 2017 establishing a guideline on electricity balancing</w:t>
                </w:r>
              </w:sdtContent>
            </w:sdt>
            <w:bookmarkEnd w:id="0"/>
            <w:r w:rsidR="009B33F4" w:rsidRPr="00AC3636">
              <w:rPr>
                <w:sz w:val="44"/>
                <w:szCs w:val="44"/>
                <w:lang w:val="en-US"/>
              </w:rPr>
              <w:t xml:space="preserve"> </w:t>
            </w:r>
          </w:p>
        </w:tc>
      </w:tr>
      <w:tr w:rsidR="009B33F4" w:rsidRPr="00AC3636" w14:paraId="12E8C4F4" w14:textId="77777777" w:rsidTr="003767F8">
        <w:trPr>
          <w:trHeight w:val="693"/>
        </w:trPr>
        <w:tc>
          <w:tcPr>
            <w:tcW w:w="9524" w:type="dxa"/>
            <w:tcBorders>
              <w:top w:val="single" w:sz="8" w:space="0" w:color="44546A" w:themeColor="text2"/>
              <w:bottom w:val="nil"/>
            </w:tcBorders>
            <w:tcMar>
              <w:bottom w:w="142" w:type="dxa"/>
            </w:tcMar>
          </w:tcPr>
          <w:p w14:paraId="6CEB1DF2" w14:textId="20B62BBF" w:rsidR="009B33F4" w:rsidRPr="00AC3636" w:rsidRDefault="007A71E1" w:rsidP="009B33F4">
            <w:pPr>
              <w:pStyle w:val="time"/>
              <w:framePr w:hSpace="0" w:vSpace="0" w:wrap="auto" w:vAnchor="margin" w:hAnchor="text" w:xAlign="left" w:yAlign="inline"/>
              <w:spacing w:before="200"/>
            </w:pPr>
            <w:r w:rsidRPr="00EC4068">
              <w:t>1</w:t>
            </w:r>
            <w:r w:rsidR="00BA204A">
              <w:t>7</w:t>
            </w:r>
            <w:r w:rsidRPr="00EC4068">
              <w:t xml:space="preserve">th </w:t>
            </w:r>
            <w:r w:rsidR="00FE79B3" w:rsidRPr="00EC4068">
              <w:t xml:space="preserve">of </w:t>
            </w:r>
            <w:r w:rsidRPr="00EC4068">
              <w:t xml:space="preserve">April </w:t>
            </w:r>
            <w:r w:rsidRPr="00853F43">
              <w:t>202</w:t>
            </w:r>
            <w:r>
              <w:t>4</w:t>
            </w:r>
            <w:r w:rsidRPr="00AC3636">
              <w:t xml:space="preserve"> </w:t>
            </w:r>
          </w:p>
        </w:tc>
      </w:tr>
      <w:bookmarkEnd w:id="1"/>
    </w:tbl>
    <w:p w14:paraId="06D877D2" w14:textId="77777777" w:rsidR="009B33F4" w:rsidRPr="00AC3636" w:rsidRDefault="009B33F4" w:rsidP="009B33F4">
      <w:pPr>
        <w:rPr>
          <w:lang w:val="en-US"/>
        </w:rPr>
      </w:pPr>
    </w:p>
    <w:p w14:paraId="39796917" w14:textId="77777777" w:rsidR="009B33F4" w:rsidRPr="00AC3636" w:rsidRDefault="009B33F4" w:rsidP="009B33F4">
      <w:pPr>
        <w:rPr>
          <w:lang w:val="en-US"/>
        </w:rPr>
      </w:pPr>
    </w:p>
    <w:p w14:paraId="01C15ADF" w14:textId="77777777" w:rsidR="009B33F4" w:rsidRPr="00AC3636" w:rsidRDefault="009B33F4" w:rsidP="009B33F4">
      <w:pPr>
        <w:rPr>
          <w:lang w:val="en-US"/>
        </w:rPr>
      </w:pPr>
    </w:p>
    <w:p w14:paraId="71C7C35F" w14:textId="77777777" w:rsidR="009B33F4" w:rsidRPr="00AC3636" w:rsidRDefault="009B33F4" w:rsidP="009B33F4">
      <w:pPr>
        <w:rPr>
          <w:lang w:val="en-US"/>
        </w:rPr>
      </w:pPr>
    </w:p>
    <w:p w14:paraId="179F13B8" w14:textId="77777777" w:rsidR="009B33F4" w:rsidRPr="00AC3636" w:rsidRDefault="009B33F4" w:rsidP="009B33F4">
      <w:pPr>
        <w:rPr>
          <w:lang w:val="en-US"/>
        </w:rPr>
      </w:pPr>
    </w:p>
    <w:p w14:paraId="4CC43C28" w14:textId="77777777" w:rsidR="009B33F4" w:rsidRPr="00AC3636" w:rsidRDefault="009B33F4" w:rsidP="009B33F4">
      <w:pPr>
        <w:rPr>
          <w:lang w:val="en-US"/>
        </w:rPr>
      </w:pPr>
    </w:p>
    <w:p w14:paraId="1F449ADB" w14:textId="77777777" w:rsidR="009B33F4" w:rsidRPr="00AC3636" w:rsidRDefault="009B33F4" w:rsidP="009B33F4">
      <w:pPr>
        <w:rPr>
          <w:lang w:val="en-US"/>
        </w:rPr>
      </w:pPr>
    </w:p>
    <w:p w14:paraId="25F5929C" w14:textId="77777777" w:rsidR="009B33F4" w:rsidRPr="002C184C" w:rsidRDefault="009B33F4" w:rsidP="009B33F4">
      <w:pPr>
        <w:spacing w:before="240"/>
        <w:rPr>
          <w:lang w:val="en-US"/>
        </w:rPr>
      </w:pPr>
      <w:r w:rsidRPr="002C184C">
        <w:rPr>
          <w:lang w:val="en-US"/>
        </w:rPr>
        <w:t>Elering AS</w:t>
      </w:r>
    </w:p>
    <w:p w14:paraId="59063659" w14:textId="77777777" w:rsidR="009B33F4" w:rsidRPr="002C184C" w:rsidRDefault="009B33F4" w:rsidP="009B33F4">
      <w:pPr>
        <w:spacing w:before="240"/>
        <w:rPr>
          <w:color w:val="000000"/>
          <w:lang w:val="en-US"/>
        </w:rPr>
      </w:pPr>
      <w:r w:rsidRPr="002C184C">
        <w:rPr>
          <w:color w:val="000000"/>
          <w:lang w:val="en-US"/>
        </w:rPr>
        <w:t xml:space="preserve">AS “Augstsprieguma tīkls” </w:t>
      </w:r>
    </w:p>
    <w:p w14:paraId="5E5FDFB4" w14:textId="77777777" w:rsidR="009B33F4" w:rsidRPr="002C184C" w:rsidRDefault="009B33F4" w:rsidP="009B33F4">
      <w:pPr>
        <w:spacing w:before="240"/>
        <w:rPr>
          <w:lang w:val="en-US"/>
        </w:rPr>
      </w:pPr>
      <w:r w:rsidRPr="002C184C">
        <w:rPr>
          <w:lang w:val="en-US"/>
        </w:rPr>
        <w:t xml:space="preserve">LITGRID AB </w:t>
      </w:r>
    </w:p>
    <w:p w14:paraId="1F15E165" w14:textId="77777777" w:rsidR="009B33F4" w:rsidRPr="00AC3636" w:rsidRDefault="009B33F4" w:rsidP="009B33F4">
      <w:pPr>
        <w:rPr>
          <w:lang w:val="en-US"/>
        </w:rPr>
      </w:pPr>
    </w:p>
    <w:p w14:paraId="2574B3D6" w14:textId="77777777" w:rsidR="009B33F4" w:rsidRPr="00AC3636" w:rsidRDefault="009B33F4" w:rsidP="009B33F4">
      <w:pPr>
        <w:rPr>
          <w:lang w:val="en-US"/>
        </w:rPr>
      </w:pPr>
    </w:p>
    <w:p w14:paraId="0923F1E9" w14:textId="77777777" w:rsidR="009B33F4" w:rsidRPr="00AC3636" w:rsidRDefault="009B33F4" w:rsidP="009B33F4">
      <w:pPr>
        <w:rPr>
          <w:lang w:val="en-US"/>
        </w:rPr>
      </w:pPr>
    </w:p>
    <w:p w14:paraId="430430F7" w14:textId="77777777" w:rsidR="009B33F4" w:rsidRPr="00AC3636" w:rsidRDefault="009B33F4" w:rsidP="009B33F4">
      <w:pPr>
        <w:rPr>
          <w:lang w:val="en-US"/>
        </w:rPr>
      </w:pPr>
    </w:p>
    <w:p w14:paraId="12D74BD9" w14:textId="77777777" w:rsidR="009B33F4" w:rsidRPr="00AC3636" w:rsidRDefault="009B33F4" w:rsidP="009B33F4">
      <w:pPr>
        <w:rPr>
          <w:lang w:val="en-US"/>
        </w:rPr>
      </w:pPr>
    </w:p>
    <w:p w14:paraId="68858EAF" w14:textId="77777777" w:rsidR="009B33F4" w:rsidRPr="00AC3636" w:rsidRDefault="009B33F4" w:rsidP="009B33F4">
      <w:pPr>
        <w:rPr>
          <w:lang w:val="en-US"/>
        </w:rPr>
      </w:pPr>
    </w:p>
    <w:p w14:paraId="66BFBB05" w14:textId="77777777" w:rsidR="009B33F4" w:rsidRPr="00AC3636" w:rsidRDefault="009B33F4" w:rsidP="009B33F4">
      <w:pPr>
        <w:rPr>
          <w:lang w:val="en-US"/>
        </w:rPr>
      </w:pPr>
    </w:p>
    <w:p w14:paraId="64769AC9" w14:textId="77777777" w:rsidR="009B33F4" w:rsidRPr="00AC3636" w:rsidRDefault="009B33F4" w:rsidP="009B33F4">
      <w:pPr>
        <w:rPr>
          <w:lang w:val="en-US"/>
        </w:rPr>
      </w:pPr>
    </w:p>
    <w:sdt>
      <w:sdtPr>
        <w:rPr>
          <w:rFonts w:asciiTheme="minorHAnsi" w:hAnsiTheme="minorHAnsi" w:cstheme="minorBidi"/>
          <w:b/>
          <w:bCs/>
          <w:color w:val="auto"/>
          <w:sz w:val="22"/>
          <w:szCs w:val="22"/>
          <w:lang w:val="en-GB"/>
        </w:rPr>
        <w:id w:val="-1626690228"/>
        <w:docPartObj>
          <w:docPartGallery w:val="Table of Contents"/>
          <w:docPartUnique/>
        </w:docPartObj>
      </w:sdtPr>
      <w:sdtEndPr>
        <w:rPr>
          <w:b w:val="0"/>
          <w:bCs w:val="0"/>
          <w:noProof/>
        </w:rPr>
      </w:sdtEndPr>
      <w:sdtContent>
        <w:p w14:paraId="351D0768" w14:textId="77777777" w:rsidR="009B33F4" w:rsidRPr="00AC3636" w:rsidRDefault="009B33F4" w:rsidP="009B33F4">
          <w:pPr>
            <w:pStyle w:val="textheader"/>
          </w:pPr>
          <w:r w:rsidRPr="00AC3636">
            <w:t>Contents</w:t>
          </w:r>
        </w:p>
        <w:p w14:paraId="6D8974CC" w14:textId="36EC2294" w:rsidR="006656AA" w:rsidRDefault="009B33F4">
          <w:pPr>
            <w:pStyle w:val="TOC2"/>
            <w:tabs>
              <w:tab w:val="right" w:leader="dot" w:pos="9514"/>
            </w:tabs>
            <w:rPr>
              <w:rFonts w:eastAsiaTheme="minorEastAsia"/>
              <w:noProof/>
              <w:lang w:val="lt-LT" w:eastAsia="lt-LT"/>
            </w:rPr>
          </w:pPr>
          <w:r w:rsidRPr="00AC3636">
            <w:rPr>
              <w:rFonts w:asciiTheme="majorHAnsi" w:hAnsiTheme="majorHAnsi"/>
              <w:lang w:val="en-US"/>
            </w:rPr>
            <w:fldChar w:fldCharType="begin"/>
          </w:r>
          <w:r w:rsidRPr="00AC3636">
            <w:rPr>
              <w:lang w:val="en-US"/>
            </w:rPr>
            <w:instrText xml:space="preserve"> TOC \o "1-3" \h \z \u </w:instrText>
          </w:r>
          <w:r w:rsidRPr="00AC3636">
            <w:rPr>
              <w:rFonts w:asciiTheme="majorHAnsi" w:hAnsiTheme="majorHAnsi"/>
              <w:lang w:val="en-US"/>
            </w:rPr>
            <w:fldChar w:fldCharType="separate"/>
          </w:r>
          <w:hyperlink w:anchor="_Toc103766233" w:history="1">
            <w:r w:rsidR="006656AA" w:rsidRPr="004C3F82">
              <w:rPr>
                <w:rStyle w:val="Hyperlink"/>
                <w:noProof/>
                <w:lang w:val="en-US"/>
              </w:rPr>
              <w:t>Whereas</w:t>
            </w:r>
            <w:r w:rsidR="006656AA">
              <w:rPr>
                <w:noProof/>
                <w:webHidden/>
              </w:rPr>
              <w:tab/>
            </w:r>
            <w:r w:rsidR="006656AA">
              <w:rPr>
                <w:noProof/>
                <w:webHidden/>
              </w:rPr>
              <w:fldChar w:fldCharType="begin"/>
            </w:r>
            <w:r w:rsidR="006656AA">
              <w:rPr>
                <w:noProof/>
                <w:webHidden/>
              </w:rPr>
              <w:instrText xml:space="preserve"> PAGEREF _Toc103766233 \h </w:instrText>
            </w:r>
            <w:r w:rsidR="006656AA">
              <w:rPr>
                <w:noProof/>
                <w:webHidden/>
              </w:rPr>
            </w:r>
            <w:r w:rsidR="006656AA">
              <w:rPr>
                <w:noProof/>
                <w:webHidden/>
              </w:rPr>
              <w:fldChar w:fldCharType="separate"/>
            </w:r>
            <w:r w:rsidR="006656AA">
              <w:rPr>
                <w:noProof/>
                <w:webHidden/>
              </w:rPr>
              <w:t>3</w:t>
            </w:r>
            <w:r w:rsidR="006656AA">
              <w:rPr>
                <w:noProof/>
                <w:webHidden/>
              </w:rPr>
              <w:fldChar w:fldCharType="end"/>
            </w:r>
          </w:hyperlink>
        </w:p>
        <w:p w14:paraId="4D52A8D3" w14:textId="19714A8C" w:rsidR="006656AA" w:rsidRDefault="00140439">
          <w:pPr>
            <w:pStyle w:val="TOC2"/>
            <w:tabs>
              <w:tab w:val="right" w:leader="dot" w:pos="9514"/>
            </w:tabs>
            <w:rPr>
              <w:rFonts w:eastAsiaTheme="minorEastAsia"/>
              <w:noProof/>
              <w:lang w:val="lt-LT" w:eastAsia="lt-LT"/>
            </w:rPr>
          </w:pPr>
          <w:hyperlink w:anchor="_Toc103766234" w:history="1">
            <w:r w:rsidR="006656AA" w:rsidRPr="004C3F82">
              <w:rPr>
                <w:rStyle w:val="Hyperlink"/>
                <w:noProof/>
                <w:lang w:val="en-US"/>
              </w:rPr>
              <w:t>Article 1 Report matter and scope</w:t>
            </w:r>
            <w:r w:rsidR="006656AA">
              <w:rPr>
                <w:noProof/>
                <w:webHidden/>
              </w:rPr>
              <w:tab/>
            </w:r>
            <w:r w:rsidR="006656AA">
              <w:rPr>
                <w:noProof/>
                <w:webHidden/>
              </w:rPr>
              <w:fldChar w:fldCharType="begin"/>
            </w:r>
            <w:r w:rsidR="006656AA">
              <w:rPr>
                <w:noProof/>
                <w:webHidden/>
              </w:rPr>
              <w:instrText xml:space="preserve"> PAGEREF _Toc103766234 \h </w:instrText>
            </w:r>
            <w:r w:rsidR="006656AA">
              <w:rPr>
                <w:noProof/>
                <w:webHidden/>
              </w:rPr>
            </w:r>
            <w:r w:rsidR="006656AA">
              <w:rPr>
                <w:noProof/>
                <w:webHidden/>
              </w:rPr>
              <w:fldChar w:fldCharType="separate"/>
            </w:r>
            <w:r w:rsidR="006656AA">
              <w:rPr>
                <w:noProof/>
                <w:webHidden/>
              </w:rPr>
              <w:t>4</w:t>
            </w:r>
            <w:r w:rsidR="006656AA">
              <w:rPr>
                <w:noProof/>
                <w:webHidden/>
              </w:rPr>
              <w:fldChar w:fldCharType="end"/>
            </w:r>
          </w:hyperlink>
        </w:p>
        <w:p w14:paraId="77238416" w14:textId="4CC0C3CA" w:rsidR="006656AA" w:rsidRDefault="00140439">
          <w:pPr>
            <w:pStyle w:val="TOC2"/>
            <w:tabs>
              <w:tab w:val="right" w:leader="dot" w:pos="9514"/>
            </w:tabs>
            <w:rPr>
              <w:rFonts w:eastAsiaTheme="minorEastAsia"/>
              <w:noProof/>
              <w:lang w:val="lt-LT" w:eastAsia="lt-LT"/>
            </w:rPr>
          </w:pPr>
          <w:hyperlink w:anchor="_Toc103766235" w:history="1">
            <w:r w:rsidR="006656AA" w:rsidRPr="004C3F82">
              <w:rPr>
                <w:rStyle w:val="Hyperlink"/>
                <w:noProof/>
                <w:lang w:val="en-US"/>
              </w:rPr>
              <w:t>Article 2</w:t>
            </w:r>
            <w:r w:rsidR="006656AA" w:rsidRPr="004C3F82">
              <w:rPr>
                <w:rStyle w:val="Hyperlink"/>
                <w:noProof/>
              </w:rPr>
              <w:t xml:space="preserve"> </w:t>
            </w:r>
            <w:r w:rsidR="006656AA" w:rsidRPr="004C3F82">
              <w:rPr>
                <w:rStyle w:val="Hyperlink"/>
                <w:noProof/>
                <w:lang w:val="en-US"/>
              </w:rPr>
              <w:t>Executive summary</w:t>
            </w:r>
            <w:r w:rsidR="006656AA">
              <w:rPr>
                <w:noProof/>
                <w:webHidden/>
              </w:rPr>
              <w:tab/>
            </w:r>
            <w:r w:rsidR="006656AA">
              <w:rPr>
                <w:noProof/>
                <w:webHidden/>
              </w:rPr>
              <w:fldChar w:fldCharType="begin"/>
            </w:r>
            <w:r w:rsidR="006656AA">
              <w:rPr>
                <w:noProof/>
                <w:webHidden/>
              </w:rPr>
              <w:instrText xml:space="preserve"> PAGEREF _Toc103766235 \h </w:instrText>
            </w:r>
            <w:r w:rsidR="006656AA">
              <w:rPr>
                <w:noProof/>
                <w:webHidden/>
              </w:rPr>
            </w:r>
            <w:r w:rsidR="006656AA">
              <w:rPr>
                <w:noProof/>
                <w:webHidden/>
              </w:rPr>
              <w:fldChar w:fldCharType="separate"/>
            </w:r>
            <w:r w:rsidR="006656AA">
              <w:rPr>
                <w:noProof/>
                <w:webHidden/>
              </w:rPr>
              <w:t>4</w:t>
            </w:r>
            <w:r w:rsidR="006656AA">
              <w:rPr>
                <w:noProof/>
                <w:webHidden/>
              </w:rPr>
              <w:fldChar w:fldCharType="end"/>
            </w:r>
          </w:hyperlink>
        </w:p>
        <w:p w14:paraId="288F2D3D" w14:textId="1ABD2D4E" w:rsidR="006656AA" w:rsidRDefault="00140439">
          <w:pPr>
            <w:pStyle w:val="TOC1"/>
            <w:tabs>
              <w:tab w:val="right" w:leader="dot" w:pos="9514"/>
            </w:tabs>
            <w:rPr>
              <w:rFonts w:eastAsiaTheme="minorEastAsia"/>
              <w:noProof/>
              <w:lang w:val="lt-LT" w:eastAsia="lt-LT"/>
            </w:rPr>
          </w:pPr>
          <w:hyperlink w:anchor="_Toc103766236" w:history="1">
            <w:r w:rsidR="006656AA" w:rsidRPr="004C3F82">
              <w:rPr>
                <w:rStyle w:val="Hyperlink"/>
                <w:rFonts w:cstheme="minorHAnsi"/>
                <w:noProof/>
                <w:lang w:val="en-US"/>
              </w:rPr>
              <w:t>2.1 introduction</w:t>
            </w:r>
            <w:r w:rsidR="006656AA">
              <w:rPr>
                <w:noProof/>
                <w:webHidden/>
              </w:rPr>
              <w:tab/>
            </w:r>
            <w:r w:rsidR="006656AA">
              <w:rPr>
                <w:noProof/>
                <w:webHidden/>
              </w:rPr>
              <w:fldChar w:fldCharType="begin"/>
            </w:r>
            <w:r w:rsidR="006656AA">
              <w:rPr>
                <w:noProof/>
                <w:webHidden/>
              </w:rPr>
              <w:instrText xml:space="preserve"> PAGEREF _Toc103766236 \h </w:instrText>
            </w:r>
            <w:r w:rsidR="006656AA">
              <w:rPr>
                <w:noProof/>
                <w:webHidden/>
              </w:rPr>
            </w:r>
            <w:r w:rsidR="006656AA">
              <w:rPr>
                <w:noProof/>
                <w:webHidden/>
              </w:rPr>
              <w:fldChar w:fldCharType="separate"/>
            </w:r>
            <w:r w:rsidR="006656AA">
              <w:rPr>
                <w:noProof/>
                <w:webHidden/>
              </w:rPr>
              <w:t>4</w:t>
            </w:r>
            <w:r w:rsidR="006656AA">
              <w:rPr>
                <w:noProof/>
                <w:webHidden/>
              </w:rPr>
              <w:fldChar w:fldCharType="end"/>
            </w:r>
          </w:hyperlink>
        </w:p>
        <w:p w14:paraId="17C750B5" w14:textId="3E45FFDE" w:rsidR="006656AA" w:rsidRDefault="00140439">
          <w:pPr>
            <w:pStyle w:val="TOC1"/>
            <w:tabs>
              <w:tab w:val="right" w:leader="dot" w:pos="9514"/>
            </w:tabs>
            <w:rPr>
              <w:rFonts w:eastAsiaTheme="minorEastAsia"/>
              <w:noProof/>
              <w:lang w:val="lt-LT" w:eastAsia="lt-LT"/>
            </w:rPr>
          </w:pPr>
          <w:hyperlink w:anchor="_Toc103766237" w:history="1">
            <w:r w:rsidR="006656AA" w:rsidRPr="004C3F82">
              <w:rPr>
                <w:rStyle w:val="Hyperlink"/>
                <w:rFonts w:cstheme="minorHAnsi"/>
                <w:noProof/>
                <w:lang w:val="en-US"/>
              </w:rPr>
              <w:t>2.2 Progress, timeline towards joining the European platforms and / or balancing capacity cooperations</w:t>
            </w:r>
            <w:r w:rsidR="006656AA">
              <w:rPr>
                <w:noProof/>
                <w:webHidden/>
              </w:rPr>
              <w:tab/>
            </w:r>
            <w:r w:rsidR="006656AA">
              <w:rPr>
                <w:noProof/>
                <w:webHidden/>
              </w:rPr>
              <w:fldChar w:fldCharType="begin"/>
            </w:r>
            <w:r w:rsidR="006656AA">
              <w:rPr>
                <w:noProof/>
                <w:webHidden/>
              </w:rPr>
              <w:instrText xml:space="preserve"> PAGEREF _Toc103766237 \h </w:instrText>
            </w:r>
            <w:r w:rsidR="006656AA">
              <w:rPr>
                <w:noProof/>
                <w:webHidden/>
              </w:rPr>
            </w:r>
            <w:r w:rsidR="006656AA">
              <w:rPr>
                <w:noProof/>
                <w:webHidden/>
              </w:rPr>
              <w:fldChar w:fldCharType="separate"/>
            </w:r>
            <w:r w:rsidR="006656AA">
              <w:rPr>
                <w:noProof/>
                <w:webHidden/>
              </w:rPr>
              <w:t>5</w:t>
            </w:r>
            <w:r w:rsidR="006656AA">
              <w:rPr>
                <w:noProof/>
                <w:webHidden/>
              </w:rPr>
              <w:fldChar w:fldCharType="end"/>
            </w:r>
          </w:hyperlink>
        </w:p>
        <w:p w14:paraId="546FF789" w14:textId="1614A5AF" w:rsidR="006656AA" w:rsidRDefault="00140439">
          <w:pPr>
            <w:pStyle w:val="TOC1"/>
            <w:tabs>
              <w:tab w:val="right" w:leader="dot" w:pos="9514"/>
            </w:tabs>
            <w:rPr>
              <w:rFonts w:eastAsiaTheme="minorEastAsia"/>
              <w:noProof/>
              <w:lang w:val="lt-LT" w:eastAsia="lt-LT"/>
            </w:rPr>
          </w:pPr>
          <w:hyperlink w:anchor="_Toc103766238" w:history="1">
            <w:r w:rsidR="006656AA" w:rsidRPr="004C3F82">
              <w:rPr>
                <w:rStyle w:val="Hyperlink"/>
                <w:noProof/>
                <w:lang w:val="en-US"/>
              </w:rPr>
              <w:t>2.3 Evolutions of the terms and conditions for BRPs and BSPs related to the EB regulation implementation during the last 2 calendar years and further evolutions foreseen for the Future</w:t>
            </w:r>
            <w:r w:rsidR="006656AA">
              <w:rPr>
                <w:noProof/>
                <w:webHidden/>
              </w:rPr>
              <w:tab/>
            </w:r>
            <w:r w:rsidR="006656AA">
              <w:rPr>
                <w:noProof/>
                <w:webHidden/>
              </w:rPr>
              <w:fldChar w:fldCharType="begin"/>
            </w:r>
            <w:r w:rsidR="006656AA">
              <w:rPr>
                <w:noProof/>
                <w:webHidden/>
              </w:rPr>
              <w:instrText xml:space="preserve"> PAGEREF _Toc103766238 \h </w:instrText>
            </w:r>
            <w:r w:rsidR="006656AA">
              <w:rPr>
                <w:noProof/>
                <w:webHidden/>
              </w:rPr>
            </w:r>
            <w:r w:rsidR="006656AA">
              <w:rPr>
                <w:noProof/>
                <w:webHidden/>
              </w:rPr>
              <w:fldChar w:fldCharType="separate"/>
            </w:r>
            <w:r w:rsidR="006656AA">
              <w:rPr>
                <w:noProof/>
                <w:webHidden/>
              </w:rPr>
              <w:t>7</w:t>
            </w:r>
            <w:r w:rsidR="006656AA">
              <w:rPr>
                <w:noProof/>
                <w:webHidden/>
              </w:rPr>
              <w:fldChar w:fldCharType="end"/>
            </w:r>
          </w:hyperlink>
        </w:p>
        <w:p w14:paraId="66781D0E" w14:textId="396E4D4C" w:rsidR="006656AA" w:rsidRDefault="00140439">
          <w:pPr>
            <w:pStyle w:val="TOC1"/>
            <w:tabs>
              <w:tab w:val="right" w:leader="dot" w:pos="9514"/>
            </w:tabs>
            <w:rPr>
              <w:rFonts w:eastAsiaTheme="minorEastAsia"/>
              <w:noProof/>
              <w:lang w:val="lt-LT" w:eastAsia="lt-LT"/>
            </w:rPr>
          </w:pPr>
          <w:hyperlink w:anchor="_Toc103766239" w:history="1">
            <w:r w:rsidR="006656AA" w:rsidRPr="004C3F82">
              <w:rPr>
                <w:rStyle w:val="Hyperlink"/>
                <w:rFonts w:cstheme="minorHAnsi"/>
                <w:noProof/>
                <w:lang w:val="en-US"/>
              </w:rPr>
              <w:t>2.4 Summaries and main results of the analysis of Articles 60(2)(a-f):</w:t>
            </w:r>
            <w:r w:rsidR="006656AA">
              <w:rPr>
                <w:noProof/>
                <w:webHidden/>
              </w:rPr>
              <w:tab/>
            </w:r>
            <w:r w:rsidR="006656AA">
              <w:rPr>
                <w:noProof/>
                <w:webHidden/>
              </w:rPr>
              <w:fldChar w:fldCharType="begin"/>
            </w:r>
            <w:r w:rsidR="006656AA">
              <w:rPr>
                <w:noProof/>
                <w:webHidden/>
              </w:rPr>
              <w:instrText xml:space="preserve"> PAGEREF _Toc103766239 \h </w:instrText>
            </w:r>
            <w:r w:rsidR="006656AA">
              <w:rPr>
                <w:noProof/>
                <w:webHidden/>
              </w:rPr>
            </w:r>
            <w:r w:rsidR="006656AA">
              <w:rPr>
                <w:noProof/>
                <w:webHidden/>
              </w:rPr>
              <w:fldChar w:fldCharType="separate"/>
            </w:r>
            <w:r w:rsidR="006656AA">
              <w:rPr>
                <w:noProof/>
                <w:webHidden/>
              </w:rPr>
              <w:t>8</w:t>
            </w:r>
            <w:r w:rsidR="006656AA">
              <w:rPr>
                <w:noProof/>
                <w:webHidden/>
              </w:rPr>
              <w:fldChar w:fldCharType="end"/>
            </w:r>
          </w:hyperlink>
        </w:p>
        <w:p w14:paraId="28FF9D92" w14:textId="37204827" w:rsidR="006656AA" w:rsidRDefault="00140439">
          <w:pPr>
            <w:pStyle w:val="TOC2"/>
            <w:tabs>
              <w:tab w:val="right" w:leader="dot" w:pos="9514"/>
            </w:tabs>
            <w:rPr>
              <w:rFonts w:eastAsiaTheme="minorEastAsia"/>
              <w:noProof/>
              <w:lang w:val="lt-LT" w:eastAsia="lt-LT"/>
            </w:rPr>
          </w:pPr>
          <w:hyperlink w:anchor="_Toc103766240" w:history="1">
            <w:r w:rsidR="006656AA" w:rsidRPr="004C3F82">
              <w:rPr>
                <w:rStyle w:val="Hyperlink"/>
                <w:noProof/>
                <w:lang w:val="en-US"/>
              </w:rPr>
              <w:t>Article 3 Balancing products</w:t>
            </w:r>
            <w:r w:rsidR="006656AA">
              <w:rPr>
                <w:noProof/>
                <w:webHidden/>
              </w:rPr>
              <w:tab/>
            </w:r>
            <w:r w:rsidR="006656AA">
              <w:rPr>
                <w:noProof/>
                <w:webHidden/>
              </w:rPr>
              <w:fldChar w:fldCharType="begin"/>
            </w:r>
            <w:r w:rsidR="006656AA">
              <w:rPr>
                <w:noProof/>
                <w:webHidden/>
              </w:rPr>
              <w:instrText xml:space="preserve"> PAGEREF _Toc103766240 \h </w:instrText>
            </w:r>
            <w:r w:rsidR="006656AA">
              <w:rPr>
                <w:noProof/>
                <w:webHidden/>
              </w:rPr>
            </w:r>
            <w:r w:rsidR="006656AA">
              <w:rPr>
                <w:noProof/>
                <w:webHidden/>
              </w:rPr>
              <w:fldChar w:fldCharType="separate"/>
            </w:r>
            <w:r w:rsidR="006656AA">
              <w:rPr>
                <w:noProof/>
                <w:webHidden/>
              </w:rPr>
              <w:t>10</w:t>
            </w:r>
            <w:r w:rsidR="006656AA">
              <w:rPr>
                <w:noProof/>
                <w:webHidden/>
              </w:rPr>
              <w:fldChar w:fldCharType="end"/>
            </w:r>
          </w:hyperlink>
        </w:p>
        <w:p w14:paraId="714CAAB3" w14:textId="5CC62C16" w:rsidR="006656AA" w:rsidRDefault="00140439">
          <w:pPr>
            <w:pStyle w:val="TOC2"/>
            <w:tabs>
              <w:tab w:val="right" w:leader="dot" w:pos="9514"/>
            </w:tabs>
            <w:rPr>
              <w:rFonts w:eastAsiaTheme="minorEastAsia"/>
              <w:noProof/>
              <w:lang w:val="lt-LT" w:eastAsia="lt-LT"/>
            </w:rPr>
          </w:pPr>
          <w:hyperlink w:anchor="_Toc103766241" w:history="1">
            <w:r w:rsidR="006656AA" w:rsidRPr="004C3F82">
              <w:rPr>
                <w:rStyle w:val="Hyperlink"/>
                <w:noProof/>
                <w:lang w:val="en-US"/>
              </w:rPr>
              <w:t>Article 4 Dimensioning of reserves</w:t>
            </w:r>
            <w:r w:rsidR="006656AA">
              <w:rPr>
                <w:noProof/>
                <w:webHidden/>
              </w:rPr>
              <w:tab/>
            </w:r>
            <w:r w:rsidR="006656AA">
              <w:rPr>
                <w:noProof/>
                <w:webHidden/>
              </w:rPr>
              <w:fldChar w:fldCharType="begin"/>
            </w:r>
            <w:r w:rsidR="006656AA">
              <w:rPr>
                <w:noProof/>
                <w:webHidden/>
              </w:rPr>
              <w:instrText xml:space="preserve"> PAGEREF _Toc103766241 \h </w:instrText>
            </w:r>
            <w:r w:rsidR="006656AA">
              <w:rPr>
                <w:noProof/>
                <w:webHidden/>
              </w:rPr>
            </w:r>
            <w:r w:rsidR="006656AA">
              <w:rPr>
                <w:noProof/>
                <w:webHidden/>
              </w:rPr>
              <w:fldChar w:fldCharType="separate"/>
            </w:r>
            <w:r w:rsidR="006656AA">
              <w:rPr>
                <w:noProof/>
                <w:webHidden/>
              </w:rPr>
              <w:t>11</w:t>
            </w:r>
            <w:r w:rsidR="006656AA">
              <w:rPr>
                <w:noProof/>
                <w:webHidden/>
              </w:rPr>
              <w:fldChar w:fldCharType="end"/>
            </w:r>
          </w:hyperlink>
        </w:p>
        <w:p w14:paraId="253D8BDE" w14:textId="2C0506CA" w:rsidR="006656AA" w:rsidRDefault="00140439">
          <w:pPr>
            <w:pStyle w:val="TOC1"/>
            <w:tabs>
              <w:tab w:val="right" w:leader="dot" w:pos="9514"/>
            </w:tabs>
            <w:rPr>
              <w:rFonts w:eastAsiaTheme="minorEastAsia"/>
              <w:noProof/>
              <w:lang w:val="lt-LT" w:eastAsia="lt-LT"/>
            </w:rPr>
          </w:pPr>
          <w:hyperlink w:anchor="_Toc103766242" w:history="1">
            <w:r w:rsidR="006656AA" w:rsidRPr="004C3F82">
              <w:rPr>
                <w:rStyle w:val="Hyperlink"/>
                <w:noProof/>
                <w:lang w:val="en-US"/>
              </w:rPr>
              <w:t xml:space="preserve">4.1 </w:t>
            </w:r>
            <w:r w:rsidR="006656AA" w:rsidRPr="004C3F82">
              <w:rPr>
                <w:rStyle w:val="Hyperlink"/>
                <w:noProof/>
              </w:rPr>
              <w:t>Litgrid</w:t>
            </w:r>
            <w:r w:rsidR="006656AA" w:rsidRPr="004C3F82">
              <w:rPr>
                <w:rStyle w:val="Hyperlink"/>
                <w:noProof/>
                <w:lang w:val="en-US"/>
              </w:rPr>
              <w:t xml:space="preserve"> case</w:t>
            </w:r>
            <w:r w:rsidR="006656AA">
              <w:rPr>
                <w:noProof/>
                <w:webHidden/>
              </w:rPr>
              <w:tab/>
            </w:r>
            <w:r w:rsidR="006656AA">
              <w:rPr>
                <w:noProof/>
                <w:webHidden/>
              </w:rPr>
              <w:fldChar w:fldCharType="begin"/>
            </w:r>
            <w:r w:rsidR="006656AA">
              <w:rPr>
                <w:noProof/>
                <w:webHidden/>
              </w:rPr>
              <w:instrText xml:space="preserve"> PAGEREF _Toc103766242 \h </w:instrText>
            </w:r>
            <w:r w:rsidR="006656AA">
              <w:rPr>
                <w:noProof/>
                <w:webHidden/>
              </w:rPr>
            </w:r>
            <w:r w:rsidR="006656AA">
              <w:rPr>
                <w:noProof/>
                <w:webHidden/>
              </w:rPr>
              <w:fldChar w:fldCharType="separate"/>
            </w:r>
            <w:r w:rsidR="006656AA">
              <w:rPr>
                <w:noProof/>
                <w:webHidden/>
              </w:rPr>
              <w:t>11</w:t>
            </w:r>
            <w:r w:rsidR="006656AA">
              <w:rPr>
                <w:noProof/>
                <w:webHidden/>
              </w:rPr>
              <w:fldChar w:fldCharType="end"/>
            </w:r>
          </w:hyperlink>
        </w:p>
        <w:p w14:paraId="452B7A6C" w14:textId="677F1F5E" w:rsidR="006656AA" w:rsidRDefault="00140439">
          <w:pPr>
            <w:pStyle w:val="TOC1"/>
            <w:tabs>
              <w:tab w:val="right" w:leader="dot" w:pos="9514"/>
            </w:tabs>
            <w:rPr>
              <w:rFonts w:eastAsiaTheme="minorEastAsia"/>
              <w:noProof/>
              <w:lang w:val="lt-LT" w:eastAsia="lt-LT"/>
            </w:rPr>
          </w:pPr>
          <w:hyperlink w:anchor="_Toc103766243" w:history="1">
            <w:r w:rsidR="006656AA" w:rsidRPr="004C3F82">
              <w:rPr>
                <w:rStyle w:val="Hyperlink"/>
                <w:noProof/>
                <w:lang w:val="en-US"/>
              </w:rPr>
              <w:t>4.2 AST case</w:t>
            </w:r>
            <w:r w:rsidR="006656AA">
              <w:rPr>
                <w:noProof/>
                <w:webHidden/>
              </w:rPr>
              <w:tab/>
            </w:r>
            <w:r w:rsidR="006656AA">
              <w:rPr>
                <w:noProof/>
                <w:webHidden/>
              </w:rPr>
              <w:fldChar w:fldCharType="begin"/>
            </w:r>
            <w:r w:rsidR="006656AA">
              <w:rPr>
                <w:noProof/>
                <w:webHidden/>
              </w:rPr>
              <w:instrText xml:space="preserve"> PAGEREF _Toc103766243 \h </w:instrText>
            </w:r>
            <w:r w:rsidR="006656AA">
              <w:rPr>
                <w:noProof/>
                <w:webHidden/>
              </w:rPr>
            </w:r>
            <w:r w:rsidR="006656AA">
              <w:rPr>
                <w:noProof/>
                <w:webHidden/>
              </w:rPr>
              <w:fldChar w:fldCharType="separate"/>
            </w:r>
            <w:r w:rsidR="006656AA">
              <w:rPr>
                <w:noProof/>
                <w:webHidden/>
              </w:rPr>
              <w:t>12</w:t>
            </w:r>
            <w:r w:rsidR="006656AA">
              <w:rPr>
                <w:noProof/>
                <w:webHidden/>
              </w:rPr>
              <w:fldChar w:fldCharType="end"/>
            </w:r>
          </w:hyperlink>
        </w:p>
        <w:p w14:paraId="3004529C" w14:textId="6712143A" w:rsidR="006656AA" w:rsidRDefault="00140439">
          <w:pPr>
            <w:pStyle w:val="TOC1"/>
            <w:tabs>
              <w:tab w:val="right" w:leader="dot" w:pos="9514"/>
            </w:tabs>
            <w:rPr>
              <w:rFonts w:eastAsiaTheme="minorEastAsia"/>
              <w:noProof/>
              <w:lang w:val="lt-LT" w:eastAsia="lt-LT"/>
            </w:rPr>
          </w:pPr>
          <w:hyperlink w:anchor="_Toc103766244" w:history="1">
            <w:r w:rsidR="006656AA" w:rsidRPr="004C3F82">
              <w:rPr>
                <w:rStyle w:val="Hyperlink"/>
                <w:noProof/>
                <w:lang w:val="en-US"/>
              </w:rPr>
              <w:t>4.3 Elering case</w:t>
            </w:r>
            <w:r w:rsidR="006656AA">
              <w:rPr>
                <w:noProof/>
                <w:webHidden/>
              </w:rPr>
              <w:tab/>
            </w:r>
            <w:r w:rsidR="006656AA">
              <w:rPr>
                <w:noProof/>
                <w:webHidden/>
              </w:rPr>
              <w:fldChar w:fldCharType="begin"/>
            </w:r>
            <w:r w:rsidR="006656AA">
              <w:rPr>
                <w:noProof/>
                <w:webHidden/>
              </w:rPr>
              <w:instrText xml:space="preserve"> PAGEREF _Toc103766244 \h </w:instrText>
            </w:r>
            <w:r w:rsidR="006656AA">
              <w:rPr>
                <w:noProof/>
                <w:webHidden/>
              </w:rPr>
            </w:r>
            <w:r w:rsidR="006656AA">
              <w:rPr>
                <w:noProof/>
                <w:webHidden/>
              </w:rPr>
              <w:fldChar w:fldCharType="separate"/>
            </w:r>
            <w:r w:rsidR="006656AA">
              <w:rPr>
                <w:noProof/>
                <w:webHidden/>
              </w:rPr>
              <w:t>12</w:t>
            </w:r>
            <w:r w:rsidR="006656AA">
              <w:rPr>
                <w:noProof/>
                <w:webHidden/>
              </w:rPr>
              <w:fldChar w:fldCharType="end"/>
            </w:r>
          </w:hyperlink>
        </w:p>
        <w:p w14:paraId="30E1E830" w14:textId="6465A34B" w:rsidR="006656AA" w:rsidRDefault="00140439">
          <w:pPr>
            <w:pStyle w:val="TOC2"/>
            <w:tabs>
              <w:tab w:val="right" w:leader="dot" w:pos="9514"/>
            </w:tabs>
            <w:rPr>
              <w:rFonts w:eastAsiaTheme="minorEastAsia"/>
              <w:noProof/>
              <w:lang w:val="lt-LT" w:eastAsia="lt-LT"/>
            </w:rPr>
          </w:pPr>
          <w:hyperlink w:anchor="_Toc103766245" w:history="1">
            <w:r w:rsidR="006656AA" w:rsidRPr="004C3F82">
              <w:rPr>
                <w:rStyle w:val="Hyperlink"/>
                <w:noProof/>
                <w:lang w:val="en-US"/>
              </w:rPr>
              <w:t>Article 5 Optimal provision of reserve capacity</w:t>
            </w:r>
            <w:r w:rsidR="006656AA">
              <w:rPr>
                <w:noProof/>
                <w:webHidden/>
              </w:rPr>
              <w:tab/>
            </w:r>
            <w:r w:rsidR="006656AA">
              <w:rPr>
                <w:noProof/>
                <w:webHidden/>
              </w:rPr>
              <w:fldChar w:fldCharType="begin"/>
            </w:r>
            <w:r w:rsidR="006656AA">
              <w:rPr>
                <w:noProof/>
                <w:webHidden/>
              </w:rPr>
              <w:instrText xml:space="preserve"> PAGEREF _Toc103766245 \h </w:instrText>
            </w:r>
            <w:r w:rsidR="006656AA">
              <w:rPr>
                <w:noProof/>
                <w:webHidden/>
              </w:rPr>
            </w:r>
            <w:r w:rsidR="006656AA">
              <w:rPr>
                <w:noProof/>
                <w:webHidden/>
              </w:rPr>
              <w:fldChar w:fldCharType="separate"/>
            </w:r>
            <w:r w:rsidR="006656AA">
              <w:rPr>
                <w:noProof/>
                <w:webHidden/>
              </w:rPr>
              <w:t>13</w:t>
            </w:r>
            <w:r w:rsidR="006656AA">
              <w:rPr>
                <w:noProof/>
                <w:webHidden/>
              </w:rPr>
              <w:fldChar w:fldCharType="end"/>
            </w:r>
          </w:hyperlink>
        </w:p>
        <w:p w14:paraId="65955825" w14:textId="748F7CB4" w:rsidR="006656AA" w:rsidRDefault="00140439">
          <w:pPr>
            <w:pStyle w:val="TOC1"/>
            <w:tabs>
              <w:tab w:val="right" w:leader="dot" w:pos="9514"/>
            </w:tabs>
            <w:rPr>
              <w:rFonts w:eastAsiaTheme="minorEastAsia"/>
              <w:noProof/>
              <w:lang w:val="lt-LT" w:eastAsia="lt-LT"/>
            </w:rPr>
          </w:pPr>
          <w:hyperlink w:anchor="_Toc103766246" w:history="1">
            <w:r w:rsidR="006656AA" w:rsidRPr="004C3F82">
              <w:rPr>
                <w:rStyle w:val="Hyperlink"/>
                <w:noProof/>
                <w:lang w:val="en-US"/>
              </w:rPr>
              <w:t xml:space="preserve">5.1 </w:t>
            </w:r>
            <w:r w:rsidR="006656AA" w:rsidRPr="004C3F82">
              <w:rPr>
                <w:rStyle w:val="Hyperlink"/>
                <w:noProof/>
              </w:rPr>
              <w:t>Litgrid</w:t>
            </w:r>
            <w:r w:rsidR="006656AA" w:rsidRPr="004C3F82">
              <w:rPr>
                <w:rStyle w:val="Hyperlink"/>
                <w:noProof/>
                <w:lang w:val="en-US"/>
              </w:rPr>
              <w:t xml:space="preserve"> case</w:t>
            </w:r>
            <w:r w:rsidR="006656AA">
              <w:rPr>
                <w:noProof/>
                <w:webHidden/>
              </w:rPr>
              <w:tab/>
            </w:r>
            <w:r w:rsidR="006656AA">
              <w:rPr>
                <w:noProof/>
                <w:webHidden/>
              </w:rPr>
              <w:fldChar w:fldCharType="begin"/>
            </w:r>
            <w:r w:rsidR="006656AA">
              <w:rPr>
                <w:noProof/>
                <w:webHidden/>
              </w:rPr>
              <w:instrText xml:space="preserve"> PAGEREF _Toc103766246 \h </w:instrText>
            </w:r>
            <w:r w:rsidR="006656AA">
              <w:rPr>
                <w:noProof/>
                <w:webHidden/>
              </w:rPr>
            </w:r>
            <w:r w:rsidR="006656AA">
              <w:rPr>
                <w:noProof/>
                <w:webHidden/>
              </w:rPr>
              <w:fldChar w:fldCharType="separate"/>
            </w:r>
            <w:r w:rsidR="006656AA">
              <w:rPr>
                <w:noProof/>
                <w:webHidden/>
              </w:rPr>
              <w:t>13</w:t>
            </w:r>
            <w:r w:rsidR="006656AA">
              <w:rPr>
                <w:noProof/>
                <w:webHidden/>
              </w:rPr>
              <w:fldChar w:fldCharType="end"/>
            </w:r>
          </w:hyperlink>
        </w:p>
        <w:p w14:paraId="2D63740F" w14:textId="62CEF35A" w:rsidR="006656AA" w:rsidRDefault="00140439">
          <w:pPr>
            <w:pStyle w:val="TOC1"/>
            <w:tabs>
              <w:tab w:val="right" w:leader="dot" w:pos="9514"/>
            </w:tabs>
            <w:rPr>
              <w:rFonts w:eastAsiaTheme="minorEastAsia"/>
              <w:noProof/>
              <w:lang w:val="lt-LT" w:eastAsia="lt-LT"/>
            </w:rPr>
          </w:pPr>
          <w:hyperlink w:anchor="_Toc103766247" w:history="1">
            <w:r w:rsidR="006656AA" w:rsidRPr="004C3F82">
              <w:rPr>
                <w:rStyle w:val="Hyperlink"/>
                <w:noProof/>
                <w:lang w:val="en-US"/>
              </w:rPr>
              <w:t xml:space="preserve">5.2 </w:t>
            </w:r>
            <w:r w:rsidR="006656AA" w:rsidRPr="004C3F82">
              <w:rPr>
                <w:rStyle w:val="Hyperlink"/>
                <w:noProof/>
              </w:rPr>
              <w:t>AST</w:t>
            </w:r>
            <w:r w:rsidR="006656AA" w:rsidRPr="004C3F82">
              <w:rPr>
                <w:rStyle w:val="Hyperlink"/>
                <w:noProof/>
                <w:lang w:val="en-US"/>
              </w:rPr>
              <w:t xml:space="preserve"> case</w:t>
            </w:r>
            <w:r w:rsidR="006656AA">
              <w:rPr>
                <w:noProof/>
                <w:webHidden/>
              </w:rPr>
              <w:tab/>
            </w:r>
            <w:r w:rsidR="006656AA">
              <w:rPr>
                <w:noProof/>
                <w:webHidden/>
              </w:rPr>
              <w:fldChar w:fldCharType="begin"/>
            </w:r>
            <w:r w:rsidR="006656AA">
              <w:rPr>
                <w:noProof/>
                <w:webHidden/>
              </w:rPr>
              <w:instrText xml:space="preserve"> PAGEREF _Toc103766247 \h </w:instrText>
            </w:r>
            <w:r w:rsidR="006656AA">
              <w:rPr>
                <w:noProof/>
                <w:webHidden/>
              </w:rPr>
            </w:r>
            <w:r w:rsidR="006656AA">
              <w:rPr>
                <w:noProof/>
                <w:webHidden/>
              </w:rPr>
              <w:fldChar w:fldCharType="separate"/>
            </w:r>
            <w:r w:rsidR="006656AA">
              <w:rPr>
                <w:noProof/>
                <w:webHidden/>
              </w:rPr>
              <w:t>14</w:t>
            </w:r>
            <w:r w:rsidR="006656AA">
              <w:rPr>
                <w:noProof/>
                <w:webHidden/>
              </w:rPr>
              <w:fldChar w:fldCharType="end"/>
            </w:r>
          </w:hyperlink>
        </w:p>
        <w:p w14:paraId="5B683D83" w14:textId="3A4D8D28" w:rsidR="006656AA" w:rsidRDefault="00140439">
          <w:pPr>
            <w:pStyle w:val="TOC1"/>
            <w:tabs>
              <w:tab w:val="right" w:leader="dot" w:pos="9514"/>
            </w:tabs>
            <w:rPr>
              <w:rFonts w:eastAsiaTheme="minorEastAsia"/>
              <w:noProof/>
              <w:lang w:val="lt-LT" w:eastAsia="lt-LT"/>
            </w:rPr>
          </w:pPr>
          <w:hyperlink w:anchor="_Toc103766248" w:history="1">
            <w:r w:rsidR="006656AA" w:rsidRPr="004C3F82">
              <w:rPr>
                <w:rStyle w:val="Hyperlink"/>
                <w:noProof/>
                <w:lang w:val="en-US"/>
              </w:rPr>
              <w:t xml:space="preserve">5.3 </w:t>
            </w:r>
            <w:r w:rsidR="006656AA" w:rsidRPr="004C3F82">
              <w:rPr>
                <w:rStyle w:val="Hyperlink"/>
                <w:noProof/>
              </w:rPr>
              <w:t>Elering</w:t>
            </w:r>
            <w:r w:rsidR="006656AA" w:rsidRPr="004C3F82">
              <w:rPr>
                <w:rStyle w:val="Hyperlink"/>
                <w:noProof/>
                <w:lang w:val="en-US"/>
              </w:rPr>
              <w:t xml:space="preserve"> case</w:t>
            </w:r>
            <w:r w:rsidR="006656AA">
              <w:rPr>
                <w:noProof/>
                <w:webHidden/>
              </w:rPr>
              <w:tab/>
            </w:r>
            <w:r w:rsidR="006656AA">
              <w:rPr>
                <w:noProof/>
                <w:webHidden/>
              </w:rPr>
              <w:fldChar w:fldCharType="begin"/>
            </w:r>
            <w:r w:rsidR="006656AA">
              <w:rPr>
                <w:noProof/>
                <w:webHidden/>
              </w:rPr>
              <w:instrText xml:space="preserve"> PAGEREF _Toc103766248 \h </w:instrText>
            </w:r>
            <w:r w:rsidR="006656AA">
              <w:rPr>
                <w:noProof/>
                <w:webHidden/>
              </w:rPr>
            </w:r>
            <w:r w:rsidR="006656AA">
              <w:rPr>
                <w:noProof/>
                <w:webHidden/>
              </w:rPr>
              <w:fldChar w:fldCharType="separate"/>
            </w:r>
            <w:r w:rsidR="006656AA">
              <w:rPr>
                <w:noProof/>
                <w:webHidden/>
              </w:rPr>
              <w:t>14</w:t>
            </w:r>
            <w:r w:rsidR="006656AA">
              <w:rPr>
                <w:noProof/>
                <w:webHidden/>
              </w:rPr>
              <w:fldChar w:fldCharType="end"/>
            </w:r>
          </w:hyperlink>
        </w:p>
        <w:p w14:paraId="490CB12B" w14:textId="279BCEEF" w:rsidR="006656AA" w:rsidRDefault="00140439">
          <w:pPr>
            <w:pStyle w:val="TOC2"/>
            <w:tabs>
              <w:tab w:val="right" w:leader="dot" w:pos="9514"/>
            </w:tabs>
            <w:rPr>
              <w:rFonts w:eastAsiaTheme="minorEastAsia"/>
              <w:noProof/>
              <w:lang w:val="lt-LT" w:eastAsia="lt-LT"/>
            </w:rPr>
          </w:pPr>
          <w:hyperlink w:anchor="_Toc103766249" w:history="1">
            <w:r w:rsidR="006656AA" w:rsidRPr="004C3F82">
              <w:rPr>
                <w:rStyle w:val="Hyperlink"/>
                <w:noProof/>
                <w:lang w:val="en-US"/>
              </w:rPr>
              <w:t>Article 6 Exchange of balancing capacity and sharing of reserves</w:t>
            </w:r>
            <w:r w:rsidR="006656AA">
              <w:rPr>
                <w:noProof/>
                <w:webHidden/>
              </w:rPr>
              <w:tab/>
            </w:r>
            <w:r w:rsidR="006656AA">
              <w:rPr>
                <w:noProof/>
                <w:webHidden/>
              </w:rPr>
              <w:fldChar w:fldCharType="begin"/>
            </w:r>
            <w:r w:rsidR="006656AA">
              <w:rPr>
                <w:noProof/>
                <w:webHidden/>
              </w:rPr>
              <w:instrText xml:space="preserve"> PAGEREF _Toc103766249 \h </w:instrText>
            </w:r>
            <w:r w:rsidR="006656AA">
              <w:rPr>
                <w:noProof/>
                <w:webHidden/>
              </w:rPr>
            </w:r>
            <w:r w:rsidR="006656AA">
              <w:rPr>
                <w:noProof/>
                <w:webHidden/>
              </w:rPr>
              <w:fldChar w:fldCharType="separate"/>
            </w:r>
            <w:r w:rsidR="006656AA">
              <w:rPr>
                <w:noProof/>
                <w:webHidden/>
              </w:rPr>
              <w:t>14</w:t>
            </w:r>
            <w:r w:rsidR="006656AA">
              <w:rPr>
                <w:noProof/>
                <w:webHidden/>
              </w:rPr>
              <w:fldChar w:fldCharType="end"/>
            </w:r>
          </w:hyperlink>
        </w:p>
        <w:p w14:paraId="06F58BA7" w14:textId="112A1FB9" w:rsidR="006656AA" w:rsidRDefault="00140439">
          <w:pPr>
            <w:pStyle w:val="TOC2"/>
            <w:tabs>
              <w:tab w:val="right" w:leader="dot" w:pos="9514"/>
            </w:tabs>
            <w:rPr>
              <w:rFonts w:eastAsiaTheme="minorEastAsia"/>
              <w:noProof/>
              <w:lang w:val="lt-LT" w:eastAsia="lt-LT"/>
            </w:rPr>
          </w:pPr>
          <w:hyperlink w:anchor="_Toc103766250" w:history="1">
            <w:r w:rsidR="006656AA" w:rsidRPr="004C3F82">
              <w:rPr>
                <w:rStyle w:val="Hyperlink"/>
                <w:noProof/>
                <w:lang w:val="en-US"/>
              </w:rPr>
              <w:t>Article 7 Efficiency on activation optimization function</w:t>
            </w:r>
            <w:r w:rsidR="006656AA">
              <w:rPr>
                <w:noProof/>
                <w:webHidden/>
              </w:rPr>
              <w:tab/>
            </w:r>
            <w:r w:rsidR="006656AA">
              <w:rPr>
                <w:noProof/>
                <w:webHidden/>
              </w:rPr>
              <w:fldChar w:fldCharType="begin"/>
            </w:r>
            <w:r w:rsidR="006656AA">
              <w:rPr>
                <w:noProof/>
                <w:webHidden/>
              </w:rPr>
              <w:instrText xml:space="preserve"> PAGEREF _Toc103766250 \h </w:instrText>
            </w:r>
            <w:r w:rsidR="006656AA">
              <w:rPr>
                <w:noProof/>
                <w:webHidden/>
              </w:rPr>
            </w:r>
            <w:r w:rsidR="006656AA">
              <w:rPr>
                <w:noProof/>
                <w:webHidden/>
              </w:rPr>
              <w:fldChar w:fldCharType="separate"/>
            </w:r>
            <w:r w:rsidR="006656AA">
              <w:rPr>
                <w:noProof/>
                <w:webHidden/>
              </w:rPr>
              <w:t>15</w:t>
            </w:r>
            <w:r w:rsidR="006656AA">
              <w:rPr>
                <w:noProof/>
                <w:webHidden/>
              </w:rPr>
              <w:fldChar w:fldCharType="end"/>
            </w:r>
          </w:hyperlink>
        </w:p>
        <w:p w14:paraId="14FB2EA8" w14:textId="432082CC" w:rsidR="006656AA" w:rsidRDefault="00140439">
          <w:pPr>
            <w:pStyle w:val="TOC2"/>
            <w:tabs>
              <w:tab w:val="right" w:leader="dot" w:pos="9514"/>
            </w:tabs>
            <w:rPr>
              <w:rFonts w:eastAsiaTheme="minorEastAsia"/>
              <w:noProof/>
              <w:lang w:val="lt-LT" w:eastAsia="lt-LT"/>
            </w:rPr>
          </w:pPr>
          <w:hyperlink w:anchor="_Toc103766251" w:history="1">
            <w:r w:rsidR="006656AA" w:rsidRPr="004C3F82">
              <w:rPr>
                <w:rStyle w:val="Hyperlink"/>
                <w:noProof/>
                <w:lang w:val="en-US"/>
              </w:rPr>
              <w:t>Article 8 Language</w:t>
            </w:r>
            <w:r w:rsidR="006656AA">
              <w:rPr>
                <w:noProof/>
                <w:webHidden/>
              </w:rPr>
              <w:tab/>
            </w:r>
            <w:r w:rsidR="006656AA">
              <w:rPr>
                <w:noProof/>
                <w:webHidden/>
              </w:rPr>
              <w:fldChar w:fldCharType="begin"/>
            </w:r>
            <w:r w:rsidR="006656AA">
              <w:rPr>
                <w:noProof/>
                <w:webHidden/>
              </w:rPr>
              <w:instrText xml:space="preserve"> PAGEREF _Toc103766251 \h </w:instrText>
            </w:r>
            <w:r w:rsidR="006656AA">
              <w:rPr>
                <w:noProof/>
                <w:webHidden/>
              </w:rPr>
            </w:r>
            <w:r w:rsidR="006656AA">
              <w:rPr>
                <w:noProof/>
                <w:webHidden/>
              </w:rPr>
              <w:fldChar w:fldCharType="separate"/>
            </w:r>
            <w:r w:rsidR="006656AA">
              <w:rPr>
                <w:noProof/>
                <w:webHidden/>
              </w:rPr>
              <w:t>15</w:t>
            </w:r>
            <w:r w:rsidR="006656AA">
              <w:rPr>
                <w:noProof/>
                <w:webHidden/>
              </w:rPr>
              <w:fldChar w:fldCharType="end"/>
            </w:r>
          </w:hyperlink>
        </w:p>
        <w:p w14:paraId="64EAFDD8" w14:textId="0339A439" w:rsidR="009B33F4" w:rsidRPr="00AC3636" w:rsidRDefault="009B33F4" w:rsidP="009B33F4">
          <w:pPr>
            <w:rPr>
              <w:lang w:val="en-US"/>
            </w:rPr>
          </w:pPr>
          <w:r w:rsidRPr="00AC3636">
            <w:rPr>
              <w:b/>
              <w:bCs/>
              <w:noProof/>
              <w:lang w:val="en-US"/>
            </w:rPr>
            <w:fldChar w:fldCharType="end"/>
          </w:r>
        </w:p>
      </w:sdtContent>
    </w:sdt>
    <w:p w14:paraId="26194593" w14:textId="77777777" w:rsidR="009B33F4" w:rsidRPr="00AC3636" w:rsidRDefault="009B33F4" w:rsidP="009B33F4">
      <w:pPr>
        <w:rPr>
          <w:lang w:val="en-US"/>
        </w:rPr>
      </w:pPr>
    </w:p>
    <w:p w14:paraId="328EE6C7" w14:textId="77777777" w:rsidR="009B33F4" w:rsidRPr="00AC3636" w:rsidRDefault="009B33F4" w:rsidP="009B33F4">
      <w:pPr>
        <w:spacing w:after="120"/>
        <w:jc w:val="both"/>
        <w:rPr>
          <w:lang w:val="en-US"/>
        </w:rPr>
      </w:pPr>
      <w:r w:rsidRPr="00AC3636">
        <w:rPr>
          <w:lang w:val="en-US"/>
        </w:rPr>
        <w:br w:type="page"/>
      </w:r>
      <w:bookmarkStart w:id="2" w:name="_Toc378091729"/>
      <w:r w:rsidRPr="00AC3636">
        <w:rPr>
          <w:lang w:val="en-US"/>
        </w:rPr>
        <w:t>All Baltic Transmission System Operators, taking into account the following:</w:t>
      </w:r>
    </w:p>
    <w:p w14:paraId="1B153C49" w14:textId="38D0BEAD" w:rsidR="009B33F4" w:rsidRDefault="009B33F4" w:rsidP="009B33F4">
      <w:pPr>
        <w:pStyle w:val="headline2"/>
        <w:rPr>
          <w:lang w:val="en-US"/>
        </w:rPr>
      </w:pPr>
      <w:bookmarkStart w:id="3" w:name="_Toc432586767"/>
      <w:bookmarkStart w:id="4" w:name="_Toc432586787"/>
      <w:bookmarkStart w:id="5" w:name="_Toc509993358"/>
      <w:bookmarkStart w:id="6" w:name="_Toc510006478"/>
      <w:bookmarkStart w:id="7" w:name="_Toc510507370"/>
      <w:bookmarkStart w:id="8" w:name="_Toc510522097"/>
      <w:bookmarkStart w:id="9" w:name="_Toc513644633"/>
      <w:bookmarkStart w:id="10" w:name="_Toc103766233"/>
      <w:r w:rsidRPr="00AC3636">
        <w:rPr>
          <w:lang w:val="en-US"/>
        </w:rPr>
        <w:t>Whereas</w:t>
      </w:r>
      <w:bookmarkEnd w:id="3"/>
      <w:bookmarkEnd w:id="4"/>
      <w:bookmarkEnd w:id="5"/>
      <w:bookmarkEnd w:id="6"/>
      <w:bookmarkEnd w:id="7"/>
      <w:bookmarkEnd w:id="8"/>
      <w:bookmarkEnd w:id="9"/>
      <w:bookmarkEnd w:id="10"/>
    </w:p>
    <w:p w14:paraId="18B677CA" w14:textId="68FAEE17" w:rsidR="009B33F4" w:rsidRPr="00AC3636" w:rsidRDefault="009B33F4" w:rsidP="009B33F4">
      <w:pPr>
        <w:pStyle w:val="ListParagraph"/>
        <w:numPr>
          <w:ilvl w:val="0"/>
          <w:numId w:val="3"/>
        </w:numPr>
        <w:spacing w:after="120"/>
        <w:ind w:left="1080" w:hanging="720"/>
        <w:contextualSpacing w:val="0"/>
        <w:rPr>
          <w:lang w:val="en-US"/>
        </w:rPr>
      </w:pPr>
      <w:r w:rsidRPr="00AC3636">
        <w:rPr>
          <w:lang w:val="en-US"/>
        </w:rPr>
        <w:t xml:space="preserve">This document is a common </w:t>
      </w:r>
      <w:r w:rsidR="0050233F" w:rsidRPr="00AC3636">
        <w:rPr>
          <w:lang w:val="en-US"/>
        </w:rPr>
        <w:t>report</w:t>
      </w:r>
      <w:r w:rsidRPr="00AC3636">
        <w:rPr>
          <w:lang w:val="en-US"/>
        </w:rPr>
        <w:t xml:space="preserve"> </w:t>
      </w:r>
      <w:r w:rsidR="0050233F" w:rsidRPr="00AC3636">
        <w:rPr>
          <w:lang w:val="en-US"/>
        </w:rPr>
        <w:t xml:space="preserve">on balancing </w:t>
      </w:r>
      <w:r w:rsidRPr="00AC3636">
        <w:rPr>
          <w:lang w:val="en-US"/>
        </w:rPr>
        <w:t xml:space="preserve">developed by </w:t>
      </w:r>
      <w:r w:rsidR="00C50507" w:rsidRPr="00C50507">
        <w:rPr>
          <w:lang w:val="en-US"/>
        </w:rPr>
        <w:t>Elering AS, AS “Augstsprieguma tīkls”, LITGRID AB</w:t>
      </w:r>
      <w:r w:rsidR="00C50507" w:rsidRPr="00C50507" w:rsidDel="00C50507">
        <w:rPr>
          <w:lang w:val="en-US"/>
        </w:rPr>
        <w:t xml:space="preserve"> </w:t>
      </w:r>
      <w:r w:rsidRPr="00AC3636">
        <w:rPr>
          <w:lang w:val="en-US"/>
        </w:rPr>
        <w:t xml:space="preserve">(hereafter referred to as “Baltic TSOs”) in accordance with Article </w:t>
      </w:r>
      <w:r w:rsidR="0050233F" w:rsidRPr="00AC3636">
        <w:rPr>
          <w:lang w:val="en-US"/>
        </w:rPr>
        <w:t>60</w:t>
      </w:r>
      <w:r w:rsidRPr="00AC3636">
        <w:rPr>
          <w:lang w:val="en-US"/>
        </w:rPr>
        <w:t>(</w:t>
      </w:r>
      <w:r w:rsidR="0050233F" w:rsidRPr="00AC3636">
        <w:rPr>
          <w:lang w:val="en-US"/>
        </w:rPr>
        <w:t>2</w:t>
      </w:r>
      <w:r w:rsidRPr="00AC3636">
        <w:rPr>
          <w:lang w:val="en-US"/>
        </w:rPr>
        <w:t>) of Commission Regulation (EU) 2017/2195 of 23 November 2017 establishing a guideline on electricity balancing (hereafter referred to as “</w:t>
      </w:r>
      <w:r w:rsidRPr="00AC3636">
        <w:rPr>
          <w:b/>
          <w:bCs/>
          <w:lang w:val="en-US"/>
        </w:rPr>
        <w:t>EBGL</w:t>
      </w:r>
      <w:r w:rsidRPr="00AC3636">
        <w:rPr>
          <w:lang w:val="en-US"/>
        </w:rPr>
        <w:t xml:space="preserve">”). This </w:t>
      </w:r>
      <w:r w:rsidR="00C50507">
        <w:rPr>
          <w:lang w:val="en-US"/>
        </w:rPr>
        <w:t>document</w:t>
      </w:r>
      <w:r w:rsidR="00C50507" w:rsidRPr="00AC3636">
        <w:rPr>
          <w:lang w:val="en-US"/>
        </w:rPr>
        <w:t xml:space="preserve"> </w:t>
      </w:r>
      <w:r w:rsidRPr="00AC3636">
        <w:rPr>
          <w:lang w:val="en-US"/>
        </w:rPr>
        <w:t>is hereafter referred to as the “</w:t>
      </w:r>
      <w:r w:rsidR="0050233F" w:rsidRPr="00AC3636">
        <w:rPr>
          <w:b/>
          <w:bCs/>
          <w:lang w:val="en-US"/>
        </w:rPr>
        <w:t>Report</w:t>
      </w:r>
      <w:r w:rsidR="0050233F" w:rsidRPr="00AC3636">
        <w:rPr>
          <w:lang w:val="en-US"/>
        </w:rPr>
        <w:t>”.</w:t>
      </w:r>
    </w:p>
    <w:p w14:paraId="2B1E4DDC" w14:textId="087ACC98" w:rsidR="009B33F4" w:rsidRPr="00AC3636" w:rsidRDefault="009B33F4" w:rsidP="009B33F4">
      <w:pPr>
        <w:pStyle w:val="ListParagraph"/>
        <w:numPr>
          <w:ilvl w:val="0"/>
          <w:numId w:val="3"/>
        </w:numPr>
        <w:spacing w:after="120"/>
        <w:ind w:left="1080" w:hanging="720"/>
        <w:contextualSpacing w:val="0"/>
        <w:rPr>
          <w:lang w:val="en-US"/>
        </w:rPr>
      </w:pPr>
      <w:r w:rsidRPr="00AC3636">
        <w:rPr>
          <w:lang w:val="en-US"/>
        </w:rPr>
        <w:t xml:space="preserve">The </w:t>
      </w:r>
      <w:r w:rsidR="0050233F" w:rsidRPr="00AC3636">
        <w:rPr>
          <w:lang w:val="en-US"/>
        </w:rPr>
        <w:t>Report</w:t>
      </w:r>
      <w:r w:rsidRPr="00AC3636">
        <w:rPr>
          <w:lang w:val="en-US"/>
        </w:rPr>
        <w:t xml:space="preserve"> takes into account the general principles and goals set in the EBGL as well as Regulation (EC) No 714/2009 of the European Parliament and of the Council of 13 July 2009 on conditions for access to the network for cross-border exchanges in electricity (hereafter referred to as “</w:t>
      </w:r>
      <w:r w:rsidRPr="00AC3636">
        <w:rPr>
          <w:b/>
          <w:bCs/>
          <w:lang w:val="en-US"/>
        </w:rPr>
        <w:t>Electricity Regulation</w:t>
      </w:r>
      <w:r w:rsidRPr="00AC3636">
        <w:rPr>
          <w:lang w:val="en-US"/>
        </w:rPr>
        <w:t>”) as well as Regulation (EC) No 2017/1485 of 2 August 2017 establishing a guideline on electricity transmission system operation (hereafter referred to as “</w:t>
      </w:r>
      <w:r w:rsidRPr="00AC3636">
        <w:rPr>
          <w:b/>
          <w:bCs/>
          <w:lang w:val="en-US"/>
        </w:rPr>
        <w:t>SOGL</w:t>
      </w:r>
      <w:r w:rsidRPr="00AC3636">
        <w:rPr>
          <w:lang w:val="en-US"/>
        </w:rPr>
        <w:t xml:space="preserve">”). </w:t>
      </w:r>
    </w:p>
    <w:p w14:paraId="449DC3B8" w14:textId="07800776" w:rsidR="009B33F4" w:rsidRPr="00AC3636" w:rsidRDefault="009B33F4" w:rsidP="009B33F4">
      <w:pPr>
        <w:pStyle w:val="ListParagraph"/>
        <w:numPr>
          <w:ilvl w:val="0"/>
          <w:numId w:val="3"/>
        </w:numPr>
        <w:spacing w:after="120"/>
        <w:ind w:left="1080" w:hanging="720"/>
        <w:contextualSpacing w:val="0"/>
        <w:rPr>
          <w:lang w:val="en-US"/>
        </w:rPr>
      </w:pPr>
      <w:r w:rsidRPr="00AC3636">
        <w:rPr>
          <w:lang w:val="en-US"/>
        </w:rPr>
        <w:t xml:space="preserve">Articles </w:t>
      </w:r>
      <w:r w:rsidR="0050233F" w:rsidRPr="00AC3636">
        <w:rPr>
          <w:lang w:val="en-US"/>
        </w:rPr>
        <w:t>60</w:t>
      </w:r>
      <w:r w:rsidRPr="00AC3636">
        <w:rPr>
          <w:lang w:val="en-US"/>
        </w:rPr>
        <w:t xml:space="preserve">(1), </w:t>
      </w:r>
      <w:r w:rsidR="0050233F" w:rsidRPr="00AC3636">
        <w:rPr>
          <w:lang w:val="en-US"/>
        </w:rPr>
        <w:t>60</w:t>
      </w:r>
      <w:r w:rsidRPr="00AC3636">
        <w:rPr>
          <w:lang w:val="en-US"/>
        </w:rPr>
        <w:t>(</w:t>
      </w:r>
      <w:r w:rsidR="0050233F" w:rsidRPr="00AC3636">
        <w:rPr>
          <w:lang w:val="en-US"/>
        </w:rPr>
        <w:t>2</w:t>
      </w:r>
      <w:r w:rsidRPr="00AC3636">
        <w:rPr>
          <w:lang w:val="en-US"/>
        </w:rPr>
        <w:t>)</w:t>
      </w:r>
      <w:r w:rsidR="0050233F" w:rsidRPr="00AC3636">
        <w:rPr>
          <w:lang w:val="en-US"/>
        </w:rPr>
        <w:t>,</w:t>
      </w:r>
      <w:r w:rsidR="009E6608" w:rsidRPr="00AC3636">
        <w:rPr>
          <w:lang w:val="en-US"/>
        </w:rPr>
        <w:t xml:space="preserve"> </w:t>
      </w:r>
      <w:r w:rsidRPr="00AC3636">
        <w:rPr>
          <w:lang w:val="en-US"/>
        </w:rPr>
        <w:t xml:space="preserve">and </w:t>
      </w:r>
      <w:r w:rsidR="0050233F" w:rsidRPr="00AC3636">
        <w:rPr>
          <w:lang w:val="en-US"/>
        </w:rPr>
        <w:t>60</w:t>
      </w:r>
      <w:r w:rsidRPr="00AC3636">
        <w:rPr>
          <w:lang w:val="en-US"/>
        </w:rPr>
        <w:t>(</w:t>
      </w:r>
      <w:r w:rsidR="009E6608" w:rsidRPr="00AC3636">
        <w:rPr>
          <w:lang w:val="en-US"/>
        </w:rPr>
        <w:t>3)</w:t>
      </w:r>
      <w:r w:rsidRPr="00AC3636">
        <w:rPr>
          <w:lang w:val="en-US"/>
        </w:rPr>
        <w:t xml:space="preserve"> of the EBGL define the deadline and several specific requirements to its content: </w:t>
      </w:r>
    </w:p>
    <w:p w14:paraId="41B17617" w14:textId="1E963C74" w:rsidR="0050233F" w:rsidRPr="00AC3636" w:rsidRDefault="009B33F4" w:rsidP="009B33F4">
      <w:pPr>
        <w:pStyle w:val="ListParagraph"/>
        <w:spacing w:after="120"/>
        <w:ind w:left="1440"/>
        <w:contextualSpacing w:val="0"/>
        <w:rPr>
          <w:i/>
          <w:lang w:val="en-US"/>
        </w:rPr>
      </w:pPr>
      <w:r w:rsidRPr="00AC3636">
        <w:rPr>
          <w:i/>
          <w:lang w:val="en-US"/>
        </w:rPr>
        <w:t xml:space="preserve">1. </w:t>
      </w:r>
      <w:r w:rsidR="0050233F" w:rsidRPr="00AC3636">
        <w:rPr>
          <w:i/>
          <w:lang w:val="en-US"/>
        </w:rPr>
        <w:t>At least once every two years, each TSO shall publish a report on balancing covering the previous two calendar years, respecting the confidentiality of information in accordance with Article 11.</w:t>
      </w:r>
    </w:p>
    <w:p w14:paraId="0499F849" w14:textId="08F1FD5D" w:rsidR="0050233F" w:rsidRPr="00AC3636" w:rsidRDefault="0050233F" w:rsidP="009B33F4">
      <w:pPr>
        <w:pStyle w:val="ListParagraph"/>
        <w:spacing w:after="120"/>
        <w:ind w:left="1440"/>
        <w:contextualSpacing w:val="0"/>
        <w:rPr>
          <w:i/>
          <w:lang w:val="en-US"/>
        </w:rPr>
      </w:pPr>
      <w:r w:rsidRPr="00AC3636">
        <w:rPr>
          <w:i/>
          <w:lang w:val="en-US"/>
        </w:rPr>
        <w:t>2. The report on balancing shall:</w:t>
      </w:r>
    </w:p>
    <w:p w14:paraId="5F5C5F9E" w14:textId="12DA0695" w:rsidR="0050233F" w:rsidRPr="00AC3636" w:rsidRDefault="0050233F" w:rsidP="0050233F">
      <w:pPr>
        <w:pStyle w:val="ListParagraph"/>
        <w:spacing w:after="120"/>
        <w:ind w:left="2126"/>
        <w:contextualSpacing w:val="0"/>
        <w:rPr>
          <w:i/>
          <w:lang w:val="en-US"/>
        </w:rPr>
      </w:pPr>
      <w:r w:rsidRPr="00AC3636">
        <w:rPr>
          <w:i/>
          <w:lang w:val="en-US"/>
        </w:rPr>
        <w:t>(a) include information concerning the volumes of available, procured and used specific products, as well as justification of specific products subject to conditions pursuant to Article 26;</w:t>
      </w:r>
    </w:p>
    <w:p w14:paraId="772619D0" w14:textId="2A3C5464" w:rsidR="0050233F" w:rsidRPr="00AC3636" w:rsidRDefault="0050233F" w:rsidP="0050233F">
      <w:pPr>
        <w:pStyle w:val="ListParagraph"/>
        <w:spacing w:after="120"/>
        <w:ind w:left="2126"/>
        <w:contextualSpacing w:val="0"/>
        <w:rPr>
          <w:i/>
          <w:lang w:val="en-US"/>
        </w:rPr>
      </w:pPr>
      <w:r w:rsidRPr="00AC3636">
        <w:rPr>
          <w:i/>
          <w:lang w:val="en-US"/>
        </w:rPr>
        <w:t>(b) provide the summary analysis of the dimensioning of reserve capacity including the justification and explanation for the calculated reserve capacity requirements;</w:t>
      </w:r>
    </w:p>
    <w:p w14:paraId="0BB94737" w14:textId="128328A7" w:rsidR="0050233F" w:rsidRPr="00AC3636" w:rsidRDefault="0050233F" w:rsidP="0050233F">
      <w:pPr>
        <w:pStyle w:val="ListParagraph"/>
        <w:spacing w:after="120"/>
        <w:ind w:left="2124"/>
        <w:contextualSpacing w:val="0"/>
        <w:rPr>
          <w:i/>
          <w:lang w:val="en-US"/>
        </w:rPr>
      </w:pPr>
      <w:r w:rsidRPr="00AC3636">
        <w:rPr>
          <w:i/>
          <w:lang w:val="en-US"/>
        </w:rPr>
        <w:t>(c) provide the summary analysis of the optimal provision of reserve capacity including the justification of the volume of balancing capacity;</w:t>
      </w:r>
    </w:p>
    <w:p w14:paraId="5DEDBCC1" w14:textId="75BDFAC0" w:rsidR="0050233F" w:rsidRPr="00AC3636" w:rsidRDefault="0050233F" w:rsidP="0050233F">
      <w:pPr>
        <w:pStyle w:val="ListParagraph"/>
        <w:spacing w:after="120"/>
        <w:ind w:left="2124"/>
        <w:contextualSpacing w:val="0"/>
        <w:rPr>
          <w:i/>
          <w:lang w:val="en-US"/>
        </w:rPr>
      </w:pPr>
      <w:r w:rsidRPr="00AC3636">
        <w:rPr>
          <w:i/>
          <w:lang w:val="en-US"/>
        </w:rPr>
        <w:t>(d) analyse the costs and benefits, and the possible inefficiencies and distortions of having specific products in terms of competition and market fragmentation, participation of demand response and renewable energy sources, integration of balancing markets and side-effects on other electricity markets;</w:t>
      </w:r>
    </w:p>
    <w:p w14:paraId="046F25AA" w14:textId="4E8E3150" w:rsidR="0050233F" w:rsidRPr="00AC3636" w:rsidRDefault="0050233F" w:rsidP="0050233F">
      <w:pPr>
        <w:pStyle w:val="ListParagraph"/>
        <w:spacing w:after="120"/>
        <w:ind w:left="2124"/>
        <w:contextualSpacing w:val="0"/>
        <w:rPr>
          <w:i/>
          <w:lang w:val="en-US"/>
        </w:rPr>
      </w:pPr>
      <w:r w:rsidRPr="00AC3636">
        <w:rPr>
          <w:i/>
          <w:lang w:val="en-US"/>
        </w:rPr>
        <w:t>(e) analyse the opportunities for the exchange of balancing capacity and sharing of reserves;</w:t>
      </w:r>
    </w:p>
    <w:p w14:paraId="4ECE8107" w14:textId="4B81A187" w:rsidR="0050233F" w:rsidRPr="00AC3636" w:rsidRDefault="0050233F" w:rsidP="0050233F">
      <w:pPr>
        <w:pStyle w:val="ListParagraph"/>
        <w:spacing w:after="120"/>
        <w:ind w:left="2124"/>
        <w:contextualSpacing w:val="0"/>
        <w:rPr>
          <w:i/>
          <w:lang w:val="en-US"/>
        </w:rPr>
      </w:pPr>
      <w:r w:rsidRPr="00AC3636">
        <w:rPr>
          <w:i/>
          <w:lang w:val="en-US"/>
        </w:rPr>
        <w:t>(</w:t>
      </w:r>
      <w:r w:rsidR="009851FB">
        <w:rPr>
          <w:i/>
          <w:lang w:val="en-US"/>
        </w:rPr>
        <w:t>f</w:t>
      </w:r>
      <w:r w:rsidRPr="00AC3636">
        <w:rPr>
          <w:i/>
          <w:lang w:val="en-US"/>
        </w:rPr>
        <w:t>) provide an explanation and a justification for the procurement of balancing capacity without the exchange of balancing capacity or sharing of reserves;</w:t>
      </w:r>
    </w:p>
    <w:p w14:paraId="005E166E" w14:textId="0DEEBAB3" w:rsidR="009B33F4" w:rsidRPr="00AC3636" w:rsidRDefault="0050233F" w:rsidP="009E6608">
      <w:pPr>
        <w:pStyle w:val="ListParagraph"/>
        <w:spacing w:after="120"/>
        <w:ind w:left="2124"/>
        <w:contextualSpacing w:val="0"/>
        <w:rPr>
          <w:i/>
          <w:lang w:val="en-US"/>
        </w:rPr>
      </w:pPr>
      <w:r w:rsidRPr="00AC3636">
        <w:rPr>
          <w:i/>
          <w:lang w:val="en-US"/>
        </w:rPr>
        <w:t>(g) analyse the efficiency of the activation optimisation functions for the balancing energy from frequency restoration reserves and, if applicable, for the balancing energy from replacement reserves;</w:t>
      </w:r>
    </w:p>
    <w:p w14:paraId="348F1815" w14:textId="3BE74B9A" w:rsidR="009B33F4" w:rsidRPr="00AC3636" w:rsidRDefault="009B33F4" w:rsidP="009B33F4">
      <w:pPr>
        <w:pStyle w:val="ListParagraph"/>
        <w:spacing w:after="120"/>
        <w:ind w:left="1416"/>
        <w:contextualSpacing w:val="0"/>
        <w:rPr>
          <w:i/>
          <w:lang w:val="en-US"/>
        </w:rPr>
      </w:pPr>
      <w:r w:rsidRPr="00AC3636">
        <w:rPr>
          <w:i/>
          <w:lang w:val="en-US"/>
        </w:rPr>
        <w:t xml:space="preserve">3. </w:t>
      </w:r>
      <w:r w:rsidR="009E6608" w:rsidRPr="00AC3636">
        <w:rPr>
          <w:i/>
          <w:lang w:val="en-US"/>
        </w:rPr>
        <w:t>The report on balancing shall either be in English or at least contain an executive summary in English</w:t>
      </w:r>
      <w:r w:rsidRPr="00AC3636">
        <w:rPr>
          <w:i/>
          <w:lang w:val="en-US"/>
        </w:rPr>
        <w:t>.</w:t>
      </w:r>
    </w:p>
    <w:p w14:paraId="41FB3C2B" w14:textId="77777777" w:rsidR="009B33F4" w:rsidRPr="00AC3636" w:rsidRDefault="009B33F4" w:rsidP="00DD13F5">
      <w:pPr>
        <w:rPr>
          <w:lang w:val="en-US"/>
        </w:rPr>
      </w:pPr>
    </w:p>
    <w:p w14:paraId="5E401DFA" w14:textId="2E9A009A" w:rsidR="009B33F4" w:rsidRPr="00AC3636" w:rsidRDefault="004A3ABD" w:rsidP="009B33F4">
      <w:pPr>
        <w:rPr>
          <w:b/>
          <w:lang w:val="en-US"/>
        </w:rPr>
      </w:pPr>
      <w:bookmarkStart w:id="11" w:name="_Toc432586769"/>
      <w:bookmarkStart w:id="12" w:name="_Toc432586789"/>
      <w:bookmarkStart w:id="13" w:name="_Toc509993359"/>
      <w:bookmarkStart w:id="14" w:name="_Toc510006479"/>
      <w:bookmarkStart w:id="15" w:name="_Toc510507371"/>
      <w:bookmarkStart w:id="16" w:name="_Toc510522098"/>
      <w:r w:rsidRPr="00AC3636">
        <w:rPr>
          <w:b/>
          <w:lang w:val="en-US"/>
        </w:rPr>
        <w:t>Publish</w:t>
      </w:r>
      <w:r w:rsidR="009B33F4" w:rsidRPr="00AC3636">
        <w:rPr>
          <w:b/>
          <w:lang w:val="en-US"/>
        </w:rPr>
        <w:t xml:space="preserve"> the following </w:t>
      </w:r>
      <w:r w:rsidRPr="00AC3636">
        <w:rPr>
          <w:b/>
          <w:lang w:val="en-US"/>
        </w:rPr>
        <w:t>report</w:t>
      </w:r>
      <w:r w:rsidR="009B33F4" w:rsidRPr="00AC3636">
        <w:rPr>
          <w:b/>
          <w:lang w:val="en-US"/>
        </w:rPr>
        <w:t>:</w:t>
      </w:r>
    </w:p>
    <w:p w14:paraId="6515DAE7" w14:textId="4BFE7247" w:rsidR="00DD13F5" w:rsidRDefault="00DD13F5" w:rsidP="009B33F4">
      <w:pPr>
        <w:rPr>
          <w:b/>
          <w:lang w:val="en-US"/>
        </w:rPr>
      </w:pPr>
    </w:p>
    <w:p w14:paraId="60F5E9F7" w14:textId="6459CC92" w:rsidR="007F7BF1" w:rsidRDefault="007F7BF1" w:rsidP="007F7BF1">
      <w:pPr>
        <w:pStyle w:val="headline2"/>
        <w:rPr>
          <w:lang w:val="en-US"/>
        </w:rPr>
      </w:pPr>
      <w:bookmarkStart w:id="17" w:name="_Toc103766234"/>
      <w:r w:rsidRPr="00AC3636">
        <w:rPr>
          <w:lang w:val="en-US"/>
        </w:rPr>
        <w:t xml:space="preserve">Article </w:t>
      </w:r>
      <w:r>
        <w:rPr>
          <w:lang w:val="en-US"/>
        </w:rPr>
        <w:t>1</w:t>
      </w:r>
      <w:r w:rsidRPr="00AC3636">
        <w:rPr>
          <w:lang w:val="en-US"/>
        </w:rPr>
        <w:br/>
        <w:t>Report matter and scope</w:t>
      </w:r>
      <w:bookmarkEnd w:id="17"/>
    </w:p>
    <w:p w14:paraId="551D808C" w14:textId="77777777" w:rsidR="007F7BF1" w:rsidRPr="00AC3636" w:rsidRDefault="007F7BF1" w:rsidP="007F7BF1">
      <w:pPr>
        <w:pStyle w:val="headline2"/>
        <w:rPr>
          <w:lang w:val="en-US"/>
        </w:rPr>
      </w:pPr>
    </w:p>
    <w:p w14:paraId="67D95033" w14:textId="36BF41F0" w:rsidR="007F7BF1" w:rsidRPr="00AC3636" w:rsidRDefault="007F7BF1" w:rsidP="007F7BF1">
      <w:pPr>
        <w:pStyle w:val="textenumeration"/>
        <w:rPr>
          <w:lang w:val="en-US"/>
        </w:rPr>
      </w:pPr>
      <w:r w:rsidRPr="19C12CC2">
        <w:rPr>
          <w:lang w:val="en-US"/>
        </w:rPr>
        <w:t xml:space="preserve">Report in accordance to EBGL 60(1) covers the following period: from </w:t>
      </w:r>
      <w:r w:rsidR="00EC691E" w:rsidRPr="19C12CC2">
        <w:rPr>
          <w:lang w:val="en-US"/>
        </w:rPr>
        <w:t>202</w:t>
      </w:r>
      <w:r w:rsidR="00EC691E">
        <w:rPr>
          <w:lang w:val="en-US"/>
        </w:rPr>
        <w:t>2</w:t>
      </w:r>
      <w:r w:rsidR="00EC691E" w:rsidRPr="19C12CC2">
        <w:rPr>
          <w:lang w:val="en-US"/>
        </w:rPr>
        <w:t xml:space="preserve"> </w:t>
      </w:r>
      <w:r w:rsidRPr="19C12CC2">
        <w:rPr>
          <w:lang w:val="en-US"/>
        </w:rPr>
        <w:t xml:space="preserve">January 1st to </w:t>
      </w:r>
      <w:r w:rsidR="00EC691E" w:rsidRPr="19C12CC2">
        <w:rPr>
          <w:lang w:val="en-US"/>
        </w:rPr>
        <w:t>202</w:t>
      </w:r>
      <w:r w:rsidR="00EC691E">
        <w:rPr>
          <w:lang w:val="en-US"/>
        </w:rPr>
        <w:t>4</w:t>
      </w:r>
      <w:r w:rsidR="00EC691E" w:rsidRPr="19C12CC2">
        <w:rPr>
          <w:lang w:val="en-US"/>
        </w:rPr>
        <w:t xml:space="preserve"> </w:t>
      </w:r>
      <w:r w:rsidRPr="19C12CC2">
        <w:rPr>
          <w:lang w:val="en-US"/>
        </w:rPr>
        <w:t>January 1 (hereinafter – “</w:t>
      </w:r>
      <w:r w:rsidRPr="19C12CC2">
        <w:rPr>
          <w:b/>
          <w:bCs/>
          <w:lang w:val="en-US"/>
        </w:rPr>
        <w:t>Report Period</w:t>
      </w:r>
      <w:r w:rsidRPr="19C12CC2">
        <w:rPr>
          <w:lang w:val="en-US"/>
        </w:rPr>
        <w:t xml:space="preserve">”). </w:t>
      </w:r>
    </w:p>
    <w:p w14:paraId="16E6B076" w14:textId="77777777" w:rsidR="007F7BF1" w:rsidRPr="00AC3636" w:rsidRDefault="007F7BF1" w:rsidP="007F7BF1">
      <w:pPr>
        <w:pStyle w:val="textenumeration"/>
        <w:rPr>
          <w:lang w:val="en-US"/>
        </w:rPr>
      </w:pPr>
      <w:r w:rsidRPr="00AC3636">
        <w:rPr>
          <w:lang w:val="en-US"/>
        </w:rPr>
        <w:t>Report covers:</w:t>
      </w:r>
    </w:p>
    <w:p w14:paraId="2B0C62FB" w14:textId="77777777" w:rsidR="007F7BF1" w:rsidRPr="00AC3636" w:rsidRDefault="007F7BF1" w:rsidP="007F7BF1">
      <w:pPr>
        <w:pStyle w:val="textenumeration"/>
        <w:numPr>
          <w:ilvl w:val="1"/>
          <w:numId w:val="2"/>
        </w:numPr>
        <w:ind w:left="709"/>
        <w:rPr>
          <w:lang w:val="en-US"/>
        </w:rPr>
      </w:pPr>
      <w:r w:rsidRPr="00AC3636">
        <w:rPr>
          <w:lang w:val="en-US"/>
        </w:rPr>
        <w:t>Balancing capacity and energy products covering EBGL article 60(2) (a) and (d);</w:t>
      </w:r>
    </w:p>
    <w:p w14:paraId="153DEEEF" w14:textId="77777777" w:rsidR="007F7BF1" w:rsidRPr="00AC3636" w:rsidRDefault="007F7BF1" w:rsidP="007F7BF1">
      <w:pPr>
        <w:pStyle w:val="textenumeration"/>
        <w:numPr>
          <w:ilvl w:val="1"/>
          <w:numId w:val="2"/>
        </w:numPr>
        <w:ind w:left="709"/>
        <w:rPr>
          <w:lang w:val="en-US"/>
        </w:rPr>
      </w:pPr>
      <w:r w:rsidRPr="00AC3636">
        <w:rPr>
          <w:lang w:val="en-US"/>
        </w:rPr>
        <w:t>Dimensioning and optimal provision of reserves covering EBGL article 60(2) (b) and (c);</w:t>
      </w:r>
    </w:p>
    <w:p w14:paraId="0403FFB3" w14:textId="77777777" w:rsidR="007F7BF1" w:rsidRPr="00AC3636" w:rsidRDefault="007F7BF1" w:rsidP="007F7BF1">
      <w:pPr>
        <w:pStyle w:val="textenumeration"/>
        <w:numPr>
          <w:ilvl w:val="1"/>
          <w:numId w:val="2"/>
        </w:numPr>
        <w:ind w:left="709"/>
        <w:rPr>
          <w:lang w:val="en-US"/>
        </w:rPr>
      </w:pPr>
      <w:r w:rsidRPr="00AC3636">
        <w:rPr>
          <w:lang w:val="en-US"/>
        </w:rPr>
        <w:t>Exchange of balancing capacity and sharing of reserves covering EBGL article 60(2) (e) and (f);</w:t>
      </w:r>
    </w:p>
    <w:p w14:paraId="28752456" w14:textId="77777777" w:rsidR="007F7BF1" w:rsidRPr="00AC3636" w:rsidRDefault="007F7BF1" w:rsidP="007F7BF1">
      <w:pPr>
        <w:pStyle w:val="textenumeration"/>
        <w:numPr>
          <w:ilvl w:val="1"/>
          <w:numId w:val="2"/>
        </w:numPr>
        <w:ind w:left="709"/>
        <w:rPr>
          <w:lang w:val="en-US"/>
        </w:rPr>
      </w:pPr>
      <w:r w:rsidRPr="00AC3636">
        <w:rPr>
          <w:lang w:val="en-US"/>
        </w:rPr>
        <w:t>Efficiency of activation optimization function covering EBGL article 60(2) (g).</w:t>
      </w:r>
    </w:p>
    <w:p w14:paraId="7B72F8DD" w14:textId="77777777" w:rsidR="007F7BF1" w:rsidRDefault="007F7BF1" w:rsidP="009B33F4">
      <w:pPr>
        <w:rPr>
          <w:b/>
          <w:lang w:val="en-US"/>
        </w:rPr>
      </w:pPr>
    </w:p>
    <w:p w14:paraId="7688781E" w14:textId="6ED6A7F9" w:rsidR="007D583A" w:rsidRDefault="007D583A" w:rsidP="007D583A">
      <w:pPr>
        <w:pStyle w:val="headline2"/>
        <w:rPr>
          <w:lang w:val="en-US"/>
        </w:rPr>
      </w:pPr>
      <w:bookmarkStart w:id="18" w:name="_Toc103766235"/>
      <w:r w:rsidRPr="65F52166">
        <w:rPr>
          <w:lang w:val="en-US"/>
        </w:rPr>
        <w:t xml:space="preserve">Article </w:t>
      </w:r>
      <w:r w:rsidR="007F7BF1" w:rsidRPr="65F52166">
        <w:rPr>
          <w:lang w:val="en-US"/>
        </w:rPr>
        <w:t>2</w:t>
      </w:r>
      <w:r>
        <w:br/>
      </w:r>
      <w:r w:rsidRPr="65F52166">
        <w:rPr>
          <w:lang w:val="en-US"/>
        </w:rPr>
        <w:t>Executive summary</w:t>
      </w:r>
      <w:bookmarkEnd w:id="18"/>
    </w:p>
    <w:p w14:paraId="31B4C530" w14:textId="77777777" w:rsidR="00A77A5A" w:rsidRDefault="00A77A5A" w:rsidP="007D583A">
      <w:pPr>
        <w:pStyle w:val="headline2"/>
        <w:rPr>
          <w:lang w:val="en-US"/>
        </w:rPr>
      </w:pPr>
    </w:p>
    <w:p w14:paraId="589CF6DF" w14:textId="24FBB38B" w:rsidR="00A77A5A" w:rsidRDefault="007F7BF1" w:rsidP="00434D10">
      <w:pPr>
        <w:pStyle w:val="headline1"/>
        <w:jc w:val="both"/>
        <w:rPr>
          <w:rStyle w:val="headline2Char"/>
          <w:rFonts w:asciiTheme="minorHAnsi" w:eastAsiaTheme="minorHAnsi" w:hAnsiTheme="minorHAnsi" w:cstheme="minorHAnsi"/>
          <w:b w:val="0"/>
          <w:caps w:val="0"/>
          <w:sz w:val="22"/>
          <w:szCs w:val="10"/>
          <w:lang w:val="en-US" w:eastAsia="en-US"/>
        </w:rPr>
      </w:pPr>
      <w:bookmarkStart w:id="19" w:name="_Toc103766236"/>
      <w:bookmarkStart w:id="20" w:name="_Hlk86937380"/>
      <w:bookmarkStart w:id="21" w:name="_Toc434227406"/>
      <w:bookmarkStart w:id="22" w:name="_Toc434343197"/>
      <w:r>
        <w:rPr>
          <w:rFonts w:asciiTheme="minorHAnsi" w:hAnsiTheme="minorHAnsi" w:cstheme="minorHAnsi"/>
          <w:color w:val="0070C0"/>
          <w:sz w:val="28"/>
          <w:szCs w:val="14"/>
          <w:lang w:val="en-US"/>
        </w:rPr>
        <w:t>2.1</w:t>
      </w:r>
      <w:r w:rsidR="00A77A5A">
        <w:rPr>
          <w:rFonts w:asciiTheme="minorHAnsi" w:hAnsiTheme="minorHAnsi" w:cstheme="minorHAnsi"/>
          <w:color w:val="0070C0"/>
          <w:sz w:val="28"/>
          <w:szCs w:val="14"/>
          <w:lang w:val="en-US"/>
        </w:rPr>
        <w:t xml:space="preserve"> i</w:t>
      </w:r>
      <w:r w:rsidR="00A77A5A">
        <w:rPr>
          <w:rFonts w:asciiTheme="minorHAnsi" w:hAnsiTheme="minorHAnsi" w:cstheme="minorHAnsi"/>
          <w:caps w:val="0"/>
          <w:color w:val="0070C0"/>
          <w:sz w:val="28"/>
          <w:szCs w:val="14"/>
          <w:lang w:val="en-US"/>
        </w:rPr>
        <w:t>ntroduction</w:t>
      </w:r>
      <w:bookmarkEnd w:id="19"/>
    </w:p>
    <w:bookmarkEnd w:id="20"/>
    <w:p w14:paraId="0B750B5C" w14:textId="20C84C8A" w:rsidR="006F333A" w:rsidRDefault="006F333A" w:rsidP="4AB8FA81">
      <w:pPr>
        <w:pStyle w:val="ListParagraph"/>
        <w:tabs>
          <w:tab w:val="left" w:pos="426"/>
        </w:tabs>
        <w:ind w:left="0"/>
        <w:rPr>
          <w:lang w:val="en-US"/>
        </w:rPr>
      </w:pPr>
      <w:r w:rsidRPr="19C12CC2">
        <w:rPr>
          <w:lang w:val="en-US"/>
        </w:rPr>
        <w:t>The TSOs (hereafter the Transmission System Operators) of Baltic countries have prepared a common Report.</w:t>
      </w:r>
    </w:p>
    <w:p w14:paraId="6B44CFBF" w14:textId="77777777" w:rsidR="006F333A" w:rsidRDefault="006F333A" w:rsidP="4AB8FA81">
      <w:pPr>
        <w:pStyle w:val="ListParagraph"/>
        <w:tabs>
          <w:tab w:val="left" w:pos="426"/>
        </w:tabs>
        <w:ind w:left="0"/>
        <w:rPr>
          <w:lang w:val="en-US"/>
        </w:rPr>
      </w:pPr>
    </w:p>
    <w:p w14:paraId="2A1F3A81" w14:textId="145F1C99" w:rsidR="00A77A5A" w:rsidRPr="00A77A5A" w:rsidRDefault="4AB8FA81" w:rsidP="4AB8FA81">
      <w:pPr>
        <w:pStyle w:val="ListParagraph"/>
        <w:tabs>
          <w:tab w:val="left" w:pos="426"/>
        </w:tabs>
        <w:ind w:left="0"/>
        <w:rPr>
          <w:lang w:val="en-US"/>
        </w:rPr>
      </w:pPr>
      <w:r w:rsidRPr="19C12CC2">
        <w:rPr>
          <w:lang w:val="en-US"/>
        </w:rPr>
        <w:t xml:space="preserve">Litgrid AB (hereafter Litgrid) is the Lithuanian TSO, AS Augstsprieguma tikls (hereafter AST) is the Latvian TSO and Elering AS (hereafter Elering) is the Estonian TSO. All three are part of a synchronous area with separate scheduling areas (EE, LV and LT), monitoring areas (EE, LV and LT) and bidding zones (EE, LV and LT). </w:t>
      </w:r>
      <w:r w:rsidR="19C12CC2" w:rsidRPr="00A94D32">
        <w:rPr>
          <w:lang w:val="en-US"/>
        </w:rPr>
        <w:t xml:space="preserve">Pursuant to Article 2(4) of SO GL the Baltic TSOs are exempted from </w:t>
      </w:r>
      <w:r w:rsidRPr="00A94D32">
        <w:rPr>
          <w:lang w:val="en-US"/>
        </w:rPr>
        <w:t>defining their LFC blocks</w:t>
      </w:r>
      <w:r w:rsidRPr="19C12CC2">
        <w:rPr>
          <w:lang w:val="en-US"/>
        </w:rPr>
        <w:t>. After they are fully synchronized with the Continental European synchronous area, they will start implement such agreements. Each controls a scheduling area and monitoring area covering the entire country.</w:t>
      </w:r>
    </w:p>
    <w:p w14:paraId="32D0D08A" w14:textId="4F2E1FFA" w:rsidR="00A77A5A" w:rsidRPr="00A77A5A" w:rsidRDefault="00A77A5A" w:rsidP="4AB8FA81">
      <w:pPr>
        <w:pStyle w:val="ListParagraph"/>
        <w:tabs>
          <w:tab w:val="left" w:pos="426"/>
        </w:tabs>
        <w:ind w:left="0"/>
        <w:rPr>
          <w:lang w:val="en-US"/>
        </w:rPr>
      </w:pPr>
    </w:p>
    <w:p w14:paraId="4A3775C9" w14:textId="48F803BA" w:rsidR="4AB8FA81" w:rsidRDefault="4AB8FA81" w:rsidP="4AB8FA81">
      <w:pPr>
        <w:pStyle w:val="ListParagraph"/>
        <w:tabs>
          <w:tab w:val="left" w:pos="426"/>
        </w:tabs>
        <w:ind w:left="0"/>
        <w:rPr>
          <w:lang w:val="en-US"/>
        </w:rPr>
      </w:pPr>
      <w:r w:rsidRPr="4AB8FA81">
        <w:rPr>
          <w:lang w:val="en-US"/>
        </w:rPr>
        <w:t xml:space="preserve">Starting from January 1st, 2018, Litgrid, AST, and Elering (hereinafter commonly referred to as the Baltic TSOs) have operated common balance control with the aim of minimizing the Baltic ACE towards zero. To support this, the Baltic TSOs established a common balancing energy market, based on Baltic mFRR energy products, and harmonized imbalance settlement rules incl. common imbalance pricing methodology. </w:t>
      </w:r>
    </w:p>
    <w:p w14:paraId="65EC5FB6" w14:textId="63CBC278" w:rsidR="4AB8FA81" w:rsidRDefault="4AB8FA81" w:rsidP="4AB8FA81">
      <w:pPr>
        <w:pStyle w:val="ListParagraph"/>
        <w:tabs>
          <w:tab w:val="left" w:pos="426"/>
        </w:tabs>
        <w:ind w:left="0"/>
        <w:rPr>
          <w:lang w:val="en-US"/>
        </w:rPr>
      </w:pPr>
      <w:r w:rsidRPr="00853F43">
        <w:rPr>
          <w:lang w:val="en-GB"/>
        </w:rPr>
        <w:br/>
      </w:r>
      <w:r w:rsidRPr="4AB8FA81">
        <w:rPr>
          <w:lang w:val="en-US"/>
        </w:rPr>
        <w:t>Each Baltic TSO employs self-dispatch model. For balancing purposes, only mFRR energy products are used.</w:t>
      </w:r>
    </w:p>
    <w:p w14:paraId="746E17CD" w14:textId="5C29699D" w:rsidR="2CAD135C" w:rsidRDefault="2CAD135C" w:rsidP="00A94D32">
      <w:pPr>
        <w:spacing w:line="257" w:lineRule="auto"/>
        <w:rPr>
          <w:rFonts w:ascii="Calibri" w:eastAsia="Calibri" w:hAnsi="Calibri" w:cs="Calibri"/>
          <w:lang w:val="en-US"/>
        </w:rPr>
      </w:pPr>
      <w:r w:rsidRPr="2CAD135C">
        <w:rPr>
          <w:rFonts w:ascii="Calibri" w:eastAsia="Calibri" w:hAnsi="Calibri" w:cs="Calibri"/>
          <w:lang w:val="en-US"/>
        </w:rPr>
        <w:t>The report on balancing could be found in all three TSO’s website:</w:t>
      </w:r>
    </w:p>
    <w:p w14:paraId="083FE5BF" w14:textId="6AFA23D8" w:rsidR="2CAD135C" w:rsidRDefault="2CAD135C" w:rsidP="00A94D32">
      <w:pPr>
        <w:pStyle w:val="ListParagraph"/>
        <w:numPr>
          <w:ilvl w:val="0"/>
          <w:numId w:val="33"/>
        </w:numPr>
        <w:rPr>
          <w:rFonts w:eastAsiaTheme="minorEastAsia"/>
          <w:lang w:val="en-US"/>
        </w:rPr>
      </w:pPr>
      <w:r w:rsidRPr="2CAD135C">
        <w:rPr>
          <w:lang w:val="en-US"/>
        </w:rPr>
        <w:t>Link to Litgrid’s website</w:t>
      </w:r>
      <w:r w:rsidR="008549FC">
        <w:rPr>
          <w:lang w:val="en-US"/>
        </w:rPr>
        <w:t xml:space="preserve"> is </w:t>
      </w:r>
      <w:hyperlink r:id="rId11" w:history="1">
        <w:r w:rsidR="008549FC" w:rsidRPr="00566F12">
          <w:rPr>
            <w:rStyle w:val="Hyperlink"/>
            <w:lang w:val="en-US"/>
          </w:rPr>
          <w:t>here</w:t>
        </w:r>
      </w:hyperlink>
      <w:r w:rsidR="00566F12">
        <w:rPr>
          <w:lang w:val="en-US"/>
        </w:rPr>
        <w:t>.</w:t>
      </w:r>
    </w:p>
    <w:p w14:paraId="5E3F51E6" w14:textId="54A53DAE" w:rsidR="2CAD135C" w:rsidRDefault="2CAD135C" w:rsidP="33069CC9">
      <w:pPr>
        <w:pStyle w:val="ListParagraph"/>
        <w:numPr>
          <w:ilvl w:val="0"/>
          <w:numId w:val="33"/>
        </w:numPr>
        <w:rPr>
          <w:rFonts w:asciiTheme="minorEastAsia" w:eastAsiaTheme="minorEastAsia" w:hAnsiTheme="minorEastAsia" w:cstheme="minorEastAsia"/>
          <w:lang w:val="en-US"/>
        </w:rPr>
      </w:pPr>
      <w:r w:rsidRPr="33069CC9">
        <w:rPr>
          <w:lang w:val="en-US"/>
        </w:rPr>
        <w:t>Link to AST’s website</w:t>
      </w:r>
      <w:r w:rsidR="008549FC">
        <w:rPr>
          <w:lang w:val="en-US"/>
        </w:rPr>
        <w:t xml:space="preserve"> is </w:t>
      </w:r>
      <w:hyperlink r:id="rId12" w:history="1">
        <w:r w:rsidR="008549FC" w:rsidRPr="008549FC">
          <w:rPr>
            <w:rStyle w:val="Hyperlink"/>
            <w:lang w:val="en-US"/>
          </w:rPr>
          <w:t>here</w:t>
        </w:r>
      </w:hyperlink>
      <w:r w:rsidR="008549FC">
        <w:rPr>
          <w:lang w:val="en-US"/>
        </w:rPr>
        <w:t>.</w:t>
      </w:r>
      <w:r w:rsidR="008549FC">
        <w:rPr>
          <w:rFonts w:asciiTheme="minorEastAsia" w:eastAsiaTheme="minorEastAsia" w:hAnsiTheme="minorEastAsia" w:cstheme="minorEastAsia"/>
          <w:lang w:val="en-US"/>
        </w:rPr>
        <w:t xml:space="preserve"> </w:t>
      </w:r>
    </w:p>
    <w:p w14:paraId="7931C5AB" w14:textId="6B0808A4" w:rsidR="2CAD135C" w:rsidRDefault="2CAD135C" w:rsidP="00A94D32">
      <w:pPr>
        <w:pStyle w:val="ListParagraph"/>
        <w:numPr>
          <w:ilvl w:val="0"/>
          <w:numId w:val="33"/>
        </w:numPr>
        <w:rPr>
          <w:rFonts w:eastAsiaTheme="minorEastAsia"/>
          <w:lang w:val="en-US"/>
        </w:rPr>
      </w:pPr>
      <w:r w:rsidRPr="2CAD135C">
        <w:rPr>
          <w:lang w:val="en-US"/>
        </w:rPr>
        <w:t>Link to Elering’s website</w:t>
      </w:r>
      <w:r w:rsidR="00197631">
        <w:rPr>
          <w:lang w:val="en-US"/>
        </w:rPr>
        <w:t xml:space="preserve"> is </w:t>
      </w:r>
      <w:hyperlink r:id="rId13" w:history="1">
        <w:r w:rsidR="00197631" w:rsidRPr="00197631">
          <w:rPr>
            <w:rStyle w:val="Hyperlink"/>
            <w:lang w:val="en-US"/>
          </w:rPr>
          <w:t>here</w:t>
        </w:r>
      </w:hyperlink>
      <w:r w:rsidR="00197631">
        <w:rPr>
          <w:lang w:val="en-US"/>
        </w:rPr>
        <w:t>.</w:t>
      </w:r>
    </w:p>
    <w:p w14:paraId="78F5F29E" w14:textId="6D3E7A52" w:rsidR="00E7372D" w:rsidRPr="00853F43" w:rsidRDefault="00E7372D">
      <w:pPr>
        <w:spacing w:line="257" w:lineRule="auto"/>
        <w:rPr>
          <w:rFonts w:ascii="Calibri" w:eastAsia="Calibri" w:hAnsi="Calibri" w:cs="Calibri"/>
          <w:lang w:val="en-US"/>
        </w:rPr>
      </w:pPr>
      <w:r w:rsidRPr="3FE890D8">
        <w:rPr>
          <w:rFonts w:ascii="Calibri" w:eastAsia="Calibri" w:hAnsi="Calibri" w:cs="Calibri"/>
          <w:lang w:val="en-US"/>
        </w:rPr>
        <w:t xml:space="preserve">During the report period, </w:t>
      </w:r>
      <w:r w:rsidR="004069A9">
        <w:rPr>
          <w:rFonts w:ascii="Calibri" w:eastAsia="Calibri" w:hAnsi="Calibri" w:cs="Calibri"/>
          <w:lang w:val="en-US"/>
        </w:rPr>
        <w:t xml:space="preserve">in Lithuania </w:t>
      </w:r>
      <w:r w:rsidRPr="3FE890D8">
        <w:rPr>
          <w:rFonts w:ascii="Calibri" w:eastAsia="Calibri" w:hAnsi="Calibri" w:cs="Calibri"/>
          <w:lang w:val="en-US"/>
        </w:rPr>
        <w:t>there were a to</w:t>
      </w:r>
      <w:r w:rsidRPr="00853F43">
        <w:rPr>
          <w:rFonts w:ascii="Calibri" w:eastAsia="Calibri" w:hAnsi="Calibri" w:cs="Calibri"/>
          <w:lang w:val="en-US"/>
        </w:rPr>
        <w:t xml:space="preserve">tal of </w:t>
      </w:r>
      <w:r w:rsidR="00EB1984" w:rsidRPr="00BA204A">
        <w:rPr>
          <w:rFonts w:ascii="Calibri" w:eastAsia="Calibri" w:hAnsi="Calibri" w:cs="Calibri"/>
          <w:lang w:val="en-US"/>
        </w:rPr>
        <w:t xml:space="preserve">6 </w:t>
      </w:r>
      <w:r w:rsidRPr="00BA204A">
        <w:rPr>
          <w:rFonts w:ascii="Calibri" w:eastAsia="Calibri" w:hAnsi="Calibri" w:cs="Calibri"/>
          <w:lang w:val="en-US"/>
        </w:rPr>
        <w:t>active</w:t>
      </w:r>
      <w:r w:rsidRPr="00853F43">
        <w:rPr>
          <w:rFonts w:ascii="Calibri" w:eastAsia="Calibri" w:hAnsi="Calibri" w:cs="Calibri"/>
          <w:lang w:val="en-US"/>
        </w:rPr>
        <w:t xml:space="preserve"> BSP</w:t>
      </w:r>
      <w:r w:rsidR="000E257E" w:rsidRPr="00853F43">
        <w:rPr>
          <w:rFonts w:ascii="Calibri" w:eastAsia="Calibri" w:hAnsi="Calibri" w:cs="Calibri"/>
          <w:lang w:val="en-US"/>
        </w:rPr>
        <w:t>s</w:t>
      </w:r>
      <w:r w:rsidRPr="00853F43">
        <w:rPr>
          <w:rFonts w:ascii="Calibri" w:eastAsia="Calibri" w:hAnsi="Calibri" w:cs="Calibri"/>
          <w:lang w:val="en-US"/>
        </w:rPr>
        <w:t xml:space="preserve">. Litgrid’s standard terms and conditions for BSPs could be found </w:t>
      </w:r>
      <w:hyperlink r:id="rId14">
        <w:r w:rsidRPr="00853F43">
          <w:rPr>
            <w:rStyle w:val="Hyperlink"/>
            <w:rFonts w:ascii="Calibri" w:eastAsia="Calibri" w:hAnsi="Calibri" w:cs="Calibri"/>
            <w:lang w:val="en-US"/>
          </w:rPr>
          <w:t>here</w:t>
        </w:r>
      </w:hyperlink>
      <w:r w:rsidRPr="00853F43">
        <w:rPr>
          <w:rFonts w:ascii="Calibri" w:eastAsia="Calibri" w:hAnsi="Calibri" w:cs="Calibri"/>
          <w:lang w:val="en-US"/>
        </w:rPr>
        <w:t xml:space="preserve">. During the report period, there were </w:t>
      </w:r>
      <w:r w:rsidR="00303E4A" w:rsidRPr="00853F43">
        <w:rPr>
          <w:rFonts w:ascii="Calibri" w:eastAsia="Calibri" w:hAnsi="Calibri" w:cs="Calibri"/>
          <w:lang w:val="en-US"/>
        </w:rPr>
        <w:t>no more than</w:t>
      </w:r>
      <w:r w:rsidRPr="00853F43">
        <w:rPr>
          <w:rFonts w:ascii="Calibri" w:eastAsia="Calibri" w:hAnsi="Calibri" w:cs="Calibri"/>
          <w:lang w:val="en-US"/>
        </w:rPr>
        <w:t xml:space="preserve"> </w:t>
      </w:r>
      <w:r w:rsidR="00DB74C0" w:rsidRPr="00853F43">
        <w:rPr>
          <w:rFonts w:ascii="Calibri" w:eastAsia="Calibri" w:hAnsi="Calibri" w:cs="Calibri"/>
          <w:lang w:val="en-US"/>
        </w:rPr>
        <w:t xml:space="preserve">24 </w:t>
      </w:r>
      <w:r w:rsidRPr="00853F43">
        <w:rPr>
          <w:rFonts w:ascii="Calibri" w:eastAsia="Calibri" w:hAnsi="Calibri" w:cs="Calibri"/>
          <w:lang w:val="en-US"/>
        </w:rPr>
        <w:t xml:space="preserve">BRPs. </w:t>
      </w:r>
      <w:r w:rsidR="000E257E" w:rsidRPr="00853F43">
        <w:rPr>
          <w:rFonts w:ascii="Calibri" w:eastAsia="Calibri" w:hAnsi="Calibri" w:cs="Calibri"/>
          <w:lang w:val="en-US"/>
        </w:rPr>
        <w:t>Litgrid</w:t>
      </w:r>
      <w:r w:rsidRPr="00853F43">
        <w:rPr>
          <w:rFonts w:ascii="Calibri" w:eastAsia="Calibri" w:hAnsi="Calibri" w:cs="Calibri"/>
          <w:lang w:val="en-US"/>
        </w:rPr>
        <w:t xml:space="preserve">’s standard terms and conditions for BRPs could be found </w:t>
      </w:r>
      <w:hyperlink r:id="rId15">
        <w:r w:rsidRPr="00853F43">
          <w:rPr>
            <w:rStyle w:val="Hyperlink"/>
            <w:rFonts w:ascii="Calibri" w:eastAsia="Calibri" w:hAnsi="Calibri" w:cs="Calibri"/>
            <w:lang w:val="en-US"/>
          </w:rPr>
          <w:t>here</w:t>
        </w:r>
      </w:hyperlink>
      <w:r w:rsidRPr="00853F43">
        <w:rPr>
          <w:rFonts w:ascii="Calibri" w:eastAsia="Calibri" w:hAnsi="Calibri" w:cs="Calibri"/>
          <w:lang w:val="en-US"/>
        </w:rPr>
        <w:t>.</w:t>
      </w:r>
    </w:p>
    <w:p w14:paraId="77DEEC15" w14:textId="582E3E21" w:rsidR="2CAD135C" w:rsidRPr="00853F43" w:rsidRDefault="2CAD135C" w:rsidP="00A94D32">
      <w:pPr>
        <w:spacing w:line="257" w:lineRule="auto"/>
        <w:rPr>
          <w:rFonts w:ascii="Calibri" w:eastAsia="Calibri" w:hAnsi="Calibri" w:cs="Calibri"/>
          <w:color w:val="000000" w:themeColor="text1"/>
          <w:lang w:val="en-US"/>
        </w:rPr>
      </w:pPr>
    </w:p>
    <w:p w14:paraId="352E2F01" w14:textId="10E79626" w:rsidR="329E27B1" w:rsidRPr="00853F43" w:rsidRDefault="329E27B1" w:rsidP="329E27B1">
      <w:pPr>
        <w:spacing w:line="257" w:lineRule="auto"/>
        <w:rPr>
          <w:rFonts w:ascii="Calibri" w:eastAsia="Calibri" w:hAnsi="Calibri" w:cs="Calibri"/>
          <w:lang w:val="en-US"/>
        </w:rPr>
      </w:pPr>
      <w:r w:rsidRPr="00853F43">
        <w:rPr>
          <w:rFonts w:ascii="Calibri" w:eastAsia="Calibri" w:hAnsi="Calibri" w:cs="Calibri"/>
          <w:lang w:val="en-US"/>
        </w:rPr>
        <w:t>During the report period,</w:t>
      </w:r>
      <w:r w:rsidR="073A78A3" w:rsidRPr="00853F43">
        <w:rPr>
          <w:rFonts w:ascii="Calibri" w:eastAsia="Calibri" w:hAnsi="Calibri" w:cs="Calibri"/>
          <w:lang w:val="en-US"/>
        </w:rPr>
        <w:t xml:space="preserve"> in Latvia</w:t>
      </w:r>
      <w:r w:rsidRPr="00853F43">
        <w:rPr>
          <w:rFonts w:ascii="Calibri" w:eastAsia="Calibri" w:hAnsi="Calibri" w:cs="Calibri"/>
          <w:lang w:val="en-US"/>
        </w:rPr>
        <w:t xml:space="preserve"> there w</w:t>
      </w:r>
      <w:r w:rsidR="58082E07" w:rsidRPr="00853F43">
        <w:rPr>
          <w:rFonts w:ascii="Calibri" w:eastAsia="Calibri" w:hAnsi="Calibri" w:cs="Calibri"/>
          <w:lang w:val="en-US"/>
        </w:rPr>
        <w:t>as</w:t>
      </w:r>
      <w:r w:rsidRPr="00853F43">
        <w:rPr>
          <w:rFonts w:ascii="Calibri" w:eastAsia="Calibri" w:hAnsi="Calibri" w:cs="Calibri"/>
          <w:lang w:val="en-US"/>
        </w:rPr>
        <w:t xml:space="preserve"> a total of one active BSP. AST’s standard terms and conditions for BSPs could be found</w:t>
      </w:r>
      <w:r w:rsidR="00F82772" w:rsidRPr="00853F43">
        <w:rPr>
          <w:rFonts w:ascii="Calibri" w:eastAsia="Calibri" w:hAnsi="Calibri" w:cs="Calibri"/>
          <w:lang w:val="en-US"/>
        </w:rPr>
        <w:t xml:space="preserve"> </w:t>
      </w:r>
      <w:hyperlink r:id="rId16">
        <w:r w:rsidR="00F82772" w:rsidRPr="00853F43">
          <w:rPr>
            <w:rStyle w:val="Hyperlink"/>
            <w:rFonts w:ascii="Calibri" w:eastAsia="Calibri" w:hAnsi="Calibri" w:cs="Calibri"/>
            <w:lang w:val="en-US"/>
          </w:rPr>
          <w:t>here</w:t>
        </w:r>
      </w:hyperlink>
      <w:r w:rsidR="0045109E" w:rsidRPr="00853F43">
        <w:rPr>
          <w:rFonts w:ascii="Calibri" w:eastAsia="Calibri" w:hAnsi="Calibri" w:cs="Calibri"/>
          <w:lang w:val="en-US"/>
        </w:rPr>
        <w:t>.</w:t>
      </w:r>
      <w:r w:rsidRPr="00853F43">
        <w:rPr>
          <w:rFonts w:ascii="Calibri" w:eastAsia="Calibri" w:hAnsi="Calibri" w:cs="Calibri"/>
          <w:lang w:val="en-US"/>
        </w:rPr>
        <w:t xml:space="preserve"> During the report period, there were a total of thirteen BRPs. AST’s standard terms and conditions for BRPs could be found</w:t>
      </w:r>
      <w:r w:rsidR="00F82772" w:rsidRPr="00853F43">
        <w:rPr>
          <w:rFonts w:ascii="Calibri" w:eastAsia="Calibri" w:hAnsi="Calibri" w:cs="Calibri"/>
          <w:lang w:val="en-US"/>
        </w:rPr>
        <w:t xml:space="preserve"> </w:t>
      </w:r>
      <w:hyperlink r:id="rId17">
        <w:r w:rsidR="00F82772" w:rsidRPr="00853F43">
          <w:rPr>
            <w:rStyle w:val="Hyperlink"/>
            <w:rFonts w:ascii="Calibri" w:eastAsia="Calibri" w:hAnsi="Calibri" w:cs="Calibri"/>
            <w:lang w:val="en-US"/>
          </w:rPr>
          <w:t>here</w:t>
        </w:r>
      </w:hyperlink>
      <w:r w:rsidR="00F82772" w:rsidRPr="00853F43">
        <w:rPr>
          <w:rFonts w:ascii="Calibri" w:eastAsia="Calibri" w:hAnsi="Calibri" w:cs="Calibri"/>
          <w:lang w:val="en-US"/>
        </w:rPr>
        <w:t>.</w:t>
      </w:r>
    </w:p>
    <w:p w14:paraId="21B724D7" w14:textId="44571950" w:rsidR="329E27B1" w:rsidRPr="00853F43" w:rsidRDefault="329E27B1" w:rsidP="329E27B1">
      <w:pPr>
        <w:spacing w:line="257" w:lineRule="auto"/>
        <w:rPr>
          <w:rFonts w:ascii="Calibri" w:eastAsia="Calibri" w:hAnsi="Calibri" w:cs="Calibri"/>
          <w:lang w:val="en-US"/>
        </w:rPr>
      </w:pPr>
    </w:p>
    <w:p w14:paraId="7F5DDC7C" w14:textId="1BB52441" w:rsidR="2CAD135C" w:rsidRDefault="2CAD135C" w:rsidP="00A94D32">
      <w:pPr>
        <w:spacing w:line="257" w:lineRule="auto"/>
        <w:rPr>
          <w:rFonts w:ascii="Calibri" w:eastAsia="Calibri" w:hAnsi="Calibri" w:cs="Calibri"/>
          <w:lang w:val="en-US"/>
        </w:rPr>
      </w:pPr>
      <w:r w:rsidRPr="00853F43">
        <w:rPr>
          <w:rFonts w:ascii="Calibri" w:eastAsia="Calibri" w:hAnsi="Calibri" w:cs="Calibri"/>
          <w:lang w:val="en-US"/>
        </w:rPr>
        <w:t xml:space="preserve">During the report period, </w:t>
      </w:r>
      <w:r w:rsidR="748D0672" w:rsidRPr="00853F43">
        <w:rPr>
          <w:rFonts w:ascii="Calibri" w:eastAsia="Calibri" w:hAnsi="Calibri" w:cs="Calibri"/>
          <w:lang w:val="en-US"/>
        </w:rPr>
        <w:t xml:space="preserve">in Estonia </w:t>
      </w:r>
      <w:r w:rsidRPr="00853F43">
        <w:rPr>
          <w:rFonts w:ascii="Calibri" w:eastAsia="Calibri" w:hAnsi="Calibri" w:cs="Calibri"/>
          <w:lang w:val="en-US"/>
        </w:rPr>
        <w:t xml:space="preserve">there were a total of three BSPs, two of which offer the service based on DSR. Elering’s standard terms and conditions for BSPs could be found </w:t>
      </w:r>
      <w:hyperlink r:id="rId18">
        <w:r w:rsidRPr="00853F43">
          <w:rPr>
            <w:rStyle w:val="Hyperlink"/>
            <w:rFonts w:ascii="Calibri" w:eastAsia="Calibri" w:hAnsi="Calibri" w:cs="Calibri"/>
            <w:lang w:val="en-US"/>
          </w:rPr>
          <w:t>here</w:t>
        </w:r>
      </w:hyperlink>
      <w:r w:rsidRPr="00853F43">
        <w:rPr>
          <w:rFonts w:ascii="Calibri" w:eastAsia="Calibri" w:hAnsi="Calibri" w:cs="Calibri"/>
          <w:lang w:val="en-US"/>
        </w:rPr>
        <w:t>.</w:t>
      </w:r>
      <w:r w:rsidR="00A94D32" w:rsidRPr="00853F43">
        <w:rPr>
          <w:rFonts w:ascii="Calibri" w:eastAsia="Calibri" w:hAnsi="Calibri" w:cs="Calibri"/>
          <w:lang w:val="en-US"/>
        </w:rPr>
        <w:t xml:space="preserve"> </w:t>
      </w:r>
      <w:r w:rsidRPr="00853F43">
        <w:rPr>
          <w:rFonts w:ascii="Calibri" w:eastAsia="Calibri" w:hAnsi="Calibri" w:cs="Calibri"/>
          <w:lang w:val="en-US"/>
        </w:rPr>
        <w:t xml:space="preserve">During the report period, there were a total of nine BRPs. Elering’s standard terms and conditions for BRPs could be found </w:t>
      </w:r>
      <w:hyperlink r:id="rId19">
        <w:r w:rsidRPr="00853F43">
          <w:rPr>
            <w:rStyle w:val="Hyperlink"/>
            <w:rFonts w:ascii="Calibri" w:eastAsia="Calibri" w:hAnsi="Calibri" w:cs="Calibri"/>
            <w:lang w:val="en-US"/>
          </w:rPr>
          <w:t>here</w:t>
        </w:r>
      </w:hyperlink>
      <w:r w:rsidRPr="00853F43">
        <w:rPr>
          <w:rFonts w:ascii="Calibri" w:eastAsia="Calibri" w:hAnsi="Calibri" w:cs="Calibri"/>
          <w:lang w:val="en-US"/>
        </w:rPr>
        <w:t>.</w:t>
      </w:r>
    </w:p>
    <w:p w14:paraId="51030CCE" w14:textId="37612F61" w:rsidR="2CAD135C" w:rsidRDefault="2CAD135C" w:rsidP="2CAD135C">
      <w:pPr>
        <w:pStyle w:val="ListParagraph"/>
        <w:tabs>
          <w:tab w:val="left" w:pos="426"/>
        </w:tabs>
        <w:ind w:left="0"/>
        <w:rPr>
          <w:lang w:val="en-US"/>
        </w:rPr>
      </w:pPr>
    </w:p>
    <w:p w14:paraId="0C569D65" w14:textId="412BFB44" w:rsidR="4AB8FA81" w:rsidRDefault="4AB8FA81" w:rsidP="4AB8FA81">
      <w:pPr>
        <w:pStyle w:val="ListParagraph"/>
        <w:tabs>
          <w:tab w:val="left" w:pos="426"/>
        </w:tabs>
        <w:rPr>
          <w:lang w:val="en-US"/>
        </w:rPr>
      </w:pPr>
    </w:p>
    <w:p w14:paraId="0FDD01F2" w14:textId="31108E7A" w:rsidR="00A77A5A" w:rsidRPr="00A77A5A" w:rsidRDefault="007F7BF1" w:rsidP="00434D10">
      <w:pPr>
        <w:pStyle w:val="headline1"/>
        <w:jc w:val="both"/>
        <w:rPr>
          <w:rFonts w:asciiTheme="minorHAnsi" w:eastAsiaTheme="minorHAnsi" w:hAnsiTheme="minorHAnsi" w:cstheme="minorHAnsi"/>
          <w:caps w:val="0"/>
          <w:color w:val="FFC000" w:themeColor="accent4"/>
          <w:sz w:val="22"/>
          <w:szCs w:val="10"/>
          <w:lang w:val="en-US"/>
        </w:rPr>
      </w:pPr>
      <w:bookmarkStart w:id="23" w:name="_Hlk86937693"/>
      <w:bookmarkStart w:id="24" w:name="_Toc103766237"/>
      <w:r>
        <w:rPr>
          <w:rFonts w:asciiTheme="minorHAnsi" w:hAnsiTheme="minorHAnsi" w:cstheme="minorHAnsi"/>
          <w:color w:val="0070C0"/>
          <w:sz w:val="28"/>
          <w:szCs w:val="14"/>
          <w:lang w:val="en-US"/>
        </w:rPr>
        <w:t>2.2</w:t>
      </w:r>
      <w:r w:rsidR="007F7C8F">
        <w:rPr>
          <w:rFonts w:asciiTheme="minorHAnsi" w:hAnsiTheme="minorHAnsi" w:cstheme="minorHAnsi"/>
          <w:color w:val="0070C0"/>
          <w:sz w:val="28"/>
          <w:szCs w:val="14"/>
          <w:lang w:val="en-US"/>
        </w:rPr>
        <w:t xml:space="preserve"> </w:t>
      </w:r>
      <w:r w:rsidR="00A77A5A" w:rsidRPr="00A77A5A">
        <w:rPr>
          <w:rFonts w:asciiTheme="minorHAnsi" w:hAnsiTheme="minorHAnsi" w:cstheme="minorHAnsi"/>
          <w:color w:val="0070C0"/>
          <w:sz w:val="28"/>
          <w:szCs w:val="14"/>
          <w:lang w:val="en-US"/>
        </w:rPr>
        <w:t>P</w:t>
      </w:r>
      <w:r w:rsidR="00A77A5A" w:rsidRPr="00A77A5A">
        <w:rPr>
          <w:rFonts w:asciiTheme="minorHAnsi" w:hAnsiTheme="minorHAnsi" w:cstheme="minorHAnsi"/>
          <w:caps w:val="0"/>
          <w:color w:val="0070C0"/>
          <w:sz w:val="28"/>
          <w:szCs w:val="14"/>
          <w:lang w:val="en-US"/>
        </w:rPr>
        <w:t xml:space="preserve">rogress, </w:t>
      </w:r>
      <w:bookmarkEnd w:id="23"/>
      <w:r w:rsidR="00A77A5A" w:rsidRPr="00A77A5A">
        <w:rPr>
          <w:rFonts w:asciiTheme="minorHAnsi" w:hAnsiTheme="minorHAnsi" w:cstheme="minorHAnsi"/>
          <w:caps w:val="0"/>
          <w:color w:val="0070C0"/>
          <w:sz w:val="28"/>
          <w:szCs w:val="14"/>
          <w:lang w:val="en-US"/>
        </w:rPr>
        <w:t>timeline towards joining the European platforms and / or balancing capacity cooperations</w:t>
      </w:r>
      <w:bookmarkEnd w:id="24"/>
    </w:p>
    <w:tbl>
      <w:tblPr>
        <w:tblStyle w:val="GridTable6Colorful-Accent1"/>
        <w:tblW w:w="9488" w:type="dxa"/>
        <w:tblInd w:w="0" w:type="dxa"/>
        <w:tblLook w:val="04A0" w:firstRow="1" w:lastRow="0" w:firstColumn="1" w:lastColumn="0" w:noHBand="0" w:noVBand="1"/>
      </w:tblPr>
      <w:tblGrid>
        <w:gridCol w:w="3013"/>
        <w:gridCol w:w="3129"/>
        <w:gridCol w:w="3346"/>
      </w:tblGrid>
      <w:tr w:rsidR="00A77A5A" w:rsidRPr="00A77A5A" w14:paraId="3F62B980" w14:textId="77777777" w:rsidTr="34628F99">
        <w:trPr>
          <w:cnfStyle w:val="100000000000" w:firstRow="1" w:lastRow="0" w:firstColumn="0" w:lastColumn="0" w:oddVBand="0" w:evenVBand="0" w:oddHBand="0"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8EAADB" w:themeColor="accent1" w:themeTint="99"/>
              <w:left w:val="single" w:sz="4" w:space="0" w:color="8EAADB" w:themeColor="accent1" w:themeTint="99"/>
              <w:right w:val="single" w:sz="4" w:space="0" w:color="8EAADB" w:themeColor="accent1" w:themeTint="99"/>
            </w:tcBorders>
            <w:hideMark/>
          </w:tcPr>
          <w:p w14:paraId="2CA06327" w14:textId="77777777" w:rsidR="00A77A5A" w:rsidRPr="00A77A5A" w:rsidRDefault="00A77A5A">
            <w:pPr>
              <w:pStyle w:val="ListParagraph"/>
              <w:tabs>
                <w:tab w:val="left" w:pos="426"/>
              </w:tabs>
              <w:ind w:left="0"/>
              <w:rPr>
                <w:lang w:val="en-US"/>
              </w:rPr>
            </w:pPr>
            <w:r w:rsidRPr="00A77A5A">
              <w:rPr>
                <w:lang w:val="en-US"/>
              </w:rPr>
              <w:t>European balancing platform for the activation of balancing energy</w:t>
            </w:r>
          </w:p>
        </w:tc>
        <w:tc>
          <w:tcPr>
            <w:tcW w:w="3129" w:type="dxa"/>
            <w:tcBorders>
              <w:top w:val="single" w:sz="4" w:space="0" w:color="8EAADB" w:themeColor="accent1" w:themeTint="99"/>
              <w:left w:val="single" w:sz="4" w:space="0" w:color="8EAADB" w:themeColor="accent1" w:themeTint="99"/>
              <w:right w:val="single" w:sz="4" w:space="0" w:color="8EAADB" w:themeColor="accent1" w:themeTint="99"/>
            </w:tcBorders>
            <w:hideMark/>
          </w:tcPr>
          <w:p w14:paraId="20089886" w14:textId="77777777" w:rsidR="00A77A5A" w:rsidRPr="00A77A5A" w:rsidRDefault="00A77A5A">
            <w:pPr>
              <w:pStyle w:val="ListParagraph"/>
              <w:tabs>
                <w:tab w:val="left" w:pos="426"/>
              </w:tabs>
              <w:ind w:left="0"/>
              <w:cnfStyle w:val="100000000000" w:firstRow="1" w:lastRow="0" w:firstColumn="0" w:lastColumn="0" w:oddVBand="0" w:evenVBand="0" w:oddHBand="0" w:evenHBand="0" w:firstRowFirstColumn="0" w:firstRowLastColumn="0" w:lastRowFirstColumn="0" w:lastRowLastColumn="0"/>
              <w:rPr>
                <w:rFonts w:cstheme="minorHAnsi"/>
                <w:szCs w:val="24"/>
                <w:lang w:val="en-US"/>
              </w:rPr>
            </w:pPr>
            <w:r w:rsidRPr="00A77A5A">
              <w:rPr>
                <w:rFonts w:cstheme="minorHAnsi"/>
                <w:szCs w:val="24"/>
                <w:lang w:val="en-US"/>
              </w:rPr>
              <w:t>Accession timeline</w:t>
            </w:r>
          </w:p>
        </w:tc>
        <w:tc>
          <w:tcPr>
            <w:tcW w:w="3346" w:type="dxa"/>
            <w:tcBorders>
              <w:top w:val="single" w:sz="4" w:space="0" w:color="8EAADB" w:themeColor="accent1" w:themeTint="99"/>
              <w:left w:val="single" w:sz="4" w:space="0" w:color="8EAADB" w:themeColor="accent1" w:themeTint="99"/>
              <w:right w:val="single" w:sz="4" w:space="0" w:color="8EAADB" w:themeColor="accent1" w:themeTint="99"/>
            </w:tcBorders>
            <w:hideMark/>
          </w:tcPr>
          <w:p w14:paraId="04D01FDB" w14:textId="77777777" w:rsidR="00A77A5A" w:rsidRPr="00A77A5A" w:rsidRDefault="00A77A5A">
            <w:pPr>
              <w:pStyle w:val="ListParagraph"/>
              <w:tabs>
                <w:tab w:val="left" w:pos="426"/>
              </w:tabs>
              <w:ind w:left="0"/>
              <w:cnfStyle w:val="100000000000" w:firstRow="1" w:lastRow="0" w:firstColumn="0" w:lastColumn="0" w:oddVBand="0" w:evenVBand="0" w:oddHBand="0" w:evenHBand="0" w:firstRowFirstColumn="0" w:firstRowLastColumn="0" w:lastRowFirstColumn="0" w:lastRowLastColumn="0"/>
              <w:rPr>
                <w:rFonts w:cstheme="minorHAnsi"/>
                <w:szCs w:val="24"/>
                <w:lang w:val="en-US"/>
              </w:rPr>
            </w:pPr>
            <w:r w:rsidRPr="00A77A5A">
              <w:rPr>
                <w:rFonts w:cstheme="minorHAnsi"/>
                <w:szCs w:val="24"/>
                <w:lang w:val="en-US"/>
              </w:rPr>
              <w:t>Reasoning for derogation and status of the derogation (granted or not)</w:t>
            </w:r>
          </w:p>
        </w:tc>
      </w:tr>
      <w:tr w:rsidR="00A77A5A" w:rsidRPr="00A77A5A" w14:paraId="76320775" w14:textId="77777777" w:rsidTr="34628F9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9732C08" w14:textId="77777777" w:rsidR="00A77A5A" w:rsidRPr="00A77A5A" w:rsidRDefault="00A77A5A">
            <w:pPr>
              <w:pStyle w:val="ListParagraph"/>
              <w:tabs>
                <w:tab w:val="left" w:pos="426"/>
              </w:tabs>
              <w:ind w:left="0"/>
              <w:rPr>
                <w:rFonts w:cstheme="minorHAnsi"/>
                <w:szCs w:val="24"/>
                <w:lang w:val="en-US"/>
              </w:rPr>
            </w:pPr>
            <w:r w:rsidRPr="00A77A5A">
              <w:rPr>
                <w:rFonts w:cstheme="minorHAnsi"/>
                <w:szCs w:val="24"/>
                <w:lang w:val="en-US"/>
              </w:rPr>
              <w:t>RR Platform</w:t>
            </w:r>
          </w:p>
        </w:tc>
        <w:tc>
          <w:tcPr>
            <w:tcW w:w="3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26D0226" w14:textId="03A80BDA" w:rsidR="00A77A5A" w:rsidRPr="00A77A5A" w:rsidRDefault="65F52166" w:rsidP="00434D10">
            <w:pPr>
              <w:pStyle w:val="ListParagraph"/>
              <w:tabs>
                <w:tab w:val="left" w:pos="426"/>
              </w:tabs>
              <w:spacing w:after="0"/>
              <w:ind w:left="0"/>
              <w:cnfStyle w:val="000000100000" w:firstRow="0" w:lastRow="0" w:firstColumn="0" w:lastColumn="0" w:oddVBand="0" w:evenVBand="0" w:oddHBand="1" w:evenHBand="0" w:firstRowFirstColumn="0" w:firstRowLastColumn="0" w:lastRowFirstColumn="0" w:lastRowLastColumn="0"/>
              <w:rPr>
                <w:lang w:val="en-US"/>
              </w:rPr>
            </w:pPr>
            <w:r w:rsidRPr="65F52166">
              <w:rPr>
                <w:lang w:val="en-US"/>
              </w:rPr>
              <w:t>NAP</w:t>
            </w:r>
          </w:p>
        </w:tc>
        <w:tc>
          <w:tcPr>
            <w:tcW w:w="33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AF86471" w14:textId="60DB6889" w:rsidR="00A77A5A" w:rsidRPr="00A77A5A" w:rsidRDefault="65F52166" w:rsidP="00434D10">
            <w:pPr>
              <w:pStyle w:val="ListParagraph"/>
              <w:tabs>
                <w:tab w:val="left" w:pos="426"/>
              </w:tabs>
              <w:spacing w:after="0"/>
              <w:ind w:left="0"/>
              <w:cnfStyle w:val="000000100000" w:firstRow="0" w:lastRow="0" w:firstColumn="0" w:lastColumn="0" w:oddVBand="0" w:evenVBand="0" w:oddHBand="1" w:evenHBand="0" w:firstRowFirstColumn="0" w:firstRowLastColumn="0" w:lastRowFirstColumn="0" w:lastRowLastColumn="0"/>
              <w:rPr>
                <w:lang w:val="en-US"/>
              </w:rPr>
            </w:pPr>
            <w:r w:rsidRPr="65F52166">
              <w:rPr>
                <w:lang w:val="en-US"/>
              </w:rPr>
              <w:t>NAP</w:t>
            </w:r>
          </w:p>
        </w:tc>
      </w:tr>
      <w:tr w:rsidR="00A77A5A" w:rsidRPr="00A77A5A" w14:paraId="4FAFE540" w14:textId="77777777" w:rsidTr="34628F99">
        <w:trPr>
          <w:trHeight w:val="281"/>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8550D7C" w14:textId="77777777" w:rsidR="00A77A5A" w:rsidRPr="00A77A5A" w:rsidRDefault="00A77A5A" w:rsidP="3FE890D8">
            <w:pPr>
              <w:pStyle w:val="ListParagraph"/>
              <w:tabs>
                <w:tab w:val="left" w:pos="426"/>
              </w:tabs>
              <w:ind w:left="0"/>
              <w:rPr>
                <w:lang w:val="en-US"/>
              </w:rPr>
            </w:pPr>
            <w:r w:rsidRPr="3FE890D8">
              <w:rPr>
                <w:lang w:val="en-US"/>
              </w:rPr>
              <w:t>aFRR Platform</w:t>
            </w:r>
          </w:p>
        </w:tc>
        <w:tc>
          <w:tcPr>
            <w:tcW w:w="3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3EB6396" w14:textId="7D9FACCF" w:rsidR="00A77A5A" w:rsidRDefault="00DA11A8" w:rsidP="3FE890D8">
            <w:pPr>
              <w:pStyle w:val="ListParagraph"/>
              <w:tabs>
                <w:tab w:val="left" w:pos="426"/>
              </w:tabs>
              <w:ind w:left="0"/>
              <w:cnfStyle w:val="000000000000" w:firstRow="0" w:lastRow="0" w:firstColumn="0" w:lastColumn="0" w:oddVBand="0" w:evenVBand="0" w:oddHBand="0" w:evenHBand="0" w:firstRowFirstColumn="0" w:firstRowLastColumn="0" w:lastRowFirstColumn="0" w:lastRowLastColumn="0"/>
              <w:rPr>
                <w:lang w:val="en-US"/>
              </w:rPr>
            </w:pPr>
            <w:r>
              <w:rPr>
                <w:lang w:val="en-US"/>
              </w:rPr>
              <w:t>Litgrid AB:</w:t>
            </w:r>
            <w:r w:rsidR="00A77A5A" w:rsidRPr="3FE890D8">
              <w:rPr>
                <w:lang w:val="en-US"/>
              </w:rPr>
              <w:t xml:space="preserve">2024 </w:t>
            </w:r>
            <w:r w:rsidR="007F0385">
              <w:rPr>
                <w:lang w:val="en-US"/>
              </w:rPr>
              <w:t>December</w:t>
            </w:r>
          </w:p>
          <w:p w14:paraId="7FC98464" w14:textId="19558D22" w:rsidR="00DA11A8" w:rsidRDefault="00DA11A8" w:rsidP="3FE890D8">
            <w:pPr>
              <w:pStyle w:val="ListParagraph"/>
              <w:tabs>
                <w:tab w:val="left" w:pos="426"/>
              </w:tabs>
              <w:ind w:left="0"/>
              <w:cnfStyle w:val="000000000000" w:firstRow="0" w:lastRow="0" w:firstColumn="0" w:lastColumn="0" w:oddVBand="0" w:evenVBand="0" w:oddHBand="0" w:evenHBand="0" w:firstRowFirstColumn="0" w:firstRowLastColumn="0" w:lastRowFirstColumn="0" w:lastRowLastColumn="0"/>
              <w:rPr>
                <w:lang w:val="en-US"/>
              </w:rPr>
            </w:pPr>
            <w:r w:rsidRPr="34628F99">
              <w:rPr>
                <w:lang w:val="en-US"/>
              </w:rPr>
              <w:t xml:space="preserve">AST: </w:t>
            </w:r>
            <w:r w:rsidR="0A54F025" w:rsidRPr="34628F99">
              <w:rPr>
                <w:lang w:val="en-US"/>
              </w:rPr>
              <w:t>202</w:t>
            </w:r>
            <w:r w:rsidR="526EF11C" w:rsidRPr="34628F99">
              <w:rPr>
                <w:lang w:val="en-US"/>
              </w:rPr>
              <w:t>5</w:t>
            </w:r>
            <w:r w:rsidRPr="34628F99">
              <w:rPr>
                <w:lang w:val="en-US"/>
              </w:rPr>
              <w:t xml:space="preserve"> </w:t>
            </w:r>
            <w:r w:rsidR="2F57A93C" w:rsidRPr="34628F99">
              <w:rPr>
                <w:lang w:val="en-US"/>
              </w:rPr>
              <w:t>Jan</w:t>
            </w:r>
            <w:r w:rsidRPr="34628F99">
              <w:rPr>
                <w:lang w:val="en-US"/>
              </w:rPr>
              <w:t>uary</w:t>
            </w:r>
          </w:p>
          <w:p w14:paraId="71F34328" w14:textId="140B79C5" w:rsidR="00DA11A8" w:rsidRPr="00A77A5A" w:rsidRDefault="00DA11A8" w:rsidP="3FE890D8">
            <w:pPr>
              <w:pStyle w:val="ListParagraph"/>
              <w:tabs>
                <w:tab w:val="left" w:pos="426"/>
              </w:tabs>
              <w:ind w:left="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Elering: </w:t>
            </w:r>
            <w:r w:rsidR="0A54F025" w:rsidRPr="3AAA16C7">
              <w:rPr>
                <w:lang w:val="en-US"/>
              </w:rPr>
              <w:t>202</w:t>
            </w:r>
            <w:r w:rsidR="428103C1" w:rsidRPr="3AAA16C7">
              <w:rPr>
                <w:lang w:val="en-US"/>
              </w:rPr>
              <w:t>5 January</w:t>
            </w:r>
          </w:p>
        </w:tc>
        <w:tc>
          <w:tcPr>
            <w:tcW w:w="33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C645224" w14:textId="5C462E67" w:rsidR="00A77A5A" w:rsidRPr="00A77A5A" w:rsidRDefault="65F52166" w:rsidP="00434D10">
            <w:pPr>
              <w:pStyle w:val="ListParagraph"/>
              <w:tabs>
                <w:tab w:val="left" w:pos="426"/>
              </w:tabs>
              <w:spacing w:after="0"/>
              <w:ind w:left="0"/>
              <w:cnfStyle w:val="000000000000" w:firstRow="0" w:lastRow="0" w:firstColumn="0" w:lastColumn="0" w:oddVBand="0" w:evenVBand="0" w:oddHBand="0" w:evenHBand="0" w:firstRowFirstColumn="0" w:firstRowLastColumn="0" w:lastRowFirstColumn="0" w:lastRowLastColumn="0"/>
              <w:rPr>
                <w:lang w:val="en-US"/>
              </w:rPr>
            </w:pPr>
            <w:r w:rsidRPr="3FE890D8">
              <w:rPr>
                <w:lang w:val="en-US"/>
              </w:rPr>
              <w:t>NAP</w:t>
            </w:r>
          </w:p>
        </w:tc>
      </w:tr>
      <w:tr w:rsidR="00A77A5A" w:rsidRPr="00A77A5A" w14:paraId="4A71AFE9" w14:textId="77777777" w:rsidTr="34628F9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9FAAE9B" w14:textId="77777777" w:rsidR="00A77A5A" w:rsidRPr="00A77A5A" w:rsidRDefault="00A77A5A" w:rsidP="3FE890D8">
            <w:pPr>
              <w:pStyle w:val="ListParagraph"/>
              <w:tabs>
                <w:tab w:val="left" w:pos="426"/>
              </w:tabs>
              <w:ind w:left="0"/>
              <w:rPr>
                <w:lang w:val="en-US"/>
              </w:rPr>
            </w:pPr>
            <w:r w:rsidRPr="3FE890D8">
              <w:rPr>
                <w:lang w:val="en-US"/>
              </w:rPr>
              <w:t>mFRR Platform</w:t>
            </w:r>
          </w:p>
        </w:tc>
        <w:tc>
          <w:tcPr>
            <w:tcW w:w="3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109286F" w14:textId="730752A8" w:rsidR="00A77A5A" w:rsidRPr="007F0385" w:rsidRDefault="00DA11A8" w:rsidP="65F52166">
            <w:pPr>
              <w:pStyle w:val="ListParagraph"/>
              <w:tabs>
                <w:tab w:val="left" w:pos="426"/>
              </w:tabs>
              <w:ind w:left="0"/>
              <w:cnfStyle w:val="000000100000" w:firstRow="0" w:lastRow="0" w:firstColumn="0" w:lastColumn="0" w:oddVBand="0" w:evenVBand="0" w:oddHBand="1" w:evenHBand="0" w:firstRowFirstColumn="0" w:firstRowLastColumn="0" w:lastRowFirstColumn="0" w:lastRowLastColumn="0"/>
              <w:rPr>
                <w:lang w:val="lt-LT"/>
              </w:rPr>
            </w:pPr>
            <w:r w:rsidRPr="3FE890D8">
              <w:rPr>
                <w:lang w:val="en-US"/>
              </w:rPr>
              <w:t>202</w:t>
            </w:r>
            <w:r>
              <w:rPr>
                <w:lang w:val="en-US"/>
              </w:rPr>
              <w:t>4</w:t>
            </w:r>
            <w:r w:rsidRPr="3FE890D8">
              <w:rPr>
                <w:lang w:val="en-US"/>
              </w:rPr>
              <w:t xml:space="preserve"> </w:t>
            </w:r>
            <w:r>
              <w:rPr>
                <w:lang w:val="en-US"/>
              </w:rPr>
              <w:t xml:space="preserve"> October</w:t>
            </w:r>
          </w:p>
        </w:tc>
        <w:tc>
          <w:tcPr>
            <w:tcW w:w="33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760DFAD" w14:textId="3D3F6771" w:rsidR="00A77A5A" w:rsidRPr="00A77A5A" w:rsidRDefault="00A77A5A" w:rsidP="00A77A5A">
            <w:pPr>
              <w:pStyle w:val="ListParagraph"/>
              <w:tabs>
                <w:tab w:val="left" w:pos="426"/>
              </w:tabs>
              <w:ind w:left="0"/>
              <w:cnfStyle w:val="000000100000" w:firstRow="0" w:lastRow="0" w:firstColumn="0" w:lastColumn="0" w:oddVBand="0" w:evenVBand="0" w:oddHBand="1" w:evenHBand="0" w:firstRowFirstColumn="0" w:firstRowLastColumn="0" w:lastRowFirstColumn="0" w:lastRowLastColumn="0"/>
              <w:rPr>
                <w:lang w:val="en-US"/>
              </w:rPr>
            </w:pPr>
            <w:r w:rsidRPr="3FE890D8">
              <w:rPr>
                <w:lang w:val="en-US"/>
              </w:rPr>
              <w:t xml:space="preserve">Derogation granted by Baltic NRA’s in order to join MARI together with Nordic TSOs. </w:t>
            </w:r>
            <w:r w:rsidR="00485FAE">
              <w:rPr>
                <w:lang w:val="en-US"/>
              </w:rPr>
              <w:t>However, due to Nordic TSOs delay to join MARI decision was made to join MARI platform on 2024 October.</w:t>
            </w:r>
          </w:p>
        </w:tc>
      </w:tr>
      <w:tr w:rsidR="007F7C8F" w:rsidRPr="00A77A5A" w14:paraId="553E6073" w14:textId="77777777" w:rsidTr="34628F99">
        <w:trPr>
          <w:trHeight w:val="281"/>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676631A" w14:textId="77777777" w:rsidR="007F7C8F" w:rsidRPr="00A77A5A" w:rsidRDefault="007F7C8F" w:rsidP="3FE890D8">
            <w:pPr>
              <w:pStyle w:val="ListParagraph"/>
              <w:tabs>
                <w:tab w:val="left" w:pos="426"/>
              </w:tabs>
              <w:ind w:left="0"/>
              <w:rPr>
                <w:lang w:val="en-US"/>
              </w:rPr>
            </w:pPr>
            <w:r w:rsidRPr="3FE890D8">
              <w:rPr>
                <w:lang w:val="en-US"/>
              </w:rPr>
              <w:t>IN Platform</w:t>
            </w:r>
          </w:p>
        </w:tc>
        <w:tc>
          <w:tcPr>
            <w:tcW w:w="3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A7A2EC9" w14:textId="35DCFE7E" w:rsidR="00485FAE" w:rsidRDefault="00485FAE" w:rsidP="00485FAE">
            <w:pPr>
              <w:pStyle w:val="ListParagraph"/>
              <w:tabs>
                <w:tab w:val="left" w:pos="426"/>
              </w:tabs>
              <w:ind w:left="0"/>
              <w:cnfStyle w:val="000000000000" w:firstRow="0" w:lastRow="0" w:firstColumn="0" w:lastColumn="0" w:oddVBand="0" w:evenVBand="0" w:oddHBand="0" w:evenHBand="0" w:firstRowFirstColumn="0" w:firstRowLastColumn="0" w:lastRowFirstColumn="0" w:lastRowLastColumn="0"/>
              <w:rPr>
                <w:lang w:val="en-US"/>
              </w:rPr>
            </w:pPr>
            <w:r>
              <w:rPr>
                <w:lang w:val="en-US"/>
              </w:rPr>
              <w:t>Litgrid AB:</w:t>
            </w:r>
            <w:r w:rsidRPr="3FE890D8">
              <w:rPr>
                <w:lang w:val="en-US"/>
              </w:rPr>
              <w:t xml:space="preserve">2024 </w:t>
            </w:r>
            <w:r w:rsidR="007F0385">
              <w:rPr>
                <w:lang w:val="en-US"/>
              </w:rPr>
              <w:t>December</w:t>
            </w:r>
          </w:p>
          <w:p w14:paraId="5C6189D8" w14:textId="0D2370C3" w:rsidR="00485FAE" w:rsidRDefault="00485FAE" w:rsidP="00485FAE">
            <w:pPr>
              <w:pStyle w:val="ListParagraph"/>
              <w:tabs>
                <w:tab w:val="left" w:pos="426"/>
              </w:tabs>
              <w:ind w:left="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AST: </w:t>
            </w:r>
            <w:r w:rsidR="76141A6F" w:rsidRPr="39631766">
              <w:rPr>
                <w:lang w:val="en-US"/>
              </w:rPr>
              <w:t>202</w:t>
            </w:r>
            <w:r w:rsidR="490B5731" w:rsidRPr="39631766">
              <w:rPr>
                <w:lang w:val="en-US"/>
              </w:rPr>
              <w:t>5</w:t>
            </w:r>
            <w:r>
              <w:rPr>
                <w:lang w:val="en-US"/>
              </w:rPr>
              <w:t xml:space="preserve"> </w:t>
            </w:r>
            <w:r w:rsidR="737DAD6D" w:rsidRPr="2FDEF2CF">
              <w:rPr>
                <w:lang w:val="en-US"/>
              </w:rPr>
              <w:t>January</w:t>
            </w:r>
          </w:p>
          <w:p w14:paraId="06C48DAD" w14:textId="65CE8108" w:rsidR="007F7C8F" w:rsidRPr="00A77A5A" w:rsidRDefault="00485FAE" w:rsidP="00485FAE">
            <w:pPr>
              <w:pStyle w:val="ListParagraph"/>
              <w:tabs>
                <w:tab w:val="left" w:pos="426"/>
              </w:tabs>
              <w:ind w:left="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Elering: </w:t>
            </w:r>
            <w:r w:rsidR="00273E82">
              <w:rPr>
                <w:lang w:val="en-US"/>
              </w:rPr>
              <w:t>2025 January</w:t>
            </w:r>
          </w:p>
        </w:tc>
        <w:tc>
          <w:tcPr>
            <w:tcW w:w="33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7BE649" w14:textId="3EA1DD5C" w:rsidR="007F7C8F" w:rsidRPr="00A77A5A" w:rsidRDefault="16AF8C95" w:rsidP="3FE890D8">
            <w:pPr>
              <w:pStyle w:val="ListParagraph"/>
              <w:tabs>
                <w:tab w:val="left" w:pos="426"/>
              </w:tabs>
              <w:ind w:left="0"/>
              <w:cnfStyle w:val="000000000000" w:firstRow="0" w:lastRow="0" w:firstColumn="0" w:lastColumn="0" w:oddVBand="0" w:evenVBand="0" w:oddHBand="0" w:evenHBand="0" w:firstRowFirstColumn="0" w:firstRowLastColumn="0" w:lastRowFirstColumn="0" w:lastRowLastColumn="0"/>
              <w:rPr>
                <w:lang w:val="en-US"/>
              </w:rPr>
            </w:pPr>
            <w:r w:rsidRPr="3FE890D8">
              <w:rPr>
                <w:lang w:val="en-US"/>
              </w:rPr>
              <w:t>NAP</w:t>
            </w:r>
          </w:p>
        </w:tc>
      </w:tr>
    </w:tbl>
    <w:p w14:paraId="55070520" w14:textId="77777777" w:rsidR="00A77A5A" w:rsidRPr="00A77A5A" w:rsidRDefault="00A77A5A" w:rsidP="3FE890D8">
      <w:pPr>
        <w:pStyle w:val="ListParagraph"/>
        <w:tabs>
          <w:tab w:val="left" w:pos="426"/>
        </w:tabs>
        <w:ind w:left="717"/>
        <w:rPr>
          <w:lang w:val="en-US"/>
        </w:rPr>
      </w:pPr>
    </w:p>
    <w:tbl>
      <w:tblPr>
        <w:tblStyle w:val="GridTable6Colorful-Accent1"/>
        <w:tblW w:w="9500" w:type="dxa"/>
        <w:tblInd w:w="0" w:type="dxa"/>
        <w:tblLook w:val="04A0" w:firstRow="1" w:lastRow="0" w:firstColumn="1" w:lastColumn="0" w:noHBand="0" w:noVBand="1"/>
      </w:tblPr>
      <w:tblGrid>
        <w:gridCol w:w="3598"/>
        <w:gridCol w:w="3011"/>
        <w:gridCol w:w="2891"/>
      </w:tblGrid>
      <w:tr w:rsidR="00A77A5A" w:rsidRPr="00A77A5A" w14:paraId="06A38C13" w14:textId="77777777" w:rsidTr="3FE890D8">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598" w:type="dxa"/>
            <w:tcBorders>
              <w:top w:val="single" w:sz="4" w:space="0" w:color="8EAADB" w:themeColor="accent1" w:themeTint="99"/>
              <w:left w:val="single" w:sz="4" w:space="0" w:color="8EAADB" w:themeColor="accent1" w:themeTint="99"/>
              <w:right w:val="single" w:sz="4" w:space="0" w:color="8EAADB" w:themeColor="accent1" w:themeTint="99"/>
            </w:tcBorders>
            <w:hideMark/>
          </w:tcPr>
          <w:p w14:paraId="095C854E" w14:textId="42572F76" w:rsidR="00A77A5A" w:rsidRPr="00A77A5A" w:rsidRDefault="00A77A5A" w:rsidP="3FE890D8">
            <w:pPr>
              <w:pStyle w:val="ListParagraph"/>
              <w:tabs>
                <w:tab w:val="left" w:pos="426"/>
              </w:tabs>
              <w:ind w:left="0"/>
              <w:rPr>
                <w:lang w:val="en-US"/>
              </w:rPr>
            </w:pPr>
            <w:r w:rsidRPr="3FE890D8">
              <w:rPr>
                <w:lang w:val="en-US"/>
              </w:rPr>
              <w:t>Balancing capacity cooperations</w:t>
            </w:r>
          </w:p>
        </w:tc>
        <w:tc>
          <w:tcPr>
            <w:tcW w:w="3011" w:type="dxa"/>
            <w:tcBorders>
              <w:top w:val="single" w:sz="4" w:space="0" w:color="8EAADB" w:themeColor="accent1" w:themeTint="99"/>
              <w:left w:val="single" w:sz="4" w:space="0" w:color="8EAADB" w:themeColor="accent1" w:themeTint="99"/>
              <w:right w:val="single" w:sz="4" w:space="0" w:color="8EAADB" w:themeColor="accent1" w:themeTint="99"/>
            </w:tcBorders>
            <w:hideMark/>
          </w:tcPr>
          <w:p w14:paraId="4CE8234B" w14:textId="7C600251" w:rsidR="00A77A5A" w:rsidRPr="00A77A5A" w:rsidRDefault="00A77A5A" w:rsidP="57F439C8">
            <w:pPr>
              <w:pStyle w:val="ListParagraph"/>
              <w:tabs>
                <w:tab w:val="left" w:pos="426"/>
              </w:tabs>
              <w:ind w:left="0"/>
              <w:cnfStyle w:val="100000000000" w:firstRow="1" w:lastRow="0" w:firstColumn="0" w:lastColumn="0" w:oddVBand="0" w:evenVBand="0" w:oddHBand="0" w:evenHBand="0" w:firstRowFirstColumn="0" w:firstRowLastColumn="0" w:lastRowFirstColumn="0" w:lastRowLastColumn="0"/>
              <w:rPr>
                <w:lang w:val="en-US"/>
              </w:rPr>
            </w:pPr>
            <w:r w:rsidRPr="3FE890D8">
              <w:rPr>
                <w:lang w:val="en-US"/>
              </w:rPr>
              <w:t>Status</w:t>
            </w:r>
          </w:p>
          <w:p w14:paraId="3D72AB4C" w14:textId="59908837" w:rsidR="00A77A5A" w:rsidRPr="00A77A5A" w:rsidRDefault="00A77A5A" w:rsidP="3FE890D8">
            <w:pPr>
              <w:pStyle w:val="ListParagraph"/>
              <w:tabs>
                <w:tab w:val="left" w:pos="426"/>
              </w:tabs>
              <w:ind w:left="0"/>
              <w:cnfStyle w:val="100000000000" w:firstRow="1" w:lastRow="0" w:firstColumn="0" w:lastColumn="0" w:oddVBand="0" w:evenVBand="0" w:oddHBand="0" w:evenHBand="0" w:firstRowFirstColumn="0" w:firstRowLastColumn="0" w:lastRowFirstColumn="0" w:lastRowLastColumn="0"/>
              <w:rPr>
                <w:lang w:val="en-US"/>
              </w:rPr>
            </w:pPr>
          </w:p>
        </w:tc>
        <w:tc>
          <w:tcPr>
            <w:tcW w:w="2891" w:type="dxa"/>
            <w:tcBorders>
              <w:top w:val="single" w:sz="4" w:space="0" w:color="8EAADB" w:themeColor="accent1" w:themeTint="99"/>
              <w:left w:val="single" w:sz="4" w:space="0" w:color="8EAADB" w:themeColor="accent1" w:themeTint="99"/>
              <w:right w:val="single" w:sz="4" w:space="0" w:color="8EAADB" w:themeColor="accent1" w:themeTint="99"/>
            </w:tcBorders>
            <w:hideMark/>
          </w:tcPr>
          <w:p w14:paraId="7CD79AD6" w14:textId="1B0AEC03" w:rsidR="00A77A5A" w:rsidRPr="00A77A5A" w:rsidRDefault="00A77A5A" w:rsidP="6C3AEB4B">
            <w:pPr>
              <w:pStyle w:val="ListParagraph"/>
              <w:tabs>
                <w:tab w:val="left" w:pos="426"/>
              </w:tabs>
              <w:ind w:left="0"/>
              <w:cnfStyle w:val="100000000000" w:firstRow="1" w:lastRow="0" w:firstColumn="0" w:lastColumn="0" w:oddVBand="0" w:evenVBand="0" w:oddHBand="0" w:evenHBand="0" w:firstRowFirstColumn="0" w:firstRowLastColumn="0" w:lastRowFirstColumn="0" w:lastRowLastColumn="0"/>
              <w:rPr>
                <w:lang w:val="en-US"/>
              </w:rPr>
            </w:pPr>
            <w:r w:rsidRPr="3FE890D8">
              <w:rPr>
                <w:lang w:val="en-US"/>
              </w:rPr>
              <w:t>Accession timeline</w:t>
            </w:r>
          </w:p>
          <w:p w14:paraId="732251A8" w14:textId="372B97F3" w:rsidR="00A77A5A" w:rsidRPr="00A77A5A" w:rsidRDefault="00A77A5A" w:rsidP="3FE890D8">
            <w:pPr>
              <w:pStyle w:val="ListParagraph"/>
              <w:tabs>
                <w:tab w:val="left" w:pos="426"/>
              </w:tabs>
              <w:ind w:left="0"/>
              <w:cnfStyle w:val="100000000000" w:firstRow="1" w:lastRow="0" w:firstColumn="0" w:lastColumn="0" w:oddVBand="0" w:evenVBand="0" w:oddHBand="0" w:evenHBand="0" w:firstRowFirstColumn="0" w:firstRowLastColumn="0" w:lastRowFirstColumn="0" w:lastRowLastColumn="0"/>
              <w:rPr>
                <w:lang w:val="en-US"/>
              </w:rPr>
            </w:pPr>
          </w:p>
        </w:tc>
      </w:tr>
      <w:tr w:rsidR="00A77A5A" w:rsidRPr="00A77A5A" w14:paraId="064CFD5A" w14:textId="77777777" w:rsidTr="00567E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B417A10" w14:textId="11B4E5A1" w:rsidR="00A77A5A" w:rsidRPr="00A77A5A" w:rsidRDefault="007F7C8F" w:rsidP="3FE890D8">
            <w:pPr>
              <w:pStyle w:val="ListParagraph"/>
              <w:tabs>
                <w:tab w:val="left" w:pos="426"/>
              </w:tabs>
              <w:ind w:left="0"/>
              <w:rPr>
                <w:lang w:val="en-US"/>
              </w:rPr>
            </w:pPr>
            <w:r w:rsidRPr="3FE890D8">
              <w:rPr>
                <w:lang w:val="en-US"/>
              </w:rPr>
              <w:t>Common Baltic balancing capacity market</w:t>
            </w:r>
          </w:p>
        </w:tc>
        <w:tc>
          <w:tcPr>
            <w:tcW w:w="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9F48464" w14:textId="4DAAF789" w:rsidR="00A77A5A" w:rsidRPr="00A77A5A" w:rsidRDefault="007F7C8F" w:rsidP="3FE890D8">
            <w:pPr>
              <w:pStyle w:val="ListParagraph"/>
              <w:tabs>
                <w:tab w:val="left" w:pos="426"/>
              </w:tabs>
              <w:ind w:left="0"/>
              <w:cnfStyle w:val="000000100000" w:firstRow="0" w:lastRow="0" w:firstColumn="0" w:lastColumn="0" w:oddVBand="0" w:evenVBand="0" w:oddHBand="1" w:evenHBand="0" w:firstRowFirstColumn="0" w:firstRowLastColumn="0" w:lastRowFirstColumn="0" w:lastRowLastColumn="0"/>
              <w:rPr>
                <w:lang w:val="en-US"/>
              </w:rPr>
            </w:pPr>
            <w:r w:rsidRPr="3FE890D8">
              <w:rPr>
                <w:lang w:val="en-US"/>
              </w:rPr>
              <w:t xml:space="preserve">Project ongoing. Relevant mandatory methodologies </w:t>
            </w:r>
            <w:r w:rsidR="24285721" w:rsidRPr="60736FAB">
              <w:rPr>
                <w:lang w:val="en-US"/>
              </w:rPr>
              <w:t xml:space="preserve">prepared by the Baltic TSOs </w:t>
            </w:r>
            <w:r w:rsidR="4332CB27" w:rsidRPr="23ADA70B">
              <w:rPr>
                <w:lang w:val="en-US"/>
              </w:rPr>
              <w:t xml:space="preserve">were submitted </w:t>
            </w:r>
            <w:r w:rsidR="24285721" w:rsidRPr="07BAE974">
              <w:rPr>
                <w:lang w:val="en-US"/>
              </w:rPr>
              <w:t xml:space="preserve">to the </w:t>
            </w:r>
            <w:r w:rsidR="24285721" w:rsidRPr="5F57BE2A">
              <w:rPr>
                <w:lang w:val="en-US"/>
              </w:rPr>
              <w:t>Baltic NRAs for</w:t>
            </w:r>
            <w:r w:rsidR="24285721" w:rsidRPr="60736FAB">
              <w:rPr>
                <w:lang w:val="en-US"/>
              </w:rPr>
              <w:t xml:space="preserve"> </w:t>
            </w:r>
            <w:r w:rsidR="24285721" w:rsidRPr="00FA0BFD">
              <w:rPr>
                <w:lang w:val="en-US"/>
              </w:rPr>
              <w:t>approval</w:t>
            </w:r>
            <w:r w:rsidR="32836BA4" w:rsidRPr="00FA0BFD">
              <w:rPr>
                <w:lang w:val="en-US"/>
              </w:rPr>
              <w:t xml:space="preserve"> during 2023.</w:t>
            </w:r>
            <w:r w:rsidR="730B7F25" w:rsidRPr="1E4610C4">
              <w:rPr>
                <w:lang w:val="en-US"/>
              </w:rPr>
              <w:t xml:space="preserve"> </w:t>
            </w:r>
            <w:r w:rsidR="2E679B71" w:rsidRPr="2B70C95D">
              <w:rPr>
                <w:lang w:val="en-US"/>
              </w:rPr>
              <w:t xml:space="preserve">All of the submitted methodologies were approved as of 2024 </w:t>
            </w:r>
            <w:r w:rsidR="2E679B71" w:rsidRPr="1C0D4935">
              <w:rPr>
                <w:lang w:val="en-US"/>
              </w:rPr>
              <w:t>Q1.</w:t>
            </w:r>
            <w:r w:rsidR="2E679B71" w:rsidRPr="089532E4">
              <w:rPr>
                <w:lang w:val="en-US"/>
              </w:rPr>
              <w:t xml:space="preserve"> </w:t>
            </w:r>
            <w:r w:rsidR="56F5AA2B" w:rsidRPr="0723EF17">
              <w:rPr>
                <w:lang w:val="en-US"/>
              </w:rPr>
              <w:t>Current</w:t>
            </w:r>
            <w:r w:rsidR="2E679B71" w:rsidRPr="089532E4">
              <w:rPr>
                <w:lang w:val="en-US"/>
              </w:rPr>
              <w:t xml:space="preserve"> </w:t>
            </w:r>
            <w:r w:rsidR="56F5AA2B" w:rsidRPr="089532E4">
              <w:rPr>
                <w:lang w:val="en-US"/>
              </w:rPr>
              <w:t xml:space="preserve">phase is </w:t>
            </w:r>
            <w:r w:rsidR="56F5AA2B" w:rsidRPr="49CF3E66">
              <w:rPr>
                <w:lang w:val="en-US"/>
              </w:rPr>
              <w:t>IT development</w:t>
            </w:r>
            <w:r w:rsidR="56F5AA2B" w:rsidRPr="0723EF17">
              <w:rPr>
                <w:lang w:val="en-US"/>
              </w:rPr>
              <w:t>.</w:t>
            </w:r>
          </w:p>
        </w:tc>
        <w:tc>
          <w:tcPr>
            <w:tcW w:w="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487BC3C" w14:textId="7554C70D" w:rsidR="00A77A5A" w:rsidRPr="00A77A5A" w:rsidRDefault="007F7C8F" w:rsidP="3FE890D8">
            <w:pPr>
              <w:pStyle w:val="ListParagraph"/>
              <w:tabs>
                <w:tab w:val="left" w:pos="426"/>
              </w:tabs>
              <w:ind w:left="0"/>
              <w:cnfStyle w:val="000000100000" w:firstRow="0" w:lastRow="0" w:firstColumn="0" w:lastColumn="0" w:oddVBand="0" w:evenVBand="0" w:oddHBand="1" w:evenHBand="0" w:firstRowFirstColumn="0" w:firstRowLastColumn="0" w:lastRowFirstColumn="0" w:lastRowLastColumn="0"/>
              <w:rPr>
                <w:lang w:val="en-US"/>
              </w:rPr>
            </w:pPr>
            <w:r w:rsidRPr="5923D734">
              <w:rPr>
                <w:lang w:val="en-US"/>
              </w:rPr>
              <w:t>202</w:t>
            </w:r>
            <w:r w:rsidR="5C8A5F04" w:rsidRPr="5923D734">
              <w:rPr>
                <w:lang w:val="en-US"/>
              </w:rPr>
              <w:t>5</w:t>
            </w:r>
            <w:r w:rsidRPr="3FE890D8">
              <w:rPr>
                <w:lang w:val="en-US"/>
              </w:rPr>
              <w:t xml:space="preserve"> </w:t>
            </w:r>
            <w:r w:rsidRPr="23ADA70B">
              <w:rPr>
                <w:lang w:val="en-US"/>
              </w:rPr>
              <w:t>Q</w:t>
            </w:r>
            <w:r w:rsidR="782E597C" w:rsidRPr="23ADA70B">
              <w:rPr>
                <w:lang w:val="en-US"/>
              </w:rPr>
              <w:t>1</w:t>
            </w:r>
          </w:p>
        </w:tc>
      </w:tr>
    </w:tbl>
    <w:p w14:paraId="62F42B7E" w14:textId="77777777" w:rsidR="00A77A5A" w:rsidRPr="00A77A5A" w:rsidRDefault="00A77A5A" w:rsidP="00A77A5A">
      <w:pPr>
        <w:tabs>
          <w:tab w:val="left" w:pos="426"/>
        </w:tabs>
        <w:rPr>
          <w:rFonts w:cstheme="minorHAnsi"/>
          <w:sz w:val="20"/>
          <w:lang w:val="en-US"/>
        </w:rPr>
      </w:pPr>
    </w:p>
    <w:p w14:paraId="4C356627" w14:textId="77777777" w:rsidR="00A77A5A" w:rsidRPr="00A77A5A" w:rsidRDefault="00A77A5A" w:rsidP="00A77A5A">
      <w:pPr>
        <w:rPr>
          <w:rFonts w:cstheme="minorHAnsi"/>
          <w:lang w:val="en-US"/>
        </w:rPr>
      </w:pPr>
      <w:r w:rsidRPr="00A77A5A">
        <w:rPr>
          <w:rFonts w:cstheme="minorHAnsi"/>
          <w:lang w:val="en-US"/>
        </w:rPr>
        <w:t xml:space="preserve">The following content can be included in the Section 2 </w:t>
      </w:r>
      <w:r w:rsidRPr="00A77A5A">
        <w:rPr>
          <w:rFonts w:cstheme="minorHAnsi"/>
          <w:u w:val="single"/>
          <w:lang w:val="en-US"/>
        </w:rPr>
        <w:t>on a voluntary basis</w:t>
      </w:r>
      <w:r w:rsidRPr="00A77A5A">
        <w:rPr>
          <w:rFonts w:cstheme="minorHAnsi"/>
          <w:lang w:val="en-US"/>
        </w:rPr>
        <w:t>:</w:t>
      </w:r>
    </w:p>
    <w:tbl>
      <w:tblPr>
        <w:tblStyle w:val="GridTable6Colorful-Accent1"/>
        <w:tblW w:w="0" w:type="auto"/>
        <w:tblInd w:w="0" w:type="dxa"/>
        <w:tblLook w:val="04A0" w:firstRow="1" w:lastRow="0" w:firstColumn="1" w:lastColumn="0" w:noHBand="0" w:noVBand="1"/>
      </w:tblPr>
      <w:tblGrid>
        <w:gridCol w:w="4957"/>
        <w:gridCol w:w="4536"/>
      </w:tblGrid>
      <w:tr w:rsidR="00CF0329" w:rsidRPr="00BE68A1" w14:paraId="0951E7E5" w14:textId="77777777" w:rsidTr="3FE890D8">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957" w:type="dxa"/>
            <w:hideMark/>
          </w:tcPr>
          <w:p w14:paraId="379CB6CB" w14:textId="77777777" w:rsidR="00A77A5A" w:rsidRPr="00BE68A1" w:rsidRDefault="00A77A5A">
            <w:pPr>
              <w:jc w:val="center"/>
              <w:rPr>
                <w:rFonts w:cstheme="minorHAnsi"/>
                <w:lang w:val="en-US"/>
              </w:rPr>
            </w:pPr>
            <w:r w:rsidRPr="00BE68A1">
              <w:rPr>
                <w:rFonts w:ascii="Calibri" w:eastAsia="Times New Roman" w:hAnsi="Calibri" w:cs="Calibri"/>
                <w:lang w:val="en-US" w:eastAsia="en-GB"/>
              </w:rPr>
              <w:t>Question:</w:t>
            </w:r>
          </w:p>
        </w:tc>
        <w:tc>
          <w:tcPr>
            <w:tcW w:w="4536" w:type="dxa"/>
            <w:hideMark/>
          </w:tcPr>
          <w:p w14:paraId="121D4E4F" w14:textId="77777777" w:rsidR="00A77A5A" w:rsidRPr="00BE68A1" w:rsidRDefault="00A77A5A">
            <w:pPr>
              <w:jc w:val="center"/>
              <w:cnfStyle w:val="100000000000" w:firstRow="1" w:lastRow="0" w:firstColumn="0" w:lastColumn="0" w:oddVBand="0" w:evenVBand="0" w:oddHBand="0" w:evenHBand="0" w:firstRowFirstColumn="0" w:firstRowLastColumn="0" w:lastRowFirstColumn="0" w:lastRowLastColumn="0"/>
              <w:rPr>
                <w:rFonts w:cstheme="minorHAnsi"/>
                <w:lang w:val="en-US"/>
              </w:rPr>
            </w:pPr>
            <w:r w:rsidRPr="00BE68A1">
              <w:rPr>
                <w:rFonts w:ascii="Calibri" w:eastAsia="Times New Roman" w:hAnsi="Calibri" w:cs="Calibri"/>
                <w:lang w:val="en-US" w:eastAsia="en-GB"/>
              </w:rPr>
              <w:t>Please select an option:</w:t>
            </w:r>
          </w:p>
        </w:tc>
      </w:tr>
      <w:tr w:rsidR="00CF0329" w:rsidRPr="00BE68A1" w14:paraId="30B5095E" w14:textId="77777777" w:rsidTr="3FE89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hideMark/>
          </w:tcPr>
          <w:p w14:paraId="263A02B3" w14:textId="77777777" w:rsidR="00A77A5A" w:rsidRPr="00BE68A1" w:rsidRDefault="00A77A5A">
            <w:pPr>
              <w:rPr>
                <w:rFonts w:ascii="Calibri" w:eastAsia="Times New Roman" w:hAnsi="Calibri" w:cs="Calibri"/>
                <w:lang w:val="en-US" w:eastAsia="en-GB"/>
              </w:rPr>
            </w:pPr>
            <w:r w:rsidRPr="00BE68A1">
              <w:rPr>
                <w:rFonts w:ascii="Calibri" w:eastAsia="Times New Roman" w:hAnsi="Calibri" w:cs="Calibri"/>
                <w:lang w:val="en-US" w:eastAsia="en-GB"/>
              </w:rPr>
              <w:t>Q1: Did you carry out regulatory and IT developments for allowing Demand, RES and Storage to participate at European balancing platforms</w:t>
            </w:r>
          </w:p>
        </w:tc>
        <w:tc>
          <w:tcPr>
            <w:tcW w:w="4536" w:type="dxa"/>
            <w:hideMark/>
          </w:tcPr>
          <w:p w14:paraId="298EC149" w14:textId="73EF41B9" w:rsidR="00A77A5A" w:rsidRPr="0040691B" w:rsidRDefault="007F7C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sidRPr="0040691B">
              <w:rPr>
                <w:rFonts w:ascii="Calibri" w:eastAsia="Times New Roman" w:hAnsi="Calibri" w:cs="Calibri"/>
                <w:lang w:val="en-US" w:eastAsia="en-GB"/>
              </w:rPr>
              <w:t>Litgrid AB</w:t>
            </w:r>
            <w:r w:rsidR="005B2287" w:rsidRPr="0040691B">
              <w:rPr>
                <w:rFonts w:ascii="Calibri" w:eastAsia="Times New Roman" w:hAnsi="Calibri" w:cs="Calibri"/>
                <w:lang w:val="en-US" w:eastAsia="en-GB"/>
              </w:rPr>
              <w:t>:</w:t>
            </w:r>
            <w:r w:rsidRPr="0040691B">
              <w:rPr>
                <w:rFonts w:ascii="Calibri" w:eastAsia="Times New Roman" w:hAnsi="Calibri" w:cs="Calibri"/>
                <w:lang w:val="en-US" w:eastAsia="en-GB"/>
              </w:rPr>
              <w:t xml:space="preserve"> </w:t>
            </w:r>
            <w:r w:rsidR="007F7BF1" w:rsidRPr="0040691B">
              <w:rPr>
                <w:rFonts w:ascii="Calibri" w:eastAsia="Times New Roman" w:hAnsi="Calibri" w:cs="Calibri"/>
                <w:lang w:val="en-US" w:eastAsia="en-GB"/>
              </w:rPr>
              <w:t>yes</w:t>
            </w:r>
            <w:r w:rsidRPr="0040691B">
              <w:rPr>
                <w:rFonts w:ascii="Calibri" w:eastAsia="Times New Roman" w:hAnsi="Calibri" w:cs="Calibri"/>
                <w:lang w:val="en-US" w:eastAsia="en-GB"/>
              </w:rPr>
              <w:t>.</w:t>
            </w:r>
          </w:p>
          <w:p w14:paraId="108CB8DE" w14:textId="397582B9" w:rsidR="005B2287" w:rsidRPr="0040691B" w:rsidRDefault="62E34F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sidRPr="0040691B">
              <w:rPr>
                <w:rFonts w:ascii="Calibri" w:eastAsia="Times New Roman" w:hAnsi="Calibri" w:cs="Calibri"/>
                <w:lang w:val="en-US" w:eastAsia="en-GB"/>
              </w:rPr>
              <w:t>AST:</w:t>
            </w:r>
            <w:r w:rsidR="00001C8C" w:rsidRPr="0040691B">
              <w:rPr>
                <w:rFonts w:ascii="Calibri" w:eastAsia="Times New Roman" w:hAnsi="Calibri" w:cs="Calibri"/>
                <w:lang w:val="en-US" w:eastAsia="en-GB"/>
              </w:rPr>
              <w:t xml:space="preserve"> </w:t>
            </w:r>
            <w:r w:rsidRPr="0040691B">
              <w:rPr>
                <w:rFonts w:ascii="Calibri" w:eastAsia="Times New Roman" w:hAnsi="Calibri" w:cs="Calibri"/>
                <w:lang w:val="en-US" w:eastAsia="en-GB"/>
              </w:rPr>
              <w:t>yes</w:t>
            </w:r>
            <w:r w:rsidR="00001C8C" w:rsidRPr="0040691B">
              <w:rPr>
                <w:rFonts w:ascii="Calibri" w:eastAsia="Times New Roman" w:hAnsi="Calibri" w:cs="Calibri"/>
                <w:lang w:val="en-US" w:eastAsia="en-GB"/>
              </w:rPr>
              <w:t>.</w:t>
            </w:r>
          </w:p>
          <w:p w14:paraId="2B4D8012" w14:textId="6BFC1BE9" w:rsidR="005B2287" w:rsidRPr="0040691B" w:rsidRDefault="005B22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sidRPr="0040691B">
              <w:rPr>
                <w:rFonts w:ascii="Calibri" w:eastAsia="Times New Roman" w:hAnsi="Calibri" w:cs="Calibri"/>
                <w:lang w:val="en-US" w:eastAsia="en-GB"/>
              </w:rPr>
              <w:t>Elering: no.</w:t>
            </w:r>
          </w:p>
          <w:p w14:paraId="1A8663F2" w14:textId="5D79F8E0" w:rsidR="005B2287" w:rsidRPr="0040691B" w:rsidRDefault="005B22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en-US" w:eastAsia="en-GB"/>
              </w:rPr>
            </w:pPr>
          </w:p>
        </w:tc>
      </w:tr>
      <w:tr w:rsidR="00CF0329" w:rsidRPr="00BE68A1" w14:paraId="73B0CC8C" w14:textId="77777777" w:rsidTr="3FE890D8">
        <w:tc>
          <w:tcPr>
            <w:cnfStyle w:val="001000000000" w:firstRow="0" w:lastRow="0" w:firstColumn="1" w:lastColumn="0" w:oddVBand="0" w:evenVBand="0" w:oddHBand="0" w:evenHBand="0" w:firstRowFirstColumn="0" w:firstRowLastColumn="0" w:lastRowFirstColumn="0" w:lastRowLastColumn="0"/>
            <w:tcW w:w="4957" w:type="dxa"/>
            <w:hideMark/>
          </w:tcPr>
          <w:p w14:paraId="2C351572" w14:textId="77777777" w:rsidR="00A77A5A" w:rsidRPr="00BE68A1" w:rsidRDefault="00A77A5A" w:rsidP="00A77A5A">
            <w:pPr>
              <w:pStyle w:val="ListParagraph"/>
              <w:keepNext/>
              <w:numPr>
                <w:ilvl w:val="1"/>
                <w:numId w:val="27"/>
              </w:numPr>
              <w:spacing w:after="240" w:line="240" w:lineRule="auto"/>
              <w:contextualSpacing w:val="0"/>
              <w:rPr>
                <w:rFonts w:cstheme="minorHAnsi"/>
                <w:lang w:val="en-US"/>
              </w:rPr>
            </w:pPr>
            <w:r w:rsidRPr="00BE68A1">
              <w:rPr>
                <w:rFonts w:ascii="Calibri" w:eastAsia="Times New Roman" w:hAnsi="Calibri" w:cs="Calibri"/>
                <w:lang w:val="en-US" w:eastAsia="en-GB"/>
              </w:rPr>
              <w:t>If response in Q1 is “no”</w:t>
            </w:r>
            <w:r w:rsidRPr="00BE68A1">
              <w:rPr>
                <w:rFonts w:cstheme="minorHAnsi"/>
                <w:lang w:val="en-US"/>
              </w:rPr>
              <w:t>, why?</w:t>
            </w:r>
          </w:p>
        </w:tc>
        <w:tc>
          <w:tcPr>
            <w:tcW w:w="4536" w:type="dxa"/>
            <w:hideMark/>
          </w:tcPr>
          <w:p w14:paraId="0C97F2B3" w14:textId="3F94282F" w:rsidR="005B2287" w:rsidRPr="0040691B" w:rsidRDefault="005B2287" w:rsidP="005B22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en-US" w:eastAsia="en-GB"/>
              </w:rPr>
            </w:pPr>
            <w:r w:rsidRPr="0040691B">
              <w:rPr>
                <w:rFonts w:ascii="Calibri" w:eastAsia="Times New Roman" w:hAnsi="Calibri" w:cs="Calibri"/>
                <w:lang w:val="en-US" w:eastAsia="en-GB"/>
              </w:rPr>
              <w:t>Litgrid AB:</w:t>
            </w:r>
            <w:r w:rsidRPr="0040691B">
              <w:rPr>
                <w:rFonts w:ascii="Calibri" w:eastAsia="Times New Roman" w:hAnsi="Calibri" w:cs="Calibri"/>
                <w:b/>
                <w:bCs/>
                <w:lang w:val="en-US" w:eastAsia="en-GB"/>
              </w:rPr>
              <w:t xml:space="preserve"> -</w:t>
            </w:r>
          </w:p>
          <w:p w14:paraId="3C4667D0" w14:textId="79C60029" w:rsidR="005B2287" w:rsidRPr="0040691B" w:rsidRDefault="180CBDF9" w:rsidP="005B22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sidRPr="0040691B">
              <w:rPr>
                <w:rFonts w:ascii="Calibri" w:eastAsia="Times New Roman" w:hAnsi="Calibri" w:cs="Calibri"/>
                <w:lang w:val="en-US" w:eastAsia="en-GB"/>
              </w:rPr>
              <w:t>AST:-</w:t>
            </w:r>
          </w:p>
          <w:p w14:paraId="74096589" w14:textId="5C299EC2" w:rsidR="005B2287" w:rsidRPr="0040691B" w:rsidRDefault="005B2287" w:rsidP="005B22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sidRPr="0040691B">
              <w:rPr>
                <w:rFonts w:ascii="Calibri" w:eastAsia="Times New Roman" w:hAnsi="Calibri" w:cs="Calibri"/>
                <w:lang w:val="en-US" w:eastAsia="en-GB"/>
              </w:rPr>
              <w:t>Elering: since 05/2019, Elering allows demand, RES, and storage facilities to participate in the regional balancing market. Preparations in relation to joining the EU balancing platforms shall be carried out during 2022 and 2023.</w:t>
            </w:r>
          </w:p>
          <w:p w14:paraId="5C880396" w14:textId="0081356F" w:rsidR="00A77A5A" w:rsidRPr="0040691B" w:rsidRDefault="00A77A5A">
            <w:pPr>
              <w:cnfStyle w:val="000000000000" w:firstRow="0" w:lastRow="0" w:firstColumn="0" w:lastColumn="0" w:oddVBand="0" w:evenVBand="0" w:oddHBand="0" w:evenHBand="0" w:firstRowFirstColumn="0" w:firstRowLastColumn="0" w:lastRowFirstColumn="0" w:lastRowLastColumn="0"/>
              <w:rPr>
                <w:rFonts w:cstheme="minorHAnsi"/>
                <w:lang w:val="en-US"/>
              </w:rPr>
            </w:pPr>
          </w:p>
          <w:p w14:paraId="0B847608" w14:textId="6BDEC713" w:rsidR="005B2287" w:rsidRPr="0040691B" w:rsidRDefault="005B2287">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0329" w:rsidRPr="00BE68A1" w14:paraId="0E54A77D" w14:textId="77777777" w:rsidTr="3FE89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hideMark/>
          </w:tcPr>
          <w:p w14:paraId="60A4072D" w14:textId="77777777" w:rsidR="00A77A5A" w:rsidRPr="00BE68A1" w:rsidRDefault="00A77A5A" w:rsidP="00A77A5A">
            <w:pPr>
              <w:pStyle w:val="ListParagraph"/>
              <w:keepNext/>
              <w:numPr>
                <w:ilvl w:val="1"/>
                <w:numId w:val="27"/>
              </w:numPr>
              <w:spacing w:after="240" w:line="240" w:lineRule="auto"/>
              <w:contextualSpacing w:val="0"/>
              <w:rPr>
                <w:rFonts w:cstheme="minorHAnsi"/>
                <w:lang w:val="en-US"/>
              </w:rPr>
            </w:pPr>
            <w:r w:rsidRPr="00BE68A1">
              <w:rPr>
                <w:rFonts w:ascii="Calibri" w:eastAsia="Times New Roman" w:hAnsi="Calibri" w:cs="Calibri"/>
                <w:lang w:val="en-US" w:eastAsia="en-GB"/>
              </w:rPr>
              <w:t>If response in Q1 is “yes”</w:t>
            </w:r>
            <w:r w:rsidRPr="00BE68A1">
              <w:rPr>
                <w:rFonts w:cstheme="minorHAnsi"/>
                <w:lang w:val="en-US"/>
              </w:rPr>
              <w:t>, what were the main results”?</w:t>
            </w:r>
          </w:p>
        </w:tc>
        <w:tc>
          <w:tcPr>
            <w:tcW w:w="4536" w:type="dxa"/>
            <w:hideMark/>
          </w:tcPr>
          <w:p w14:paraId="0DABDBC0" w14:textId="4C5DE512" w:rsidR="00A77A5A" w:rsidRPr="00BE68A1" w:rsidRDefault="180CBDF9" w:rsidP="65F52166">
            <w:pPr>
              <w:cnfStyle w:val="000000100000" w:firstRow="0" w:lastRow="0" w:firstColumn="0" w:lastColumn="0" w:oddVBand="0" w:evenVBand="0" w:oddHBand="1" w:evenHBand="0" w:firstRowFirstColumn="0" w:firstRowLastColumn="0" w:lastRowFirstColumn="0" w:lastRowLastColumn="0"/>
              <w:rPr>
                <w:lang w:val="en-US"/>
              </w:rPr>
            </w:pPr>
            <w:r w:rsidRPr="00BE68A1">
              <w:rPr>
                <w:lang w:val="en-US"/>
              </w:rPr>
              <w:t xml:space="preserve">Litgrid AB: </w:t>
            </w:r>
            <w:r w:rsidR="000F0EE2">
              <w:rPr>
                <w:lang w:val="en-US"/>
              </w:rPr>
              <w:t>During report period, starting 202</w:t>
            </w:r>
            <w:r w:rsidR="000B4BD8">
              <w:rPr>
                <w:lang w:val="en-US"/>
              </w:rPr>
              <w:t>3 March, the first Dem</w:t>
            </w:r>
            <w:r w:rsidR="004D2331">
              <w:rPr>
                <w:lang w:val="en-US"/>
              </w:rPr>
              <w:t>and aggregator started providing balancing energy services in Baltic balancing market.</w:t>
            </w:r>
          </w:p>
          <w:p w14:paraId="0FB42DFB" w14:textId="39D44E2A" w:rsidR="00A77A5A" w:rsidRPr="00BE68A1" w:rsidRDefault="65F5216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highlight w:val="yellow"/>
                <w:lang w:val="en-US"/>
              </w:rPr>
            </w:pPr>
            <w:r w:rsidRPr="0040691B">
              <w:rPr>
                <w:rFonts w:ascii="Calibri" w:eastAsia="Calibri" w:hAnsi="Calibri" w:cs="Calibri"/>
                <w:lang w:val="en-US"/>
              </w:rPr>
              <w:t xml:space="preserve">AST: </w:t>
            </w:r>
            <w:r w:rsidR="134D1EA0" w:rsidRPr="00853F43">
              <w:rPr>
                <w:rFonts w:ascii="Calibri" w:eastAsia="Calibri" w:hAnsi="Calibri" w:cs="Calibri"/>
                <w:lang w:val="en-US"/>
              </w:rPr>
              <w:t>W</w:t>
            </w:r>
            <w:r w:rsidRPr="0040691B">
              <w:rPr>
                <w:rFonts w:ascii="Calibri" w:eastAsia="Calibri" w:hAnsi="Calibri" w:cs="Calibri"/>
                <w:lang w:val="en-US"/>
              </w:rPr>
              <w:t>ork</w:t>
            </w:r>
            <w:r w:rsidR="6A5E734E" w:rsidRPr="00853F43">
              <w:rPr>
                <w:rFonts w:ascii="Calibri" w:eastAsia="Calibri" w:hAnsi="Calibri" w:cs="Calibri"/>
                <w:lang w:val="en-US"/>
              </w:rPr>
              <w:t xml:space="preserve"> was done</w:t>
            </w:r>
            <w:r w:rsidRPr="0040691B">
              <w:rPr>
                <w:rFonts w:ascii="Calibri" w:eastAsia="Calibri" w:hAnsi="Calibri" w:cs="Calibri"/>
                <w:lang w:val="en-US"/>
              </w:rPr>
              <w:t xml:space="preserve"> to accommodate Demand response, aggregation in balancing market by developing IT exchange rules and system and terms and conditions. </w:t>
            </w:r>
          </w:p>
        </w:tc>
      </w:tr>
      <w:tr w:rsidR="00CF0329" w:rsidRPr="00BE68A1" w14:paraId="25067E06" w14:textId="77777777" w:rsidTr="3FE890D8">
        <w:tc>
          <w:tcPr>
            <w:cnfStyle w:val="001000000000" w:firstRow="0" w:lastRow="0" w:firstColumn="1" w:lastColumn="0" w:oddVBand="0" w:evenVBand="0" w:oddHBand="0" w:evenHBand="0" w:firstRowFirstColumn="0" w:firstRowLastColumn="0" w:lastRowFirstColumn="0" w:lastRowLastColumn="0"/>
            <w:tcW w:w="4957" w:type="dxa"/>
            <w:hideMark/>
          </w:tcPr>
          <w:p w14:paraId="60AA2DD1" w14:textId="77777777" w:rsidR="00A77A5A" w:rsidRPr="00BE68A1" w:rsidRDefault="00A77A5A">
            <w:pPr>
              <w:rPr>
                <w:rFonts w:cstheme="minorHAnsi"/>
                <w:lang w:val="en-US"/>
              </w:rPr>
            </w:pPr>
            <w:r w:rsidRPr="00BE68A1">
              <w:rPr>
                <w:rFonts w:cstheme="minorHAnsi"/>
                <w:lang w:val="en-US"/>
              </w:rPr>
              <w:t>Q2: Did you carry out regulatory and IT developments for adopting standard energy products (aFRR, mFRR, RR balancing energy products) in your system?</w:t>
            </w:r>
          </w:p>
        </w:tc>
        <w:tc>
          <w:tcPr>
            <w:tcW w:w="4536" w:type="dxa"/>
            <w:hideMark/>
          </w:tcPr>
          <w:p w14:paraId="6BF27B53" w14:textId="5BAD8575" w:rsidR="00CB7BB2" w:rsidRPr="0040691B" w:rsidRDefault="00CB7BB2">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0691B">
              <w:rPr>
                <w:rFonts w:cstheme="minorHAnsi"/>
                <w:lang w:val="en-US"/>
              </w:rPr>
              <w:t>Litgrid AB: yes</w:t>
            </w:r>
          </w:p>
          <w:p w14:paraId="0355320E" w14:textId="40AE9FAE" w:rsidR="00CB7BB2" w:rsidRPr="0040691B" w:rsidRDefault="00CB7BB2">
            <w:pPr>
              <w:cnfStyle w:val="000000000000" w:firstRow="0" w:lastRow="0" w:firstColumn="0" w:lastColumn="0" w:oddVBand="0" w:evenVBand="0" w:oddHBand="0" w:evenHBand="0" w:firstRowFirstColumn="0" w:firstRowLastColumn="0" w:lastRowFirstColumn="0" w:lastRowLastColumn="0"/>
              <w:rPr>
                <w:lang w:val="en-US"/>
              </w:rPr>
            </w:pPr>
            <w:r w:rsidRPr="0040691B">
              <w:rPr>
                <w:lang w:val="en-US"/>
              </w:rPr>
              <w:t>AST:</w:t>
            </w:r>
            <w:r w:rsidR="5349463B" w:rsidRPr="00853F43">
              <w:rPr>
                <w:lang w:val="en-US"/>
              </w:rPr>
              <w:t xml:space="preserve"> yes</w:t>
            </w:r>
          </w:p>
          <w:p w14:paraId="551D639D" w14:textId="59BAE177" w:rsidR="00CB7BB2" w:rsidRPr="0040691B" w:rsidRDefault="00CB7BB2">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0691B">
              <w:rPr>
                <w:rFonts w:cstheme="minorHAnsi"/>
                <w:lang w:val="en-US"/>
              </w:rPr>
              <w:t>Elering:</w:t>
            </w:r>
            <w:r w:rsidR="00AC6B8A" w:rsidRPr="0040691B">
              <w:rPr>
                <w:rFonts w:cstheme="minorHAnsi"/>
                <w:lang w:val="en-US"/>
              </w:rPr>
              <w:t xml:space="preserve"> yes</w:t>
            </w:r>
          </w:p>
          <w:p w14:paraId="7BAC88BC" w14:textId="73E22523" w:rsidR="00D40D7D" w:rsidRPr="00BE68A1" w:rsidRDefault="00D40D7D">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0329" w:rsidRPr="00BE68A1" w14:paraId="29AA8F2A" w14:textId="77777777" w:rsidTr="3FE89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hideMark/>
          </w:tcPr>
          <w:p w14:paraId="051D6B0C" w14:textId="0BA5F440" w:rsidR="00A77A5A" w:rsidRPr="00BE68A1" w:rsidRDefault="00A77A5A" w:rsidP="00A94D32">
            <w:pPr>
              <w:keepNext/>
              <w:spacing w:after="240"/>
              <w:rPr>
                <w:lang w:val="en-US"/>
              </w:rPr>
            </w:pPr>
            <w:r w:rsidRPr="00BE68A1">
              <w:rPr>
                <w:rFonts w:ascii="Calibri" w:eastAsia="Times New Roman" w:hAnsi="Calibri" w:cs="Calibri"/>
                <w:lang w:val="en-US" w:eastAsia="en-GB"/>
              </w:rPr>
              <w:t>2.1. If response in Q2 is “no”</w:t>
            </w:r>
            <w:r w:rsidRPr="00BE68A1">
              <w:rPr>
                <w:lang w:val="en-US"/>
              </w:rPr>
              <w:t>, why?</w:t>
            </w:r>
          </w:p>
        </w:tc>
        <w:tc>
          <w:tcPr>
            <w:tcW w:w="4536" w:type="dxa"/>
            <w:hideMark/>
          </w:tcPr>
          <w:p w14:paraId="684A9E9B" w14:textId="77777777" w:rsidR="00CB7BB2" w:rsidRPr="0040691B" w:rsidRDefault="00CB7BB2" w:rsidP="65F52166">
            <w:pPr>
              <w:cnfStyle w:val="000000100000" w:firstRow="0" w:lastRow="0" w:firstColumn="0" w:lastColumn="0" w:oddVBand="0" w:evenVBand="0" w:oddHBand="1" w:evenHBand="0" w:firstRowFirstColumn="0" w:firstRowLastColumn="0" w:lastRowFirstColumn="0" w:lastRowLastColumn="0"/>
              <w:rPr>
                <w:lang w:val="en-US"/>
              </w:rPr>
            </w:pPr>
            <w:r w:rsidRPr="0040691B">
              <w:rPr>
                <w:lang w:val="en-US"/>
              </w:rPr>
              <w:t>Litgrid AB: -</w:t>
            </w:r>
          </w:p>
          <w:p w14:paraId="33F0CEDA" w14:textId="2E945A10" w:rsidR="00CB7BB2" w:rsidRPr="0040691B" w:rsidRDefault="00CB7BB2" w:rsidP="65F52166">
            <w:pPr>
              <w:cnfStyle w:val="000000100000" w:firstRow="0" w:lastRow="0" w:firstColumn="0" w:lastColumn="0" w:oddVBand="0" w:evenVBand="0" w:oddHBand="1" w:evenHBand="0" w:firstRowFirstColumn="0" w:firstRowLastColumn="0" w:lastRowFirstColumn="0" w:lastRowLastColumn="0"/>
              <w:rPr>
                <w:lang w:val="en-US"/>
              </w:rPr>
            </w:pPr>
            <w:r w:rsidRPr="0040691B">
              <w:rPr>
                <w:lang w:val="en-US"/>
              </w:rPr>
              <w:t xml:space="preserve">AST: </w:t>
            </w:r>
            <w:r w:rsidR="292FD292" w:rsidRPr="00853F43">
              <w:rPr>
                <w:lang w:val="en-US"/>
              </w:rPr>
              <w:t>-</w:t>
            </w:r>
          </w:p>
          <w:p w14:paraId="36DF5600" w14:textId="77777777" w:rsidR="00CB7BB2" w:rsidRDefault="00CB7BB2" w:rsidP="65F52166">
            <w:pPr>
              <w:cnfStyle w:val="000000100000" w:firstRow="0" w:lastRow="0" w:firstColumn="0" w:lastColumn="0" w:oddVBand="0" w:evenVBand="0" w:oddHBand="1" w:evenHBand="0" w:firstRowFirstColumn="0" w:firstRowLastColumn="0" w:lastRowFirstColumn="0" w:lastRowLastColumn="0"/>
              <w:rPr>
                <w:lang w:val="en-US"/>
              </w:rPr>
            </w:pPr>
            <w:r w:rsidRPr="0040691B">
              <w:rPr>
                <w:lang w:val="en-US"/>
              </w:rPr>
              <w:t>Elering:</w:t>
            </w:r>
            <w:r>
              <w:rPr>
                <w:lang w:val="en-US"/>
              </w:rPr>
              <w:t xml:space="preserve"> </w:t>
            </w:r>
          </w:p>
          <w:p w14:paraId="78AB66FD" w14:textId="77777777" w:rsidR="00CB7BB2" w:rsidRDefault="00CB7BB2" w:rsidP="65F52166">
            <w:pPr>
              <w:cnfStyle w:val="000000100000" w:firstRow="0" w:lastRow="0" w:firstColumn="0" w:lastColumn="0" w:oddVBand="0" w:evenVBand="0" w:oddHBand="1" w:evenHBand="0" w:firstRowFirstColumn="0" w:firstRowLastColumn="0" w:lastRowFirstColumn="0" w:lastRowLastColumn="0"/>
              <w:rPr>
                <w:lang w:val="en-US"/>
              </w:rPr>
            </w:pPr>
          </w:p>
          <w:p w14:paraId="54A06E0B" w14:textId="4495C7A4" w:rsidR="00EC6B37" w:rsidRPr="00BE68A1" w:rsidRDefault="151FB4B7" w:rsidP="65F52166">
            <w:pPr>
              <w:cnfStyle w:val="000000100000" w:firstRow="0" w:lastRow="0" w:firstColumn="0" w:lastColumn="0" w:oddVBand="0" w:evenVBand="0" w:oddHBand="1" w:evenHBand="0" w:firstRowFirstColumn="0" w:firstRowLastColumn="0" w:lastRowFirstColumn="0" w:lastRowLastColumn="0"/>
              <w:rPr>
                <w:lang w:val="en-US"/>
              </w:rPr>
            </w:pPr>
            <w:r w:rsidRPr="00BE68A1">
              <w:rPr>
                <w:lang w:val="en-US"/>
              </w:rPr>
              <w:t xml:space="preserve"> </w:t>
            </w:r>
          </w:p>
        </w:tc>
      </w:tr>
      <w:tr w:rsidR="00CF0329" w:rsidRPr="00BE68A1" w14:paraId="54B49D50" w14:textId="77777777" w:rsidTr="3FE890D8">
        <w:tc>
          <w:tcPr>
            <w:cnfStyle w:val="001000000000" w:firstRow="0" w:lastRow="0" w:firstColumn="1" w:lastColumn="0" w:oddVBand="0" w:evenVBand="0" w:oddHBand="0" w:evenHBand="0" w:firstRowFirstColumn="0" w:firstRowLastColumn="0" w:lastRowFirstColumn="0" w:lastRowLastColumn="0"/>
            <w:tcW w:w="4957" w:type="dxa"/>
            <w:hideMark/>
          </w:tcPr>
          <w:p w14:paraId="0F42F8B5" w14:textId="23EC8FF1" w:rsidR="00A77A5A" w:rsidRPr="00BE68A1" w:rsidRDefault="00A77A5A" w:rsidP="00A94D32">
            <w:pPr>
              <w:keepNext/>
              <w:spacing w:after="240"/>
              <w:rPr>
                <w:lang w:val="en-US"/>
              </w:rPr>
            </w:pPr>
            <w:r w:rsidRPr="00BE68A1">
              <w:rPr>
                <w:rFonts w:ascii="Calibri" w:eastAsia="Times New Roman" w:hAnsi="Calibri" w:cs="Calibri"/>
                <w:lang w:val="en-US" w:eastAsia="en-GB"/>
              </w:rPr>
              <w:t>2.2. If response in Q2 is “yes”</w:t>
            </w:r>
            <w:r w:rsidRPr="00BE68A1">
              <w:rPr>
                <w:lang w:val="en-US"/>
              </w:rPr>
              <w:t>,</w:t>
            </w:r>
            <w:r w:rsidRPr="00BE68A1">
              <w:rPr>
                <w:sz w:val="20"/>
                <w:szCs w:val="20"/>
                <w:lang w:val="en-US"/>
              </w:rPr>
              <w:t xml:space="preserve"> </w:t>
            </w:r>
            <w:r w:rsidRPr="00BE68A1">
              <w:rPr>
                <w:lang w:val="en-US"/>
              </w:rPr>
              <w:t>what were the main results?</w:t>
            </w:r>
          </w:p>
        </w:tc>
        <w:tc>
          <w:tcPr>
            <w:tcW w:w="4536" w:type="dxa"/>
          </w:tcPr>
          <w:p w14:paraId="42F33CED" w14:textId="15F1A977" w:rsidR="00A77A5A" w:rsidRDefault="00801792">
            <w:pPr>
              <w:cnfStyle w:val="000000000000" w:firstRow="0" w:lastRow="0" w:firstColumn="0" w:lastColumn="0" w:oddVBand="0" w:evenVBand="0" w:oddHBand="0" w:evenHBand="0" w:firstRowFirstColumn="0" w:firstRowLastColumn="0" w:lastRowFirstColumn="0" w:lastRowLastColumn="0"/>
              <w:rPr>
                <w:lang w:val="en-US"/>
              </w:rPr>
            </w:pPr>
            <w:r w:rsidRPr="0D0E1259">
              <w:rPr>
                <w:lang w:val="en-US"/>
              </w:rPr>
              <w:t xml:space="preserve">Litgrid AB: During 2023 </w:t>
            </w:r>
            <w:r w:rsidR="005523BD">
              <w:rPr>
                <w:lang w:val="en-US"/>
              </w:rPr>
              <w:t>December</w:t>
            </w:r>
            <w:r w:rsidR="00A557F7" w:rsidRPr="0D0E1259">
              <w:rPr>
                <w:lang w:val="en-US"/>
              </w:rPr>
              <w:t xml:space="preserve"> </w:t>
            </w:r>
            <w:r w:rsidR="00566D9F" w:rsidRPr="0D0E1259">
              <w:rPr>
                <w:lang w:val="en-US"/>
              </w:rPr>
              <w:t xml:space="preserve">new version of </w:t>
            </w:r>
            <w:r w:rsidR="008C5531" w:rsidRPr="0D0E1259">
              <w:rPr>
                <w:lang w:val="en-US"/>
              </w:rPr>
              <w:t>standard</w:t>
            </w:r>
            <w:r w:rsidR="00566D9F" w:rsidRPr="0D0E1259">
              <w:rPr>
                <w:lang w:val="en-US"/>
              </w:rPr>
              <w:t xml:space="preserve"> terms and conditions for BSPs were submitted to local NRA for approval. This </w:t>
            </w:r>
            <w:r w:rsidR="00BD51F9" w:rsidRPr="0D0E1259">
              <w:rPr>
                <w:lang w:val="en-US"/>
              </w:rPr>
              <w:t>document includes the balancing energy</w:t>
            </w:r>
            <w:r w:rsidR="002C0D20" w:rsidRPr="0D0E1259">
              <w:rPr>
                <w:lang w:val="en-US"/>
              </w:rPr>
              <w:t xml:space="preserve"> and balancing capacity</w:t>
            </w:r>
            <w:r w:rsidR="00BD51F9" w:rsidRPr="0D0E1259">
              <w:rPr>
                <w:lang w:val="en-US"/>
              </w:rPr>
              <w:t xml:space="preserve"> </w:t>
            </w:r>
            <w:r w:rsidR="002C0D20" w:rsidRPr="0D0E1259">
              <w:rPr>
                <w:lang w:val="en-US"/>
              </w:rPr>
              <w:t xml:space="preserve">market rules for </w:t>
            </w:r>
            <w:r w:rsidR="001C660A" w:rsidRPr="0D0E1259">
              <w:rPr>
                <w:lang w:val="en-US"/>
              </w:rPr>
              <w:t xml:space="preserve">FCR, aFRR and </w:t>
            </w:r>
            <w:r w:rsidR="002C0D20" w:rsidRPr="0D0E1259">
              <w:rPr>
                <w:lang w:val="en-US"/>
              </w:rPr>
              <w:t xml:space="preserve">mFRR </w:t>
            </w:r>
            <w:r w:rsidR="00477AFE" w:rsidRPr="0D0E1259">
              <w:rPr>
                <w:lang w:val="en-US"/>
              </w:rPr>
              <w:t xml:space="preserve">compatible with standard balancing </w:t>
            </w:r>
            <w:r w:rsidR="00783633" w:rsidRPr="0D0E1259">
              <w:rPr>
                <w:lang w:val="en-US"/>
              </w:rPr>
              <w:t>energy products.</w:t>
            </w:r>
          </w:p>
          <w:p w14:paraId="742A3B73" w14:textId="00E6C775" w:rsidR="00783633" w:rsidRPr="00423385" w:rsidRDefault="00FA4233">
            <w:pPr>
              <w:cnfStyle w:val="000000000000" w:firstRow="0" w:lastRow="0" w:firstColumn="0" w:lastColumn="0" w:oddVBand="0" w:evenVBand="0" w:oddHBand="0" w:evenHBand="0" w:firstRowFirstColumn="0" w:firstRowLastColumn="0" w:lastRowFirstColumn="0" w:lastRowLastColumn="0"/>
              <w:rPr>
                <w:lang w:val="en-US"/>
              </w:rPr>
            </w:pPr>
            <w:r w:rsidRPr="00423385">
              <w:rPr>
                <w:lang w:val="en-US"/>
              </w:rPr>
              <w:t>AST:</w:t>
            </w:r>
            <w:r w:rsidR="642BF9BD" w:rsidRPr="00853F43">
              <w:rPr>
                <w:lang w:val="en-US"/>
              </w:rPr>
              <w:t xml:space="preserve"> Updated T&amp;</w:t>
            </w:r>
            <w:r w:rsidR="32002D71" w:rsidRPr="00853F43">
              <w:rPr>
                <w:lang w:val="en-US"/>
              </w:rPr>
              <w:t xml:space="preserve">C were developed to include mFRR standard energy products and IT </w:t>
            </w:r>
            <w:r w:rsidR="3FE6DD19" w:rsidRPr="00853F43">
              <w:rPr>
                <w:lang w:val="en-US"/>
              </w:rPr>
              <w:t>development</w:t>
            </w:r>
            <w:r w:rsidR="32002D71" w:rsidRPr="00853F43">
              <w:rPr>
                <w:lang w:val="en-US"/>
              </w:rPr>
              <w:t xml:space="preserve"> was done to </w:t>
            </w:r>
            <w:r w:rsidR="37162C23" w:rsidRPr="00853F43">
              <w:rPr>
                <w:lang w:val="en-US"/>
              </w:rPr>
              <w:t>enable</w:t>
            </w:r>
            <w:r w:rsidR="32002D71" w:rsidRPr="00853F43">
              <w:rPr>
                <w:lang w:val="en-US"/>
              </w:rPr>
              <w:t xml:space="preserve"> prequali</w:t>
            </w:r>
            <w:r w:rsidR="2FA6DB64" w:rsidRPr="00853F43">
              <w:rPr>
                <w:lang w:val="en-US"/>
              </w:rPr>
              <w:t>f</w:t>
            </w:r>
            <w:r w:rsidR="611DAE26" w:rsidRPr="00853F43">
              <w:rPr>
                <w:lang w:val="en-US"/>
              </w:rPr>
              <w:t>ication of</w:t>
            </w:r>
            <w:r w:rsidR="2FA6DB64" w:rsidRPr="00853F43">
              <w:rPr>
                <w:lang w:val="en-US"/>
              </w:rPr>
              <w:t xml:space="preserve"> the first reserve units.</w:t>
            </w:r>
          </w:p>
          <w:p w14:paraId="174BDEF2" w14:textId="73F104B2" w:rsidR="00783633" w:rsidRPr="00BE68A1" w:rsidRDefault="00783633">
            <w:pPr>
              <w:cnfStyle w:val="000000000000" w:firstRow="0" w:lastRow="0" w:firstColumn="0" w:lastColumn="0" w:oddVBand="0" w:evenVBand="0" w:oddHBand="0" w:evenHBand="0" w:firstRowFirstColumn="0" w:firstRowLastColumn="0" w:lastRowFirstColumn="0" w:lastRowLastColumn="0"/>
              <w:rPr>
                <w:lang w:val="en-US"/>
              </w:rPr>
            </w:pPr>
            <w:r w:rsidRPr="00423385">
              <w:rPr>
                <w:lang w:val="en-US"/>
              </w:rPr>
              <w:t>Elering:</w:t>
            </w:r>
            <w:r w:rsidR="00786309" w:rsidRPr="00423385">
              <w:rPr>
                <w:lang w:val="en-US"/>
              </w:rPr>
              <w:t xml:space="preserve"> Update in the IT system to manage the FCR, aFRR and mFRR products. In </w:t>
            </w:r>
            <w:r w:rsidR="00265318" w:rsidRPr="00423385">
              <w:rPr>
                <w:lang w:val="en-US"/>
              </w:rPr>
              <w:t>addition,</w:t>
            </w:r>
            <w:r w:rsidR="00786309" w:rsidRPr="00786309">
              <w:rPr>
                <w:lang w:val="en-US"/>
              </w:rPr>
              <w:t xml:space="preserve"> implementation of ECP/EDX tool for data exchange.</w:t>
            </w:r>
            <w:r w:rsidR="00377B05">
              <w:rPr>
                <w:lang w:val="en-US"/>
              </w:rPr>
              <w:t xml:space="preserve"> The national T&amp;C conditions were in the process of being updated in the Report Period.</w:t>
            </w:r>
          </w:p>
        </w:tc>
      </w:tr>
      <w:tr w:rsidR="00CF0329" w:rsidRPr="00BE68A1" w14:paraId="7ECA1E59" w14:textId="77777777" w:rsidTr="3FE89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hideMark/>
          </w:tcPr>
          <w:p w14:paraId="3003F721" w14:textId="62B5F89F" w:rsidR="00A77A5A" w:rsidRPr="00BE68A1" w:rsidRDefault="00A77A5A">
            <w:pPr>
              <w:rPr>
                <w:lang w:val="en-US"/>
              </w:rPr>
            </w:pPr>
            <w:r w:rsidRPr="00BE68A1">
              <w:rPr>
                <w:lang w:val="en-US"/>
              </w:rPr>
              <w:t xml:space="preserve">Q3: Do you procure a standard product for balancing capacity? </w:t>
            </w:r>
          </w:p>
        </w:tc>
        <w:tc>
          <w:tcPr>
            <w:tcW w:w="4536" w:type="dxa"/>
            <w:hideMark/>
          </w:tcPr>
          <w:p w14:paraId="009FCA85" w14:textId="77777777" w:rsidR="00B27A53" w:rsidRPr="00BE68A1" w:rsidRDefault="00B27A53" w:rsidP="00B27A5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sidRPr="00BE68A1">
              <w:rPr>
                <w:rFonts w:ascii="Calibri" w:eastAsia="Times New Roman" w:hAnsi="Calibri" w:cs="Calibri"/>
                <w:lang w:val="en-US" w:eastAsia="en-GB"/>
              </w:rPr>
              <w:t>Litgrid AB: yes.</w:t>
            </w:r>
          </w:p>
          <w:p w14:paraId="0D29048B" w14:textId="6CA02148" w:rsidR="00B27A53" w:rsidRPr="00BE68A1" w:rsidRDefault="61757F3D" w:rsidP="00B27A5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sidRPr="00BE68A1">
              <w:rPr>
                <w:rFonts w:ascii="Calibri" w:eastAsia="Times New Roman" w:hAnsi="Calibri" w:cs="Calibri"/>
                <w:lang w:val="en-US" w:eastAsia="en-GB"/>
              </w:rPr>
              <w:t>AST:</w:t>
            </w:r>
            <w:r w:rsidR="00161817">
              <w:rPr>
                <w:rFonts w:ascii="Calibri" w:eastAsia="Times New Roman" w:hAnsi="Calibri" w:cs="Calibri"/>
                <w:lang w:val="en-US" w:eastAsia="en-GB"/>
              </w:rPr>
              <w:t xml:space="preserve"> </w:t>
            </w:r>
            <w:r w:rsidRPr="00BE68A1">
              <w:rPr>
                <w:rFonts w:ascii="Calibri" w:eastAsia="Times New Roman" w:hAnsi="Calibri" w:cs="Calibri"/>
                <w:lang w:val="en-US" w:eastAsia="en-GB"/>
              </w:rPr>
              <w:t>no</w:t>
            </w:r>
          </w:p>
          <w:p w14:paraId="79A0131F" w14:textId="7FEA4EE9" w:rsidR="00B27A53" w:rsidRPr="00BE68A1" w:rsidRDefault="00B27A53" w:rsidP="00B27A5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sidRPr="00BE68A1">
              <w:rPr>
                <w:rFonts w:ascii="Calibri" w:eastAsia="Times New Roman" w:hAnsi="Calibri" w:cs="Calibri"/>
                <w:lang w:val="en-US" w:eastAsia="en-GB"/>
              </w:rPr>
              <w:t>Elering: no.</w:t>
            </w:r>
          </w:p>
          <w:p w14:paraId="232C8A80" w14:textId="06F1ADA8" w:rsidR="00A77A5A" w:rsidRPr="00BE68A1" w:rsidRDefault="00A77A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p>
        </w:tc>
      </w:tr>
      <w:tr w:rsidR="00CF0329" w:rsidRPr="00BE68A1" w14:paraId="2B3CA69A" w14:textId="77777777" w:rsidTr="3FE890D8">
        <w:tc>
          <w:tcPr>
            <w:cnfStyle w:val="001000000000" w:firstRow="0" w:lastRow="0" w:firstColumn="1" w:lastColumn="0" w:oddVBand="0" w:evenVBand="0" w:oddHBand="0" w:evenHBand="0" w:firstRowFirstColumn="0" w:firstRowLastColumn="0" w:lastRowFirstColumn="0" w:lastRowLastColumn="0"/>
            <w:tcW w:w="4957" w:type="dxa"/>
            <w:hideMark/>
          </w:tcPr>
          <w:p w14:paraId="2AFB31F9" w14:textId="7A0FE2AB" w:rsidR="00A77A5A" w:rsidRPr="00BE68A1" w:rsidRDefault="00A77A5A">
            <w:pPr>
              <w:rPr>
                <w:lang w:val="en-US"/>
              </w:rPr>
            </w:pPr>
            <w:r w:rsidRPr="00BE68A1">
              <w:rPr>
                <w:lang w:val="en-US"/>
              </w:rPr>
              <w:t xml:space="preserve">Q4: What are the main characteristics? </w:t>
            </w:r>
          </w:p>
        </w:tc>
        <w:tc>
          <w:tcPr>
            <w:tcW w:w="4536" w:type="dxa"/>
            <w:hideMark/>
          </w:tcPr>
          <w:p w14:paraId="01DAAB92" w14:textId="77777777" w:rsidR="00A77A5A" w:rsidRPr="00BE68A1" w:rsidRDefault="00B27A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sidRPr="00BE68A1">
              <w:rPr>
                <w:rFonts w:ascii="Calibri" w:eastAsia="Times New Roman" w:hAnsi="Calibri" w:cs="Calibri"/>
                <w:lang w:val="en-US" w:eastAsia="en-GB"/>
              </w:rPr>
              <w:t xml:space="preserve">Litgrid AB: Standard </w:t>
            </w:r>
            <w:r w:rsidR="00935C58" w:rsidRPr="00BE68A1">
              <w:rPr>
                <w:rFonts w:ascii="Calibri" w:eastAsia="Times New Roman" w:hAnsi="Calibri" w:cs="Calibri"/>
                <w:lang w:val="en-US" w:eastAsia="en-GB"/>
              </w:rPr>
              <w:t xml:space="preserve">hourly </w:t>
            </w:r>
            <w:r w:rsidRPr="00BE68A1">
              <w:rPr>
                <w:rFonts w:ascii="Calibri" w:eastAsia="Times New Roman" w:hAnsi="Calibri" w:cs="Calibri"/>
                <w:lang w:val="en-US" w:eastAsia="en-GB"/>
              </w:rPr>
              <w:t>mFRR capacity product is procured daily for the following day</w:t>
            </w:r>
            <w:r w:rsidR="00935C58" w:rsidRPr="00BE68A1">
              <w:rPr>
                <w:rFonts w:ascii="Calibri" w:eastAsia="Times New Roman" w:hAnsi="Calibri" w:cs="Calibri"/>
                <w:lang w:val="en-US" w:eastAsia="en-GB"/>
              </w:rPr>
              <w:t>.</w:t>
            </w:r>
          </w:p>
          <w:p w14:paraId="3594975B" w14:textId="6B7E3FC1" w:rsidR="00935C58" w:rsidRPr="00BE68A1" w:rsidRDefault="6DE229BC" w:rsidP="65F5216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BE68A1">
              <w:rPr>
                <w:rFonts w:ascii="Calibri" w:eastAsia="Times New Roman" w:hAnsi="Calibri" w:cs="Calibri"/>
                <w:lang w:val="en-US" w:eastAsia="en-GB"/>
              </w:rPr>
              <w:t>AST:</w:t>
            </w:r>
            <w:r w:rsidR="65F52166" w:rsidRPr="00BE68A1">
              <w:rPr>
                <w:rFonts w:ascii="Calibri" w:eastAsia="Calibri" w:hAnsi="Calibri" w:cs="Calibri"/>
                <w:lang w:val="en-US"/>
              </w:rPr>
              <w:t xml:space="preserve"> AST did not procure balancing capacity during this timeframe.</w:t>
            </w:r>
          </w:p>
          <w:p w14:paraId="207F3D13" w14:textId="4AE21822" w:rsidR="00935C58" w:rsidRPr="00BE68A1" w:rsidRDefault="00935C58" w:rsidP="00935C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sidRPr="00BE68A1">
              <w:rPr>
                <w:rFonts w:ascii="Calibri" w:eastAsia="Times New Roman" w:hAnsi="Calibri" w:cs="Calibri"/>
                <w:lang w:val="en-US" w:eastAsia="en-GB"/>
              </w:rPr>
              <w:t>Elering: Elering did not procure balancing capacity during this timeframe.</w:t>
            </w:r>
          </w:p>
          <w:p w14:paraId="01B8D7D5" w14:textId="6A7767EC" w:rsidR="00935C58" w:rsidRPr="00BE68A1" w:rsidRDefault="00935C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p>
        </w:tc>
      </w:tr>
      <w:tr w:rsidR="00CF0329" w:rsidRPr="00BE68A1" w14:paraId="46E6E910" w14:textId="77777777" w:rsidTr="3FE890D8">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4957" w:type="dxa"/>
            <w:hideMark/>
          </w:tcPr>
          <w:p w14:paraId="50D01978" w14:textId="4E77C470" w:rsidR="00A77A5A" w:rsidRPr="00BE68A1" w:rsidRDefault="00A77A5A">
            <w:pPr>
              <w:tabs>
                <w:tab w:val="left" w:pos="720"/>
              </w:tabs>
              <w:rPr>
                <w:lang w:val="en-US"/>
              </w:rPr>
            </w:pPr>
            <w:r w:rsidRPr="00BE68A1">
              <w:rPr>
                <w:lang w:val="en-US"/>
              </w:rPr>
              <w:t xml:space="preserve">Q5: Did you assess the potential for exchange of balancing capacities or sharing of reserve? </w:t>
            </w:r>
          </w:p>
        </w:tc>
        <w:tc>
          <w:tcPr>
            <w:tcW w:w="4536" w:type="dxa"/>
            <w:hideMark/>
          </w:tcPr>
          <w:p w14:paraId="5A6DF1ED" w14:textId="21AE777F" w:rsidR="00A77A5A" w:rsidRPr="00BE68A1" w:rsidRDefault="00A77A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sidRPr="00BE68A1">
              <w:rPr>
                <w:rFonts w:ascii="Calibri" w:eastAsia="Times New Roman" w:hAnsi="Calibri" w:cs="Calibri"/>
                <w:lang w:val="en-US" w:eastAsia="en-GB"/>
              </w:rPr>
              <w:t xml:space="preserve">No </w:t>
            </w:r>
          </w:p>
        </w:tc>
      </w:tr>
      <w:tr w:rsidR="00CF0329" w:rsidRPr="00BE68A1" w14:paraId="31977D38" w14:textId="77777777" w:rsidTr="3FE890D8">
        <w:tc>
          <w:tcPr>
            <w:cnfStyle w:val="001000000000" w:firstRow="0" w:lastRow="0" w:firstColumn="1" w:lastColumn="0" w:oddVBand="0" w:evenVBand="0" w:oddHBand="0" w:evenHBand="0" w:firstRowFirstColumn="0" w:firstRowLastColumn="0" w:lastRowFirstColumn="0" w:lastRowLastColumn="0"/>
            <w:tcW w:w="4957" w:type="dxa"/>
            <w:hideMark/>
          </w:tcPr>
          <w:p w14:paraId="2387EE18" w14:textId="63B7E283" w:rsidR="00A77A5A" w:rsidRPr="00BE68A1" w:rsidRDefault="00A77A5A">
            <w:pPr>
              <w:rPr>
                <w:lang w:val="en-US"/>
              </w:rPr>
            </w:pPr>
            <w:r w:rsidRPr="00BE68A1">
              <w:rPr>
                <w:rFonts w:ascii="Calibri" w:eastAsia="Times New Roman" w:hAnsi="Calibri" w:cs="Calibri"/>
                <w:lang w:val="en-US" w:eastAsia="en-GB"/>
              </w:rPr>
              <w:t>5.1. If response in Q6 is “no”</w:t>
            </w:r>
            <w:r w:rsidRPr="00BE68A1">
              <w:rPr>
                <w:lang w:val="en-US"/>
              </w:rPr>
              <w:t>, why?</w:t>
            </w:r>
          </w:p>
        </w:tc>
        <w:tc>
          <w:tcPr>
            <w:tcW w:w="4536" w:type="dxa"/>
            <w:hideMark/>
          </w:tcPr>
          <w:p w14:paraId="30C5DC0C" w14:textId="5FB6D3FB" w:rsidR="00A77A5A" w:rsidRPr="005523BD" w:rsidRDefault="00F172AD">
            <w:pPr>
              <w:cnfStyle w:val="000000000000" w:firstRow="0" w:lastRow="0" w:firstColumn="0" w:lastColumn="0" w:oddVBand="0" w:evenVBand="0" w:oddHBand="0" w:evenHBand="0" w:firstRowFirstColumn="0" w:firstRowLastColumn="0" w:lastRowFirstColumn="0" w:lastRowLastColumn="0"/>
              <w:rPr>
                <w:rFonts w:cstheme="minorHAnsi"/>
                <w:lang w:val="en-US"/>
              </w:rPr>
            </w:pPr>
            <w:r w:rsidRPr="31CF90EC">
              <w:rPr>
                <w:lang w:val="en-US"/>
              </w:rPr>
              <w:t xml:space="preserve">Common Baltic capacity market is being developed and shall be introduced in </w:t>
            </w:r>
            <w:r w:rsidR="12E1D5D3" w:rsidRPr="31CF90EC">
              <w:rPr>
                <w:lang w:val="en-US"/>
              </w:rPr>
              <w:t>202</w:t>
            </w:r>
            <w:r w:rsidR="1216F52B" w:rsidRPr="31CF90EC">
              <w:rPr>
                <w:lang w:val="en-US"/>
              </w:rPr>
              <w:t>5</w:t>
            </w:r>
            <w:r w:rsidR="12E1D5D3" w:rsidRPr="31CF90EC">
              <w:rPr>
                <w:lang w:val="en-US"/>
              </w:rPr>
              <w:t xml:space="preserve"> Q</w:t>
            </w:r>
            <w:r w:rsidR="3B12D678" w:rsidRPr="31CF90EC">
              <w:rPr>
                <w:lang w:val="en-US"/>
              </w:rPr>
              <w:t>1</w:t>
            </w:r>
          </w:p>
        </w:tc>
      </w:tr>
      <w:tr w:rsidR="00CF0329" w:rsidRPr="00BE68A1" w14:paraId="00EC35D3" w14:textId="77777777" w:rsidTr="3FE89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hideMark/>
          </w:tcPr>
          <w:p w14:paraId="1BABA46A" w14:textId="2079B606" w:rsidR="00A77A5A" w:rsidRPr="00BE68A1" w:rsidRDefault="00A77A5A">
            <w:pPr>
              <w:rPr>
                <w:lang w:val="en-US"/>
              </w:rPr>
            </w:pPr>
            <w:r w:rsidRPr="00BE68A1">
              <w:rPr>
                <w:rFonts w:ascii="Calibri" w:eastAsia="Times New Roman" w:hAnsi="Calibri" w:cs="Calibri"/>
                <w:lang w:val="en-US" w:eastAsia="en-GB"/>
              </w:rPr>
              <w:t>5.2. If response in Q6 is “yes”</w:t>
            </w:r>
            <w:r w:rsidRPr="00BE68A1">
              <w:rPr>
                <w:lang w:val="en-US"/>
              </w:rPr>
              <w:t>,</w:t>
            </w:r>
            <w:r w:rsidRPr="00BE68A1">
              <w:rPr>
                <w:sz w:val="20"/>
                <w:szCs w:val="20"/>
                <w:lang w:val="en-US"/>
              </w:rPr>
              <w:t xml:space="preserve"> </w:t>
            </w:r>
            <w:r w:rsidRPr="00BE68A1">
              <w:rPr>
                <w:lang w:val="en-US"/>
              </w:rPr>
              <w:t>what were the main results?</w:t>
            </w:r>
          </w:p>
        </w:tc>
        <w:tc>
          <w:tcPr>
            <w:tcW w:w="4536" w:type="dxa"/>
            <w:hideMark/>
          </w:tcPr>
          <w:p w14:paraId="22CF2C89" w14:textId="1E458E84" w:rsidR="00A77A5A" w:rsidRPr="00BE68A1" w:rsidRDefault="00F172AD">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BE68A1">
              <w:rPr>
                <w:rFonts w:cstheme="minorHAnsi"/>
                <w:lang w:val="en-US"/>
              </w:rPr>
              <w:t>-</w:t>
            </w:r>
          </w:p>
        </w:tc>
      </w:tr>
      <w:tr w:rsidR="00CF0329" w:rsidRPr="00BE68A1" w14:paraId="24369F7B" w14:textId="77777777" w:rsidTr="3FE890D8">
        <w:tc>
          <w:tcPr>
            <w:cnfStyle w:val="001000000000" w:firstRow="0" w:lastRow="0" w:firstColumn="1" w:lastColumn="0" w:oddVBand="0" w:evenVBand="0" w:oddHBand="0" w:evenHBand="0" w:firstRowFirstColumn="0" w:firstRowLastColumn="0" w:lastRowFirstColumn="0" w:lastRowLastColumn="0"/>
            <w:tcW w:w="4957" w:type="dxa"/>
            <w:hideMark/>
          </w:tcPr>
          <w:p w14:paraId="00D9A005" w14:textId="7848D65F" w:rsidR="00A77A5A" w:rsidRPr="00BE68A1" w:rsidRDefault="00A77A5A" w:rsidP="65F52166">
            <w:pPr>
              <w:rPr>
                <w:lang w:val="en-US"/>
              </w:rPr>
            </w:pPr>
            <w:r w:rsidRPr="00BE68A1">
              <w:rPr>
                <w:lang w:val="en-US"/>
              </w:rPr>
              <w:t>Q6: Are you already involved in a BCC as a member or as an observer?</w:t>
            </w:r>
          </w:p>
        </w:tc>
        <w:tc>
          <w:tcPr>
            <w:tcW w:w="4536" w:type="dxa"/>
            <w:hideMark/>
          </w:tcPr>
          <w:p w14:paraId="37DC946B" w14:textId="1D5504AF" w:rsidR="00A77A5A" w:rsidRPr="00BE68A1" w:rsidRDefault="00A77A5A" w:rsidP="65F52166">
            <w:pPr>
              <w:cnfStyle w:val="000000000000" w:firstRow="0" w:lastRow="0" w:firstColumn="0" w:lastColumn="0" w:oddVBand="0" w:evenVBand="0" w:oddHBand="0" w:evenHBand="0" w:firstRowFirstColumn="0" w:firstRowLastColumn="0" w:lastRowFirstColumn="0" w:lastRowLastColumn="0"/>
              <w:rPr>
                <w:lang w:val="en-US"/>
              </w:rPr>
            </w:pPr>
            <w:r w:rsidRPr="00BE68A1">
              <w:rPr>
                <w:rFonts w:ascii="Calibri" w:eastAsia="Times New Roman" w:hAnsi="Calibri" w:cs="Calibri"/>
                <w:lang w:val="en-US" w:eastAsia="en-GB"/>
              </w:rPr>
              <w:t>No</w:t>
            </w:r>
          </w:p>
        </w:tc>
      </w:tr>
    </w:tbl>
    <w:p w14:paraId="5E90EB4D" w14:textId="77777777" w:rsidR="00A77A5A" w:rsidRPr="00A77A5A" w:rsidRDefault="00A77A5A" w:rsidP="00A77A5A">
      <w:pPr>
        <w:rPr>
          <w:rFonts w:cstheme="minorHAnsi"/>
          <w:sz w:val="20"/>
          <w:lang w:val="en-US"/>
        </w:rPr>
      </w:pPr>
    </w:p>
    <w:p w14:paraId="789FDCF5" w14:textId="77777777" w:rsidR="00A77A5A" w:rsidRPr="00A77A5A" w:rsidRDefault="00A77A5A" w:rsidP="00A77A5A">
      <w:pPr>
        <w:rPr>
          <w:rFonts w:cstheme="minorHAnsi"/>
          <w:lang w:val="en-US"/>
        </w:rPr>
      </w:pPr>
    </w:p>
    <w:p w14:paraId="27ECAA1A" w14:textId="77777777" w:rsidR="00A77A5A" w:rsidRPr="00A77A5A" w:rsidRDefault="00A77A5A" w:rsidP="00A77A5A">
      <w:pPr>
        <w:rPr>
          <w:rFonts w:ascii="Lato" w:hAnsi="Lato"/>
          <w:lang w:val="en-US"/>
        </w:rPr>
      </w:pPr>
    </w:p>
    <w:p w14:paraId="3D466E1A" w14:textId="7E104DE4" w:rsidR="00A77A5A" w:rsidRPr="00A77A5A" w:rsidRDefault="007F7BF1" w:rsidP="005B2287">
      <w:pPr>
        <w:pStyle w:val="headline1"/>
        <w:jc w:val="both"/>
        <w:rPr>
          <w:rFonts w:asciiTheme="minorHAnsi" w:eastAsiaTheme="minorEastAsia" w:hAnsiTheme="minorHAnsi" w:cstheme="minorBidi"/>
          <w:caps w:val="0"/>
          <w:color w:val="FFC000" w:themeColor="accent4"/>
          <w:sz w:val="20"/>
          <w:szCs w:val="20"/>
          <w:lang w:val="en-US"/>
        </w:rPr>
      </w:pPr>
      <w:bookmarkStart w:id="25" w:name="_Toc103766238"/>
      <w:r>
        <w:rPr>
          <w:rFonts w:asciiTheme="minorHAnsi" w:hAnsiTheme="minorHAnsi" w:cstheme="minorBidi"/>
          <w:color w:val="0070C0"/>
          <w:sz w:val="28"/>
          <w:lang w:val="en-US"/>
        </w:rPr>
        <w:t>2.3</w:t>
      </w:r>
      <w:r w:rsidR="00A77A5A" w:rsidRPr="00A77A5A">
        <w:rPr>
          <w:rFonts w:asciiTheme="minorHAnsi" w:hAnsiTheme="minorHAnsi" w:cstheme="minorBidi"/>
          <w:color w:val="0070C0"/>
          <w:sz w:val="28"/>
          <w:lang w:val="en-US"/>
        </w:rPr>
        <w:t xml:space="preserve"> E</w:t>
      </w:r>
      <w:r w:rsidR="00A77A5A" w:rsidRPr="00A77A5A">
        <w:rPr>
          <w:rFonts w:asciiTheme="minorHAnsi" w:hAnsiTheme="minorHAnsi" w:cstheme="minorBidi"/>
          <w:caps w:val="0"/>
          <w:color w:val="0070C0"/>
          <w:sz w:val="28"/>
          <w:lang w:val="en-US"/>
        </w:rPr>
        <w:t>volutions of the terms and conditions for BRPs and BSPs related to the EB regulation implementation during the last 2 calendar years and further evolutions foreseen for the Future</w:t>
      </w:r>
      <w:bookmarkEnd w:id="25"/>
      <w:r w:rsidR="00A77A5A" w:rsidRPr="00A77A5A">
        <w:rPr>
          <w:rFonts w:asciiTheme="minorHAnsi" w:hAnsiTheme="minorHAnsi" w:cstheme="minorBidi"/>
          <w:caps w:val="0"/>
          <w:color w:val="0070C0"/>
          <w:sz w:val="28"/>
          <w:lang w:val="en-US"/>
        </w:rPr>
        <w:t xml:space="preserve"> </w:t>
      </w:r>
    </w:p>
    <w:tbl>
      <w:tblPr>
        <w:tblStyle w:val="GridTable6Colorful-Accent1"/>
        <w:tblW w:w="0" w:type="auto"/>
        <w:tblInd w:w="0" w:type="dxa"/>
        <w:tblLook w:val="04A0" w:firstRow="1" w:lastRow="0" w:firstColumn="1" w:lastColumn="0" w:noHBand="0" w:noVBand="1"/>
      </w:tblPr>
      <w:tblGrid>
        <w:gridCol w:w="4177"/>
        <w:gridCol w:w="5061"/>
      </w:tblGrid>
      <w:tr w:rsidR="00A77A5A" w:rsidRPr="00A77A5A" w14:paraId="1BB0102F" w14:textId="77777777" w:rsidTr="65F52166">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238" w:type="dxa"/>
            <w:gridSpan w:val="2"/>
            <w:tcBorders>
              <w:top w:val="single" w:sz="4" w:space="0" w:color="8EAADB" w:themeColor="accent1" w:themeTint="99"/>
              <w:left w:val="single" w:sz="4" w:space="0" w:color="8EAADB" w:themeColor="accent1" w:themeTint="99"/>
              <w:right w:val="single" w:sz="4" w:space="0" w:color="8EAADB" w:themeColor="accent1" w:themeTint="99"/>
            </w:tcBorders>
            <w:hideMark/>
          </w:tcPr>
          <w:p w14:paraId="51FAC04C" w14:textId="77777777" w:rsidR="00A77A5A" w:rsidRPr="00A77A5A" w:rsidRDefault="00A77A5A">
            <w:pPr>
              <w:tabs>
                <w:tab w:val="left" w:pos="426"/>
              </w:tabs>
              <w:rPr>
                <w:rFonts w:cstheme="minorHAnsi"/>
                <w:szCs w:val="24"/>
                <w:lang w:val="en-US"/>
              </w:rPr>
            </w:pPr>
            <w:r w:rsidRPr="00A77A5A">
              <w:rPr>
                <w:rFonts w:cstheme="minorHAnsi"/>
                <w:szCs w:val="24"/>
                <w:lang w:val="en-US"/>
              </w:rPr>
              <w:t>Evolution of the terms and conditions for BSP</w:t>
            </w:r>
          </w:p>
        </w:tc>
      </w:tr>
      <w:tr w:rsidR="00A77A5A" w:rsidRPr="00A77A5A" w14:paraId="60EE5989" w14:textId="77777777" w:rsidTr="65F52166">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41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C69961E" w14:textId="77777777" w:rsidR="00A77A5A" w:rsidRPr="00A77A5A" w:rsidRDefault="00A77A5A">
            <w:pPr>
              <w:tabs>
                <w:tab w:val="left" w:pos="426"/>
              </w:tabs>
              <w:rPr>
                <w:rFonts w:cstheme="minorHAnsi"/>
                <w:szCs w:val="24"/>
                <w:lang w:val="en-US"/>
              </w:rPr>
            </w:pPr>
            <w:r w:rsidRPr="00A77A5A">
              <w:rPr>
                <w:rFonts w:cstheme="minorHAnsi"/>
                <w:szCs w:val="24"/>
                <w:lang w:val="en-US"/>
              </w:rPr>
              <w:t>Content</w:t>
            </w:r>
          </w:p>
        </w:tc>
        <w:tc>
          <w:tcPr>
            <w:tcW w:w="50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115DD3D" w14:textId="5EF7ECAB" w:rsidR="00330F0A" w:rsidRDefault="00330F0A" w:rsidP="00330F0A">
            <w:pPr>
              <w:cnfStyle w:val="000000100000" w:firstRow="0" w:lastRow="0" w:firstColumn="0" w:lastColumn="0" w:oddVBand="0" w:evenVBand="0" w:oddHBand="1" w:evenHBand="0" w:firstRowFirstColumn="0" w:firstRowLastColumn="0" w:lastRowFirstColumn="0" w:lastRowLastColumn="0"/>
              <w:rPr>
                <w:lang w:val="en-US"/>
              </w:rPr>
            </w:pPr>
            <w:r w:rsidRPr="0D0E1259">
              <w:rPr>
                <w:lang w:val="en-US"/>
              </w:rPr>
              <w:t xml:space="preserve">Litgrid AB: During 2023 August </w:t>
            </w:r>
            <w:r w:rsidR="00C56536" w:rsidRPr="0D0E1259">
              <w:rPr>
                <w:lang w:val="en-US"/>
              </w:rPr>
              <w:t>a new</w:t>
            </w:r>
            <w:r w:rsidRPr="0D0E1259">
              <w:rPr>
                <w:lang w:val="en-US"/>
              </w:rPr>
              <w:t xml:space="preserve"> version of standard terms and conditions for BSPs were submitted to local NRA for approval. This document includes the balancing energy and balancing capacity market rules for FCR, aFRR and mFRR compatible with standard balancing energy products.</w:t>
            </w:r>
          </w:p>
          <w:p w14:paraId="45D42FB5" w14:textId="19D18127" w:rsidR="005B2287" w:rsidRPr="00853F43" w:rsidRDefault="181619FE" w:rsidP="65F52166">
            <w:pPr>
              <w:tabs>
                <w:tab w:val="left" w:pos="426"/>
              </w:tabs>
              <w:cnfStyle w:val="000000100000" w:firstRow="0" w:lastRow="0" w:firstColumn="0" w:lastColumn="0" w:oddVBand="0" w:evenVBand="0" w:oddHBand="1" w:evenHBand="0" w:firstRowFirstColumn="0" w:firstRowLastColumn="0" w:lastRowFirstColumn="0" w:lastRowLastColumn="0"/>
              <w:rPr>
                <w:lang w:val="en-US"/>
              </w:rPr>
            </w:pPr>
            <w:r w:rsidRPr="00853F43">
              <w:rPr>
                <w:lang w:val="en-US"/>
              </w:rPr>
              <w:t>AST:</w:t>
            </w:r>
            <w:r w:rsidR="69584D00" w:rsidRPr="00853F43">
              <w:rPr>
                <w:lang w:val="en-US"/>
              </w:rPr>
              <w:t xml:space="preserve"> </w:t>
            </w:r>
            <w:r w:rsidR="713E8045" w:rsidRPr="00853F43">
              <w:rPr>
                <w:lang w:val="en-US"/>
              </w:rPr>
              <w:t>Updated T&amp;C include rules for mFRR standard energy product.</w:t>
            </w:r>
          </w:p>
          <w:p w14:paraId="09B0DBD6" w14:textId="3EF3B3C5" w:rsidR="005B2287" w:rsidRPr="005B2287" w:rsidRDefault="005B2287" w:rsidP="1D2C6CC7">
            <w:pPr>
              <w:tabs>
                <w:tab w:val="left" w:pos="426"/>
              </w:tabs>
              <w:cnfStyle w:val="000000100000" w:firstRow="0" w:lastRow="0" w:firstColumn="0" w:lastColumn="0" w:oddVBand="0" w:evenVBand="0" w:oddHBand="1" w:evenHBand="0" w:firstRowFirstColumn="0" w:firstRowLastColumn="0" w:lastRowFirstColumn="0" w:lastRowLastColumn="0"/>
              <w:rPr>
                <w:b/>
                <w:bCs/>
                <w:lang w:val="en-US"/>
              </w:rPr>
            </w:pPr>
            <w:r w:rsidRPr="00853F43">
              <w:rPr>
                <w:lang w:val="en-US"/>
              </w:rPr>
              <w:t>Elering: NAP</w:t>
            </w:r>
          </w:p>
        </w:tc>
      </w:tr>
      <w:tr w:rsidR="00A77A5A" w:rsidRPr="00A77A5A" w14:paraId="68716314" w14:textId="77777777" w:rsidTr="65F52166">
        <w:trPr>
          <w:trHeight w:val="705"/>
        </w:trPr>
        <w:tc>
          <w:tcPr>
            <w:cnfStyle w:val="001000000000" w:firstRow="0" w:lastRow="0" w:firstColumn="1" w:lastColumn="0" w:oddVBand="0" w:evenVBand="0" w:oddHBand="0" w:evenHBand="0" w:firstRowFirstColumn="0" w:firstRowLastColumn="0" w:lastRowFirstColumn="0" w:lastRowLastColumn="0"/>
            <w:tcW w:w="9238"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2EDD0D6" w14:textId="77777777" w:rsidR="00A77A5A" w:rsidRPr="00A77A5A" w:rsidRDefault="00A77A5A">
            <w:pPr>
              <w:tabs>
                <w:tab w:val="left" w:pos="426"/>
              </w:tabs>
              <w:rPr>
                <w:rFonts w:cstheme="minorHAnsi"/>
                <w:szCs w:val="24"/>
                <w:lang w:val="en-US"/>
              </w:rPr>
            </w:pPr>
            <w:r w:rsidRPr="00A77A5A">
              <w:rPr>
                <w:rFonts w:cstheme="minorHAnsi"/>
                <w:szCs w:val="24"/>
                <w:lang w:val="en-US"/>
              </w:rPr>
              <w:t>Evolution of the terms and conditions for BRP</w:t>
            </w:r>
          </w:p>
        </w:tc>
      </w:tr>
      <w:tr w:rsidR="00A77A5A" w:rsidRPr="00A77A5A" w14:paraId="2A459B35" w14:textId="77777777" w:rsidTr="65F521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1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0F2DF17" w14:textId="77777777" w:rsidR="00A77A5A" w:rsidRPr="00A77A5A" w:rsidRDefault="00A77A5A">
            <w:pPr>
              <w:tabs>
                <w:tab w:val="left" w:pos="426"/>
              </w:tabs>
              <w:rPr>
                <w:rFonts w:cstheme="minorHAnsi"/>
                <w:szCs w:val="24"/>
                <w:lang w:val="en-US"/>
              </w:rPr>
            </w:pPr>
            <w:r w:rsidRPr="00A77A5A">
              <w:rPr>
                <w:rFonts w:cstheme="minorHAnsi"/>
                <w:szCs w:val="24"/>
                <w:lang w:val="en-US"/>
              </w:rPr>
              <w:t>Content (see below)</w:t>
            </w:r>
          </w:p>
        </w:tc>
        <w:tc>
          <w:tcPr>
            <w:tcW w:w="50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0FBD358" w14:textId="186A614B" w:rsidR="006371C3" w:rsidRDefault="006371C3" w:rsidP="006371C3">
            <w:pPr>
              <w:cnfStyle w:val="000000100000" w:firstRow="0" w:lastRow="0" w:firstColumn="0" w:lastColumn="0" w:oddVBand="0" w:evenVBand="0" w:oddHBand="1" w:evenHBand="0" w:firstRowFirstColumn="0" w:firstRowLastColumn="0" w:lastRowFirstColumn="0" w:lastRowLastColumn="0"/>
              <w:rPr>
                <w:lang w:val="en-US"/>
              </w:rPr>
            </w:pPr>
            <w:r w:rsidRPr="0D0E1259">
              <w:rPr>
                <w:lang w:val="en-US"/>
              </w:rPr>
              <w:t xml:space="preserve">Litgrid AB: During </w:t>
            </w:r>
            <w:r w:rsidR="007629C3">
              <w:rPr>
                <w:lang w:val="en-US"/>
              </w:rPr>
              <w:t>Report period</w:t>
            </w:r>
            <w:r w:rsidRPr="0D0E1259">
              <w:rPr>
                <w:lang w:val="en-US"/>
              </w:rPr>
              <w:t xml:space="preserve"> new version of standard terms and conditions for </w:t>
            </w:r>
            <w:r>
              <w:rPr>
                <w:lang w:val="en-US"/>
              </w:rPr>
              <w:t>BRPs</w:t>
            </w:r>
            <w:r w:rsidRPr="0D0E1259">
              <w:rPr>
                <w:lang w:val="en-US"/>
              </w:rPr>
              <w:t xml:space="preserve"> were</w:t>
            </w:r>
            <w:r w:rsidR="007629C3">
              <w:rPr>
                <w:lang w:val="en-US"/>
              </w:rPr>
              <w:t xml:space="preserve"> being </w:t>
            </w:r>
            <w:r w:rsidR="00FB3F23">
              <w:rPr>
                <w:lang w:val="en-US"/>
              </w:rPr>
              <w:t>prepared and it was</w:t>
            </w:r>
            <w:r w:rsidRPr="0D0E1259">
              <w:rPr>
                <w:lang w:val="en-US"/>
              </w:rPr>
              <w:t xml:space="preserve"> submitted to local NRA for approval</w:t>
            </w:r>
            <w:r w:rsidR="00FB3F23">
              <w:rPr>
                <w:lang w:val="en-US"/>
              </w:rPr>
              <w:t xml:space="preserve"> in 2024 February</w:t>
            </w:r>
            <w:r w:rsidRPr="0D0E1259">
              <w:rPr>
                <w:lang w:val="en-US"/>
              </w:rPr>
              <w:t xml:space="preserve">. This document includes the </w:t>
            </w:r>
            <w:r>
              <w:rPr>
                <w:lang w:val="en-US"/>
              </w:rPr>
              <w:t>necessary changes to cover the upcoming 15 min ISP</w:t>
            </w:r>
            <w:r w:rsidRPr="0D0E1259">
              <w:rPr>
                <w:lang w:val="en-US"/>
              </w:rPr>
              <w:t>.</w:t>
            </w:r>
          </w:p>
          <w:p w14:paraId="21C1A830" w14:textId="340AAA23" w:rsidR="003C1371" w:rsidRPr="00853F43" w:rsidRDefault="394D05E0" w:rsidP="65F5216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US"/>
              </w:rPr>
            </w:pPr>
            <w:r w:rsidRPr="004E37D6">
              <w:rPr>
                <w:lang w:val="en-US"/>
              </w:rPr>
              <w:t>AST:</w:t>
            </w:r>
            <w:r w:rsidR="1D5510A2" w:rsidRPr="004E37D6">
              <w:rPr>
                <w:lang w:val="en-US"/>
              </w:rPr>
              <w:t xml:space="preserve"> </w:t>
            </w:r>
            <w:r w:rsidR="2173F6B5" w:rsidRPr="004E37D6">
              <w:rPr>
                <w:rFonts w:ascii="Calibri" w:eastAsia="Calibri" w:hAnsi="Calibri" w:cs="Calibri"/>
                <w:lang w:val="en-US"/>
              </w:rPr>
              <w:t>Changes in national grid code were done to update BRP imbalance settlement rules, enabling 15 minute ISP starting from 01.01.2025, imbalance price formation by using new balancing prices created, including prices from European platforms and neutrality component calculation updating unintended exchange costs calculation with FSKAR costs that will be present from synchronization with CE. Proposal yet to be approved by NRA.</w:t>
            </w:r>
          </w:p>
          <w:p w14:paraId="6065539D" w14:textId="548DB853" w:rsidR="003C1371" w:rsidRPr="00A77A5A" w:rsidRDefault="25E40361" w:rsidP="1D2C6CC7">
            <w:pPr>
              <w:tabs>
                <w:tab w:val="left" w:pos="426"/>
              </w:tabs>
              <w:cnfStyle w:val="000000100000" w:firstRow="0" w:lastRow="0" w:firstColumn="0" w:lastColumn="0" w:oddVBand="0" w:evenVBand="0" w:oddHBand="1" w:evenHBand="0" w:firstRowFirstColumn="0" w:firstRowLastColumn="0" w:lastRowFirstColumn="0" w:lastRowLastColumn="0"/>
              <w:rPr>
                <w:lang w:val="en-US"/>
              </w:rPr>
            </w:pPr>
            <w:r w:rsidRPr="004E37D6">
              <w:rPr>
                <w:lang w:val="en-US"/>
              </w:rPr>
              <w:t>Elering:</w:t>
            </w:r>
            <w:r w:rsidR="1D2C6CC7" w:rsidRPr="004E37D6">
              <w:rPr>
                <w:lang w:val="en-US"/>
              </w:rPr>
              <w:t xml:space="preserve"> standard terms and conditions for BRPs were updated to comply with the Imbalance settlement harmonization methodology which was approved by ACER on 15 July 2020.</w:t>
            </w:r>
          </w:p>
        </w:tc>
      </w:tr>
    </w:tbl>
    <w:p w14:paraId="4B600CAE" w14:textId="77777777" w:rsidR="00A77A5A" w:rsidRPr="00A77A5A" w:rsidRDefault="00A77A5A" w:rsidP="00A77A5A">
      <w:pPr>
        <w:tabs>
          <w:tab w:val="left" w:pos="426"/>
        </w:tabs>
        <w:rPr>
          <w:rFonts w:cstheme="minorHAnsi"/>
          <w:sz w:val="20"/>
          <w:lang w:val="en-US"/>
        </w:rPr>
      </w:pPr>
    </w:p>
    <w:p w14:paraId="3ED3538A" w14:textId="0DEAA4EE" w:rsidR="00A77A5A" w:rsidRPr="00A77A5A" w:rsidRDefault="00A77A5A" w:rsidP="00A77A5A">
      <w:pPr>
        <w:tabs>
          <w:tab w:val="left" w:pos="426"/>
        </w:tabs>
        <w:rPr>
          <w:rFonts w:cstheme="minorHAnsi"/>
          <w:szCs w:val="24"/>
          <w:lang w:val="en-US"/>
        </w:rPr>
      </w:pPr>
    </w:p>
    <w:tbl>
      <w:tblPr>
        <w:tblStyle w:val="GridTable6Colorful-Accent1"/>
        <w:tblW w:w="9062" w:type="dxa"/>
        <w:tblInd w:w="0" w:type="dxa"/>
        <w:tblLook w:val="04A0" w:firstRow="1" w:lastRow="0" w:firstColumn="1" w:lastColumn="0" w:noHBand="0" w:noVBand="1"/>
      </w:tblPr>
      <w:tblGrid>
        <w:gridCol w:w="4569"/>
        <w:gridCol w:w="4493"/>
      </w:tblGrid>
      <w:tr w:rsidR="00AB55A1" w:rsidRPr="00AB55A1" w14:paraId="40D2AD3E" w14:textId="77777777" w:rsidTr="1C8D554D">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569" w:type="dxa"/>
            <w:hideMark/>
          </w:tcPr>
          <w:p w14:paraId="4C38B74A" w14:textId="77777777" w:rsidR="00A77A5A" w:rsidRPr="00AB55A1" w:rsidRDefault="00A77A5A">
            <w:pPr>
              <w:spacing w:line="256" w:lineRule="auto"/>
              <w:jc w:val="center"/>
              <w:rPr>
                <w:rFonts w:ascii="Calibri" w:eastAsia="Times New Roman" w:hAnsi="Calibri" w:cs="Calibri"/>
                <w:b w:val="0"/>
                <w:bCs w:val="0"/>
                <w:lang w:val="en-US" w:eastAsia="en-GB"/>
              </w:rPr>
            </w:pPr>
            <w:r w:rsidRPr="00AB55A1">
              <w:rPr>
                <w:rFonts w:ascii="Calibri" w:eastAsia="Times New Roman" w:hAnsi="Calibri" w:cs="Calibri"/>
                <w:lang w:val="en-US" w:eastAsia="en-GB"/>
              </w:rPr>
              <w:t>Question:</w:t>
            </w:r>
          </w:p>
        </w:tc>
        <w:tc>
          <w:tcPr>
            <w:tcW w:w="4493" w:type="dxa"/>
            <w:hideMark/>
          </w:tcPr>
          <w:p w14:paraId="36DC69C6" w14:textId="77777777" w:rsidR="00A77A5A" w:rsidRPr="00AB55A1" w:rsidRDefault="00A77A5A">
            <w:pPr>
              <w:spacing w:line="25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val="en-US" w:eastAsia="en-GB"/>
              </w:rPr>
            </w:pPr>
            <w:r w:rsidRPr="00AB55A1">
              <w:rPr>
                <w:rFonts w:ascii="Calibri" w:eastAsia="Times New Roman" w:hAnsi="Calibri" w:cs="Calibri"/>
                <w:lang w:val="en-US" w:eastAsia="en-GB"/>
              </w:rPr>
              <w:t>Please select an option:</w:t>
            </w:r>
          </w:p>
        </w:tc>
      </w:tr>
      <w:tr w:rsidR="00AB55A1" w:rsidRPr="00AB55A1" w14:paraId="18E9D04B" w14:textId="77777777" w:rsidTr="1C8D554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569" w:type="dxa"/>
            <w:hideMark/>
          </w:tcPr>
          <w:p w14:paraId="6D4CF4F8" w14:textId="46CC8D8E" w:rsidR="00A77A5A" w:rsidRPr="00AB55A1" w:rsidRDefault="00A77A5A">
            <w:pPr>
              <w:spacing w:line="256" w:lineRule="auto"/>
              <w:rPr>
                <w:rFonts w:ascii="Calibri" w:eastAsia="Times New Roman" w:hAnsi="Calibri" w:cs="Calibri"/>
                <w:b w:val="0"/>
                <w:bCs w:val="0"/>
                <w:lang w:val="en-US" w:eastAsia="en-GB"/>
              </w:rPr>
            </w:pPr>
            <w:r w:rsidRPr="3FE890D8">
              <w:rPr>
                <w:rFonts w:ascii="Calibri" w:eastAsia="Times New Roman" w:hAnsi="Calibri" w:cs="Calibri"/>
                <w:lang w:val="en-US" w:eastAsia="en-GB"/>
              </w:rPr>
              <w:t>Q1. Was 15-min Imbalance Settlement Period (ISP) implemented by 1 January 202</w:t>
            </w:r>
            <w:r w:rsidR="58BFE7E0" w:rsidRPr="3FE890D8">
              <w:rPr>
                <w:rFonts w:ascii="Calibri" w:eastAsia="Times New Roman" w:hAnsi="Calibri" w:cs="Calibri"/>
                <w:lang w:val="en-US" w:eastAsia="en-GB"/>
              </w:rPr>
              <w:t>4</w:t>
            </w:r>
            <w:r w:rsidRPr="3FE890D8">
              <w:rPr>
                <w:rFonts w:ascii="Calibri" w:eastAsia="Times New Roman" w:hAnsi="Calibri" w:cs="Calibri"/>
                <w:lang w:val="en-US" w:eastAsia="en-GB"/>
              </w:rPr>
              <w:t xml:space="preserve">? </w:t>
            </w:r>
          </w:p>
        </w:tc>
        <w:tc>
          <w:tcPr>
            <w:tcW w:w="4493" w:type="dxa"/>
            <w:hideMark/>
          </w:tcPr>
          <w:p w14:paraId="3C5EB8F1" w14:textId="0D1B2F2C" w:rsidR="00A77A5A" w:rsidRPr="00AB55A1" w:rsidRDefault="00A77A5A">
            <w:pPr>
              <w:spacing w:line="25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en-US" w:eastAsia="en-GB"/>
              </w:rPr>
            </w:pPr>
            <w:r w:rsidRPr="00AB55A1">
              <w:rPr>
                <w:rFonts w:ascii="Calibri" w:eastAsia="Times New Roman" w:hAnsi="Calibri" w:cs="Calibri"/>
                <w:b/>
                <w:bCs/>
                <w:lang w:val="en-US" w:eastAsia="en-GB"/>
              </w:rPr>
              <w:t>Derogation</w:t>
            </w:r>
          </w:p>
        </w:tc>
      </w:tr>
      <w:tr w:rsidR="00AB55A1" w:rsidRPr="00AB55A1" w14:paraId="43C42AFD" w14:textId="77777777" w:rsidTr="1C8D554D">
        <w:trPr>
          <w:trHeight w:val="870"/>
        </w:trPr>
        <w:tc>
          <w:tcPr>
            <w:cnfStyle w:val="001000000000" w:firstRow="0" w:lastRow="0" w:firstColumn="1" w:lastColumn="0" w:oddVBand="0" w:evenVBand="0" w:oddHBand="0" w:evenHBand="0" w:firstRowFirstColumn="0" w:firstRowLastColumn="0" w:lastRowFirstColumn="0" w:lastRowLastColumn="0"/>
            <w:tcW w:w="4569" w:type="dxa"/>
            <w:hideMark/>
          </w:tcPr>
          <w:p w14:paraId="5CE87F72" w14:textId="77777777" w:rsidR="00A77A5A" w:rsidRPr="00AB55A1" w:rsidRDefault="00A77A5A">
            <w:pPr>
              <w:spacing w:line="256" w:lineRule="auto"/>
              <w:rPr>
                <w:rFonts w:ascii="Calibri" w:eastAsia="Times New Roman" w:hAnsi="Calibri" w:cs="Calibri"/>
                <w:lang w:val="en-US" w:eastAsia="en-GB"/>
              </w:rPr>
            </w:pPr>
            <w:r w:rsidRPr="00AB55A1">
              <w:rPr>
                <w:rFonts w:ascii="Calibri" w:eastAsia="Times New Roman" w:hAnsi="Calibri" w:cs="Calibri"/>
                <w:lang w:val="en-US" w:eastAsia="en-GB"/>
              </w:rPr>
              <w:t>1.1. If response in Q1 is "derogation" or "exemption", until when was this derogation/exemption granted?</w:t>
            </w:r>
          </w:p>
        </w:tc>
        <w:tc>
          <w:tcPr>
            <w:tcW w:w="4493" w:type="dxa"/>
            <w:hideMark/>
          </w:tcPr>
          <w:p w14:paraId="5E6E2D13" w14:textId="0165A14C" w:rsidR="00A77A5A" w:rsidRPr="00AB55A1" w:rsidRDefault="00684DE2">
            <w:pPr>
              <w:spacing w:line="25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sidRPr="00AB55A1">
              <w:rPr>
                <w:rFonts w:ascii="Calibri" w:eastAsia="Times New Roman" w:hAnsi="Calibri" w:cs="Calibri"/>
                <w:lang w:val="en-US" w:eastAsia="en-GB"/>
              </w:rPr>
              <w:t>2024 December 31</w:t>
            </w:r>
          </w:p>
        </w:tc>
      </w:tr>
      <w:tr w:rsidR="00AB55A1" w:rsidRPr="00AB55A1" w14:paraId="47168ADD" w14:textId="77777777" w:rsidTr="1C8D554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569" w:type="dxa"/>
            <w:hideMark/>
          </w:tcPr>
          <w:p w14:paraId="57B1F3C4" w14:textId="24DF6EB4" w:rsidR="00A77A5A" w:rsidRPr="00AB55A1" w:rsidRDefault="00A77A5A">
            <w:pPr>
              <w:spacing w:line="256" w:lineRule="auto"/>
              <w:rPr>
                <w:rFonts w:ascii="Calibri" w:eastAsia="Times New Roman" w:hAnsi="Calibri" w:cs="Calibri"/>
                <w:b w:val="0"/>
                <w:bCs w:val="0"/>
                <w:lang w:val="en-US" w:eastAsia="en-GB"/>
              </w:rPr>
            </w:pPr>
            <w:r w:rsidRPr="3FE890D8">
              <w:rPr>
                <w:rFonts w:ascii="Calibri" w:eastAsia="Times New Roman" w:hAnsi="Calibri" w:cs="Calibri"/>
                <w:lang w:val="en-US" w:eastAsia="en-GB"/>
              </w:rPr>
              <w:t>Q2. Has your TSO made use of additional components pursuant ISH Methodology Art 9(6) as per 1 January 202</w:t>
            </w:r>
            <w:r w:rsidR="52D425E7" w:rsidRPr="3FE890D8">
              <w:rPr>
                <w:rFonts w:ascii="Calibri" w:eastAsia="Times New Roman" w:hAnsi="Calibri" w:cs="Calibri"/>
                <w:lang w:val="en-US" w:eastAsia="en-GB"/>
              </w:rPr>
              <w:t>4</w:t>
            </w:r>
            <w:r w:rsidRPr="3FE890D8">
              <w:rPr>
                <w:rFonts w:ascii="Calibri" w:eastAsia="Times New Roman" w:hAnsi="Calibri" w:cs="Calibri"/>
                <w:lang w:val="en-US" w:eastAsia="en-GB"/>
              </w:rPr>
              <w:t>?</w:t>
            </w:r>
          </w:p>
        </w:tc>
        <w:tc>
          <w:tcPr>
            <w:tcW w:w="4493" w:type="dxa"/>
            <w:hideMark/>
          </w:tcPr>
          <w:p w14:paraId="60E18775" w14:textId="545EAF9C" w:rsidR="00A77A5A" w:rsidRPr="00AB55A1" w:rsidRDefault="00A77A5A">
            <w:pPr>
              <w:spacing w:line="25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sidRPr="00AB55A1">
              <w:rPr>
                <w:rFonts w:ascii="Calibri" w:eastAsia="Times New Roman" w:hAnsi="Calibri" w:cs="Calibri"/>
                <w:lang w:val="en-US" w:eastAsia="en-GB"/>
              </w:rPr>
              <w:t>Yes</w:t>
            </w:r>
          </w:p>
        </w:tc>
      </w:tr>
      <w:tr w:rsidR="00AB55A1" w:rsidRPr="00AB55A1" w14:paraId="12058E36" w14:textId="77777777" w:rsidTr="1C8D554D">
        <w:trPr>
          <w:trHeight w:val="290"/>
        </w:trPr>
        <w:tc>
          <w:tcPr>
            <w:cnfStyle w:val="001000000000" w:firstRow="0" w:lastRow="0" w:firstColumn="1" w:lastColumn="0" w:oddVBand="0" w:evenVBand="0" w:oddHBand="0" w:evenHBand="0" w:firstRowFirstColumn="0" w:firstRowLastColumn="0" w:lastRowFirstColumn="0" w:lastRowLastColumn="0"/>
            <w:tcW w:w="4569" w:type="dxa"/>
            <w:hideMark/>
          </w:tcPr>
          <w:p w14:paraId="46DA27B0" w14:textId="77777777" w:rsidR="00A77A5A" w:rsidRPr="00AB55A1" w:rsidRDefault="00A77A5A">
            <w:pPr>
              <w:spacing w:line="256" w:lineRule="auto"/>
              <w:rPr>
                <w:rFonts w:ascii="Calibri" w:eastAsia="Times New Roman" w:hAnsi="Calibri" w:cs="Calibri"/>
                <w:lang w:val="en-US" w:eastAsia="en-GB"/>
              </w:rPr>
            </w:pPr>
            <w:r w:rsidRPr="00AB55A1">
              <w:rPr>
                <w:rFonts w:ascii="Calibri" w:eastAsia="Times New Roman" w:hAnsi="Calibri" w:cs="Calibri"/>
                <w:lang w:val="en-US" w:eastAsia="en-GB"/>
              </w:rPr>
              <w:t>2.1. Scarcity component?</w:t>
            </w:r>
          </w:p>
        </w:tc>
        <w:tc>
          <w:tcPr>
            <w:tcW w:w="4493" w:type="dxa"/>
            <w:hideMark/>
          </w:tcPr>
          <w:p w14:paraId="3A3157E4" w14:textId="537AA7C7" w:rsidR="00A77A5A" w:rsidRPr="00AB55A1" w:rsidRDefault="00A77A5A">
            <w:pPr>
              <w:spacing w:line="25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sidRPr="00AB55A1">
              <w:rPr>
                <w:rFonts w:ascii="Calibri" w:eastAsia="Times New Roman" w:hAnsi="Calibri" w:cs="Calibri"/>
                <w:lang w:val="en-US" w:eastAsia="en-GB"/>
              </w:rPr>
              <w:t>Not considered</w:t>
            </w:r>
          </w:p>
        </w:tc>
      </w:tr>
      <w:tr w:rsidR="00AB55A1" w:rsidRPr="00AB55A1" w14:paraId="3282F2B2" w14:textId="77777777" w:rsidTr="1C8D554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69" w:type="dxa"/>
            <w:hideMark/>
          </w:tcPr>
          <w:p w14:paraId="7A2D72EC" w14:textId="77777777" w:rsidR="00A77A5A" w:rsidRPr="00AB55A1" w:rsidRDefault="00A77A5A">
            <w:pPr>
              <w:spacing w:line="256" w:lineRule="auto"/>
              <w:rPr>
                <w:rFonts w:ascii="Calibri" w:eastAsia="Times New Roman" w:hAnsi="Calibri" w:cs="Calibri"/>
                <w:lang w:val="en-US" w:eastAsia="en-GB"/>
              </w:rPr>
            </w:pPr>
            <w:r w:rsidRPr="00AB55A1">
              <w:rPr>
                <w:rFonts w:ascii="Calibri" w:eastAsia="Times New Roman" w:hAnsi="Calibri" w:cs="Calibri"/>
                <w:lang w:val="en-US" w:eastAsia="en-GB"/>
              </w:rPr>
              <w:t>2.2. Incentivizing component?</w:t>
            </w:r>
          </w:p>
        </w:tc>
        <w:tc>
          <w:tcPr>
            <w:tcW w:w="4493" w:type="dxa"/>
            <w:hideMark/>
          </w:tcPr>
          <w:p w14:paraId="3C9EC89D" w14:textId="5DC2F842" w:rsidR="00A77A5A" w:rsidRPr="00AB55A1" w:rsidRDefault="00A77A5A">
            <w:pPr>
              <w:spacing w:line="25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sidRPr="00AB55A1">
              <w:rPr>
                <w:rFonts w:ascii="Calibri" w:eastAsia="Times New Roman" w:hAnsi="Calibri" w:cs="Calibri"/>
                <w:lang w:val="en-US" w:eastAsia="en-GB"/>
              </w:rPr>
              <w:t>Not considered</w:t>
            </w:r>
          </w:p>
        </w:tc>
      </w:tr>
      <w:tr w:rsidR="00AB55A1" w:rsidRPr="00AB55A1" w14:paraId="320EABF5" w14:textId="77777777" w:rsidTr="1C8D554D">
        <w:trPr>
          <w:trHeight w:val="580"/>
        </w:trPr>
        <w:tc>
          <w:tcPr>
            <w:cnfStyle w:val="001000000000" w:firstRow="0" w:lastRow="0" w:firstColumn="1" w:lastColumn="0" w:oddVBand="0" w:evenVBand="0" w:oddHBand="0" w:evenHBand="0" w:firstRowFirstColumn="0" w:firstRowLastColumn="0" w:lastRowFirstColumn="0" w:lastRowLastColumn="0"/>
            <w:tcW w:w="4569" w:type="dxa"/>
            <w:hideMark/>
          </w:tcPr>
          <w:p w14:paraId="64A57153" w14:textId="77777777" w:rsidR="00A77A5A" w:rsidRPr="00AB55A1" w:rsidRDefault="00A77A5A">
            <w:pPr>
              <w:spacing w:line="256" w:lineRule="auto"/>
              <w:rPr>
                <w:rFonts w:ascii="Calibri" w:eastAsia="Times New Roman" w:hAnsi="Calibri" w:cs="Calibri"/>
                <w:lang w:val="en-US" w:eastAsia="en-GB"/>
              </w:rPr>
            </w:pPr>
            <w:r w:rsidRPr="00AB55A1">
              <w:rPr>
                <w:rFonts w:ascii="Calibri" w:eastAsia="Times New Roman" w:hAnsi="Calibri" w:cs="Calibri"/>
                <w:lang w:val="en-US" w:eastAsia="en-GB"/>
              </w:rPr>
              <w:t>2.3. Component related to financial neutrality of the TSO?</w:t>
            </w:r>
          </w:p>
        </w:tc>
        <w:tc>
          <w:tcPr>
            <w:tcW w:w="4493" w:type="dxa"/>
            <w:hideMark/>
          </w:tcPr>
          <w:p w14:paraId="39F9751D" w14:textId="08591D3A" w:rsidR="00A77A5A" w:rsidRPr="00AB55A1" w:rsidRDefault="00A77A5A">
            <w:pPr>
              <w:spacing w:line="25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sidRPr="00AB55A1">
              <w:rPr>
                <w:rFonts w:ascii="Calibri" w:eastAsia="Times New Roman" w:hAnsi="Calibri" w:cs="Calibri"/>
                <w:lang w:val="en-US" w:eastAsia="en-GB"/>
              </w:rPr>
              <w:t>Implemented</w:t>
            </w:r>
          </w:p>
        </w:tc>
      </w:tr>
      <w:tr w:rsidR="00AB55A1" w:rsidRPr="00AB55A1" w14:paraId="5E36B88D" w14:textId="77777777" w:rsidTr="1C8D554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569" w:type="dxa"/>
            <w:hideMark/>
          </w:tcPr>
          <w:p w14:paraId="77E7A859" w14:textId="6E8C68BD" w:rsidR="00A77A5A" w:rsidRPr="00AB55A1" w:rsidRDefault="00A77A5A">
            <w:pPr>
              <w:spacing w:line="256" w:lineRule="auto"/>
              <w:rPr>
                <w:rFonts w:ascii="Calibri" w:eastAsia="Times New Roman" w:hAnsi="Calibri" w:cs="Calibri"/>
                <w:b w:val="0"/>
                <w:bCs w:val="0"/>
                <w:lang w:val="en-US" w:eastAsia="en-GB"/>
              </w:rPr>
            </w:pPr>
            <w:r w:rsidRPr="1C8D554D">
              <w:rPr>
                <w:rFonts w:ascii="Calibri" w:eastAsia="Times New Roman" w:hAnsi="Calibri" w:cs="Calibri"/>
                <w:lang w:val="en-US" w:eastAsia="en-GB"/>
              </w:rPr>
              <w:t>Q3. Has your TSO made use of dual pricing as per 1 January 202</w:t>
            </w:r>
            <w:r w:rsidR="30265112" w:rsidRPr="1C8D554D">
              <w:rPr>
                <w:rFonts w:ascii="Calibri" w:eastAsia="Times New Roman" w:hAnsi="Calibri" w:cs="Calibri"/>
                <w:lang w:val="en-US" w:eastAsia="en-GB"/>
              </w:rPr>
              <w:t>4</w:t>
            </w:r>
            <w:r w:rsidRPr="1C8D554D">
              <w:rPr>
                <w:rFonts w:ascii="Calibri" w:eastAsia="Times New Roman" w:hAnsi="Calibri" w:cs="Calibri"/>
                <w:lang w:val="en-US" w:eastAsia="en-GB"/>
              </w:rPr>
              <w:t>?</w:t>
            </w:r>
          </w:p>
        </w:tc>
        <w:tc>
          <w:tcPr>
            <w:tcW w:w="4493" w:type="dxa"/>
            <w:hideMark/>
          </w:tcPr>
          <w:p w14:paraId="0D325014" w14:textId="1E746F03" w:rsidR="00A77A5A" w:rsidRPr="00AB55A1" w:rsidRDefault="00A77A5A">
            <w:pPr>
              <w:spacing w:line="25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sidRPr="00AB55A1">
              <w:rPr>
                <w:rFonts w:ascii="Calibri" w:eastAsia="Times New Roman" w:hAnsi="Calibri" w:cs="Calibri"/>
                <w:lang w:val="en-US" w:eastAsia="en-GB"/>
              </w:rPr>
              <w:t>No</w:t>
            </w:r>
          </w:p>
        </w:tc>
      </w:tr>
      <w:tr w:rsidR="00AB55A1" w:rsidRPr="00AB55A1" w14:paraId="1F72DDD0" w14:textId="77777777" w:rsidTr="1C8D554D">
        <w:trPr>
          <w:trHeight w:val="290"/>
        </w:trPr>
        <w:tc>
          <w:tcPr>
            <w:cnfStyle w:val="001000000000" w:firstRow="0" w:lastRow="0" w:firstColumn="1" w:lastColumn="0" w:oddVBand="0" w:evenVBand="0" w:oddHBand="0" w:evenHBand="0" w:firstRowFirstColumn="0" w:firstRowLastColumn="0" w:lastRowFirstColumn="0" w:lastRowLastColumn="0"/>
            <w:tcW w:w="4569" w:type="dxa"/>
            <w:hideMark/>
          </w:tcPr>
          <w:p w14:paraId="7452D648" w14:textId="77777777" w:rsidR="00A77A5A" w:rsidRPr="00AB55A1" w:rsidRDefault="00A77A5A">
            <w:pPr>
              <w:spacing w:line="256" w:lineRule="auto"/>
              <w:rPr>
                <w:rFonts w:ascii="Calibri" w:eastAsia="Times New Roman" w:hAnsi="Calibri" w:cs="Calibri"/>
                <w:lang w:val="en-US" w:eastAsia="en-GB"/>
              </w:rPr>
            </w:pPr>
            <w:r w:rsidRPr="00AB55A1">
              <w:rPr>
                <w:rFonts w:ascii="Calibri" w:eastAsia="Times New Roman" w:hAnsi="Calibri" w:cs="Calibri"/>
                <w:lang w:val="en-US" w:eastAsia="en-GB"/>
              </w:rPr>
              <w:t>3.1. Condition (a)</w:t>
            </w:r>
          </w:p>
        </w:tc>
        <w:tc>
          <w:tcPr>
            <w:tcW w:w="4493" w:type="dxa"/>
            <w:hideMark/>
          </w:tcPr>
          <w:p w14:paraId="28F378ED" w14:textId="038BFB5D" w:rsidR="00A77A5A" w:rsidRPr="00AB55A1" w:rsidRDefault="00A77A5A">
            <w:pPr>
              <w:spacing w:line="25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sidRPr="00AB55A1">
              <w:rPr>
                <w:rFonts w:ascii="Calibri" w:eastAsia="Times New Roman" w:hAnsi="Calibri" w:cs="Calibri"/>
                <w:lang w:val="en-US" w:eastAsia="en-GB"/>
              </w:rPr>
              <w:t>Not considered</w:t>
            </w:r>
          </w:p>
        </w:tc>
      </w:tr>
      <w:tr w:rsidR="00AB55A1" w:rsidRPr="00AB55A1" w14:paraId="1262A800" w14:textId="77777777" w:rsidTr="1C8D554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69" w:type="dxa"/>
            <w:hideMark/>
          </w:tcPr>
          <w:p w14:paraId="14B43381" w14:textId="77777777" w:rsidR="00A77A5A" w:rsidRPr="00AB55A1" w:rsidRDefault="00A77A5A">
            <w:pPr>
              <w:spacing w:line="256" w:lineRule="auto"/>
              <w:rPr>
                <w:rFonts w:ascii="Calibri" w:eastAsia="Times New Roman" w:hAnsi="Calibri" w:cs="Calibri"/>
                <w:lang w:val="en-US" w:eastAsia="en-GB"/>
              </w:rPr>
            </w:pPr>
            <w:r w:rsidRPr="00AB55A1">
              <w:rPr>
                <w:rFonts w:ascii="Calibri" w:eastAsia="Times New Roman" w:hAnsi="Calibri" w:cs="Calibri"/>
                <w:lang w:val="en-US" w:eastAsia="en-GB"/>
              </w:rPr>
              <w:t>3.2. Condition (b)</w:t>
            </w:r>
          </w:p>
        </w:tc>
        <w:tc>
          <w:tcPr>
            <w:tcW w:w="4493" w:type="dxa"/>
            <w:hideMark/>
          </w:tcPr>
          <w:p w14:paraId="6028A584" w14:textId="54E09B7E" w:rsidR="00A77A5A" w:rsidRPr="00AB55A1" w:rsidRDefault="00684DE2">
            <w:pPr>
              <w:spacing w:line="25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sidRPr="00AB55A1">
              <w:rPr>
                <w:rFonts w:ascii="Calibri" w:eastAsia="Times New Roman" w:hAnsi="Calibri" w:cs="Calibri"/>
                <w:lang w:val="en-US" w:eastAsia="en-GB"/>
              </w:rPr>
              <w:t>Not considered</w:t>
            </w:r>
          </w:p>
        </w:tc>
      </w:tr>
      <w:tr w:rsidR="00AB55A1" w:rsidRPr="00AB55A1" w14:paraId="5B765AF2" w14:textId="77777777" w:rsidTr="1C8D554D">
        <w:trPr>
          <w:trHeight w:val="290"/>
        </w:trPr>
        <w:tc>
          <w:tcPr>
            <w:cnfStyle w:val="001000000000" w:firstRow="0" w:lastRow="0" w:firstColumn="1" w:lastColumn="0" w:oddVBand="0" w:evenVBand="0" w:oddHBand="0" w:evenHBand="0" w:firstRowFirstColumn="0" w:firstRowLastColumn="0" w:lastRowFirstColumn="0" w:lastRowLastColumn="0"/>
            <w:tcW w:w="4569" w:type="dxa"/>
            <w:hideMark/>
          </w:tcPr>
          <w:p w14:paraId="6DD3C2D1" w14:textId="77777777" w:rsidR="00A77A5A" w:rsidRPr="00AB55A1" w:rsidRDefault="00A77A5A">
            <w:pPr>
              <w:spacing w:line="256" w:lineRule="auto"/>
              <w:rPr>
                <w:rFonts w:ascii="Calibri" w:eastAsia="Times New Roman" w:hAnsi="Calibri" w:cs="Calibri"/>
                <w:lang w:val="en-US" w:eastAsia="en-GB"/>
              </w:rPr>
            </w:pPr>
            <w:r w:rsidRPr="00AB55A1">
              <w:rPr>
                <w:rFonts w:ascii="Calibri" w:eastAsia="Times New Roman" w:hAnsi="Calibri" w:cs="Calibri"/>
                <w:lang w:val="en-US" w:eastAsia="en-GB"/>
              </w:rPr>
              <w:t>3.3. Condition (c)</w:t>
            </w:r>
          </w:p>
        </w:tc>
        <w:tc>
          <w:tcPr>
            <w:tcW w:w="4493" w:type="dxa"/>
            <w:hideMark/>
          </w:tcPr>
          <w:p w14:paraId="6FE5BC51" w14:textId="31938ED9" w:rsidR="00A77A5A" w:rsidRPr="00AB55A1" w:rsidRDefault="00684DE2">
            <w:pPr>
              <w:spacing w:line="25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sidRPr="00AB55A1">
              <w:rPr>
                <w:rFonts w:ascii="Calibri" w:eastAsia="Times New Roman" w:hAnsi="Calibri" w:cs="Calibri"/>
                <w:lang w:val="en-US" w:eastAsia="en-GB"/>
              </w:rPr>
              <w:t>Not considered</w:t>
            </w:r>
          </w:p>
        </w:tc>
      </w:tr>
      <w:tr w:rsidR="00AB55A1" w:rsidRPr="00AB55A1" w14:paraId="146623AD" w14:textId="77777777" w:rsidTr="1C8D554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69" w:type="dxa"/>
            <w:hideMark/>
          </w:tcPr>
          <w:p w14:paraId="668BE8ED" w14:textId="77777777" w:rsidR="00A77A5A" w:rsidRPr="00AB55A1" w:rsidRDefault="00A77A5A">
            <w:pPr>
              <w:spacing w:line="256" w:lineRule="auto"/>
              <w:rPr>
                <w:rFonts w:ascii="Calibri" w:eastAsia="Times New Roman" w:hAnsi="Calibri" w:cs="Calibri"/>
                <w:lang w:val="en-US" w:eastAsia="en-GB"/>
              </w:rPr>
            </w:pPr>
            <w:r w:rsidRPr="00AB55A1">
              <w:rPr>
                <w:rFonts w:ascii="Calibri" w:eastAsia="Times New Roman" w:hAnsi="Calibri" w:cs="Calibri"/>
                <w:lang w:val="en-US" w:eastAsia="en-GB"/>
              </w:rPr>
              <w:t>3.4. Condition (d)</w:t>
            </w:r>
          </w:p>
        </w:tc>
        <w:tc>
          <w:tcPr>
            <w:tcW w:w="4493" w:type="dxa"/>
            <w:hideMark/>
          </w:tcPr>
          <w:p w14:paraId="2073C555" w14:textId="3E8A1BF7" w:rsidR="00A77A5A" w:rsidRPr="00AB55A1" w:rsidRDefault="00684DE2">
            <w:pPr>
              <w:spacing w:line="25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sidRPr="00AB55A1">
              <w:rPr>
                <w:rFonts w:ascii="Calibri" w:eastAsia="Times New Roman" w:hAnsi="Calibri" w:cs="Calibri"/>
                <w:lang w:val="en-US" w:eastAsia="en-GB"/>
              </w:rPr>
              <w:t>Not considered</w:t>
            </w:r>
          </w:p>
        </w:tc>
      </w:tr>
      <w:tr w:rsidR="00AB55A1" w:rsidRPr="00AB55A1" w14:paraId="35C2D73F" w14:textId="77777777" w:rsidTr="1C8D554D">
        <w:trPr>
          <w:trHeight w:val="290"/>
        </w:trPr>
        <w:tc>
          <w:tcPr>
            <w:cnfStyle w:val="001000000000" w:firstRow="0" w:lastRow="0" w:firstColumn="1" w:lastColumn="0" w:oddVBand="0" w:evenVBand="0" w:oddHBand="0" w:evenHBand="0" w:firstRowFirstColumn="0" w:firstRowLastColumn="0" w:lastRowFirstColumn="0" w:lastRowLastColumn="0"/>
            <w:tcW w:w="4569" w:type="dxa"/>
            <w:hideMark/>
          </w:tcPr>
          <w:p w14:paraId="2D735680" w14:textId="77777777" w:rsidR="00A77A5A" w:rsidRPr="00AB55A1" w:rsidRDefault="00A77A5A">
            <w:pPr>
              <w:spacing w:line="256" w:lineRule="auto"/>
              <w:rPr>
                <w:rFonts w:ascii="Calibri" w:eastAsia="Times New Roman" w:hAnsi="Calibri" w:cs="Calibri"/>
                <w:lang w:val="en-US" w:eastAsia="en-GB"/>
              </w:rPr>
            </w:pPr>
            <w:r w:rsidRPr="00AB55A1">
              <w:rPr>
                <w:rFonts w:ascii="Calibri" w:eastAsia="Times New Roman" w:hAnsi="Calibri" w:cs="Calibri"/>
                <w:lang w:val="en-US" w:eastAsia="en-GB"/>
              </w:rPr>
              <w:t>3.4. Condition (e)</w:t>
            </w:r>
          </w:p>
        </w:tc>
        <w:tc>
          <w:tcPr>
            <w:tcW w:w="4493" w:type="dxa"/>
            <w:hideMark/>
          </w:tcPr>
          <w:p w14:paraId="3CCA3E3F" w14:textId="7C08CE4C" w:rsidR="00A77A5A" w:rsidRPr="00AB55A1" w:rsidRDefault="00684DE2">
            <w:pPr>
              <w:spacing w:line="25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sidRPr="00AB55A1">
              <w:rPr>
                <w:rFonts w:ascii="Calibri" w:eastAsia="Times New Roman" w:hAnsi="Calibri" w:cs="Calibri"/>
                <w:lang w:val="en-US" w:eastAsia="en-GB"/>
              </w:rPr>
              <w:t>Not considered</w:t>
            </w:r>
          </w:p>
        </w:tc>
      </w:tr>
    </w:tbl>
    <w:p w14:paraId="0EC855FE" w14:textId="77777777" w:rsidR="00A77A5A" w:rsidRPr="00A77A5A" w:rsidRDefault="00A77A5A" w:rsidP="00A77A5A">
      <w:pPr>
        <w:tabs>
          <w:tab w:val="left" w:pos="426"/>
        </w:tabs>
        <w:rPr>
          <w:rFonts w:cstheme="minorHAnsi"/>
          <w:sz w:val="20"/>
          <w:lang w:val="en-US"/>
        </w:rPr>
      </w:pPr>
    </w:p>
    <w:p w14:paraId="3697BD67" w14:textId="77777777" w:rsidR="00A77A5A" w:rsidRPr="00A77A5A" w:rsidRDefault="00A77A5A" w:rsidP="00A77A5A">
      <w:pPr>
        <w:tabs>
          <w:tab w:val="left" w:pos="426"/>
        </w:tabs>
        <w:rPr>
          <w:rFonts w:cstheme="minorHAnsi"/>
          <w:lang w:val="en-US"/>
        </w:rPr>
      </w:pPr>
    </w:p>
    <w:p w14:paraId="7649E0DF" w14:textId="3BA44B1F" w:rsidR="00A77A5A" w:rsidRPr="00A77A5A" w:rsidRDefault="007F7BF1" w:rsidP="00684DE2">
      <w:pPr>
        <w:pStyle w:val="headline1"/>
        <w:jc w:val="both"/>
        <w:rPr>
          <w:rStyle w:val="headline2Char"/>
          <w:rFonts w:asciiTheme="minorHAnsi" w:hAnsiTheme="minorHAnsi" w:cstheme="minorHAnsi"/>
          <w:b w:val="0"/>
          <w:color w:val="0070C0"/>
          <w:sz w:val="28"/>
          <w:lang w:val="en-US"/>
        </w:rPr>
      </w:pPr>
      <w:bookmarkStart w:id="26" w:name="_Toc103766239"/>
      <w:bookmarkEnd w:id="21"/>
      <w:bookmarkEnd w:id="22"/>
      <w:r>
        <w:rPr>
          <w:rFonts w:asciiTheme="minorHAnsi" w:hAnsiTheme="minorHAnsi" w:cstheme="minorHAnsi"/>
          <w:caps w:val="0"/>
          <w:color w:val="0070C0"/>
          <w:sz w:val="28"/>
          <w:lang w:val="en-US"/>
        </w:rPr>
        <w:t xml:space="preserve">2.4 </w:t>
      </w:r>
      <w:r w:rsidR="00A77A5A" w:rsidRPr="00A77A5A">
        <w:rPr>
          <w:rFonts w:asciiTheme="minorHAnsi" w:hAnsiTheme="minorHAnsi" w:cstheme="minorHAnsi"/>
          <w:caps w:val="0"/>
          <w:color w:val="0070C0"/>
          <w:sz w:val="28"/>
          <w:lang w:val="en-US"/>
        </w:rPr>
        <w:t>Summaries and main results of the analysis of Articles 60(2)(a-f):</w:t>
      </w:r>
      <w:bookmarkEnd w:id="26"/>
    </w:p>
    <w:p w14:paraId="0B44BDA8" w14:textId="67F72BFD" w:rsidR="00A77A5A" w:rsidRDefault="00A77A5A" w:rsidP="00684DE2">
      <w:pPr>
        <w:keepNext/>
        <w:tabs>
          <w:tab w:val="left" w:pos="359"/>
        </w:tabs>
        <w:spacing w:after="240" w:line="256" w:lineRule="auto"/>
        <w:rPr>
          <w:rFonts w:cstheme="minorHAnsi"/>
          <w:b/>
          <w:szCs w:val="24"/>
          <w:lang w:val="en-US"/>
        </w:rPr>
      </w:pPr>
      <w:r w:rsidRPr="00684DE2">
        <w:rPr>
          <w:rFonts w:cstheme="minorHAnsi"/>
          <w:b/>
          <w:caps/>
          <w:szCs w:val="24"/>
          <w:lang w:val="en-US"/>
        </w:rPr>
        <w:t>D</w:t>
      </w:r>
      <w:r w:rsidRPr="00684DE2">
        <w:rPr>
          <w:rFonts w:cstheme="minorHAnsi"/>
          <w:b/>
          <w:szCs w:val="24"/>
          <w:lang w:val="en-US"/>
        </w:rPr>
        <w:t>imensioning and</w:t>
      </w:r>
      <w:r w:rsidRPr="00684DE2">
        <w:rPr>
          <w:rFonts w:cstheme="minorHAnsi"/>
          <w:b/>
          <w:caps/>
          <w:szCs w:val="24"/>
          <w:lang w:val="en-US"/>
        </w:rPr>
        <w:t xml:space="preserve"> </w:t>
      </w:r>
      <w:r w:rsidRPr="00684DE2">
        <w:rPr>
          <w:rFonts w:cstheme="minorHAnsi"/>
          <w:b/>
          <w:szCs w:val="24"/>
          <w:lang w:val="en-US"/>
        </w:rPr>
        <w:t xml:space="preserve">balancing capacity procurement in accordance with Articles 60(2)(b), 60(2)(c), 60(2)(e) and 60(2)(f) </w:t>
      </w:r>
    </w:p>
    <w:p w14:paraId="039C2595" w14:textId="77777777" w:rsidR="00EE6AA2" w:rsidRDefault="00EE6AA2" w:rsidP="00EE6AA2">
      <w:pPr>
        <w:pStyle w:val="ListParagraph"/>
        <w:spacing w:after="120"/>
        <w:ind w:left="0"/>
        <w:contextualSpacing w:val="0"/>
        <w:rPr>
          <w:lang w:val="en-US"/>
        </w:rPr>
      </w:pPr>
      <w:r>
        <w:rPr>
          <w:lang w:val="en-US"/>
        </w:rPr>
        <w:t>Pursuant to Article 2(4) of SO GL the Baltic TSOs are exempted from the provisions of SOGL that are related to dimensioning of FCR, FRR and RR. Baltic power systems operate in IPS/UPS synchronous area, therefore dimensioning principles for active power reserves are defined in mutual agreements within IPS/UPS synchronous area and national legislation.</w:t>
      </w:r>
    </w:p>
    <w:p w14:paraId="185A76F5" w14:textId="1D098999" w:rsidR="00EE6AA2" w:rsidRPr="00D70121" w:rsidRDefault="00EE6AA2" w:rsidP="00EE6AA2">
      <w:pPr>
        <w:pStyle w:val="ListParagraph"/>
        <w:spacing w:after="120"/>
        <w:ind w:left="0"/>
        <w:contextualSpacing w:val="0"/>
        <w:rPr>
          <w:lang w:val="en-US"/>
        </w:rPr>
      </w:pPr>
      <w:r>
        <w:rPr>
          <w:lang w:val="en-US"/>
        </w:rPr>
        <w:t xml:space="preserve">Baltic TSOs according to agreements with </w:t>
      </w:r>
      <w:r w:rsidRPr="00F21B6F">
        <w:rPr>
          <w:lang w:val="en-US"/>
        </w:rPr>
        <w:t>TSOs and network owners of the common synchronous area (Belarus, Russia, Estonia, Latvia and Lithuania)</w:t>
      </w:r>
      <w:r>
        <w:rPr>
          <w:lang w:val="en-US"/>
        </w:rPr>
        <w:t xml:space="preserve"> (hereinafter – BRELL)</w:t>
      </w:r>
      <w:r w:rsidRPr="00F21B6F">
        <w:rPr>
          <w:lang w:val="en-US"/>
        </w:rPr>
        <w:t xml:space="preserve">, are mutually responsible for </w:t>
      </w:r>
      <w:r>
        <w:rPr>
          <w:lang w:val="en-US"/>
        </w:rPr>
        <w:t xml:space="preserve">maintaining </w:t>
      </w:r>
      <w:r w:rsidRPr="00F21B6F">
        <w:rPr>
          <w:lang w:val="en-US"/>
        </w:rPr>
        <w:t xml:space="preserve">of 100 MW of </w:t>
      </w:r>
      <w:r>
        <w:rPr>
          <w:lang w:val="en-US"/>
        </w:rPr>
        <w:t xml:space="preserve">normative emergency reserve capacity. </w:t>
      </w:r>
    </w:p>
    <w:p w14:paraId="619266D3" w14:textId="15A0A61A" w:rsidR="00EE6AA2" w:rsidRDefault="00EE6AA2" w:rsidP="00EE6AA2">
      <w:pPr>
        <w:pStyle w:val="ListParagraph"/>
        <w:spacing w:after="120"/>
        <w:ind w:left="0"/>
        <w:contextualSpacing w:val="0"/>
        <w:rPr>
          <w:lang w:val="en-US"/>
        </w:rPr>
      </w:pPr>
      <w:r>
        <w:rPr>
          <w:lang w:val="en-US"/>
        </w:rPr>
        <w:t>Depending on national legislation each Baltic TSO separately applies national requirements for dimensioning of active power reserves.</w:t>
      </w:r>
    </w:p>
    <w:p w14:paraId="4F10E353" w14:textId="6C077D8E" w:rsidR="001D33C7" w:rsidRPr="001D33C7" w:rsidRDefault="001D33C7" w:rsidP="65F52166">
      <w:pPr>
        <w:pStyle w:val="ListParagraph"/>
        <w:spacing w:after="120"/>
        <w:ind w:left="0"/>
        <w:rPr>
          <w:lang w:val="en-US"/>
        </w:rPr>
      </w:pPr>
      <w:r w:rsidRPr="3EB3B850">
        <w:rPr>
          <w:lang w:val="en-US"/>
        </w:rPr>
        <w:t xml:space="preserve">Currently, </w:t>
      </w:r>
      <w:r w:rsidR="660FC2B6" w:rsidRPr="3EB3B850">
        <w:rPr>
          <w:lang w:val="en-US"/>
        </w:rPr>
        <w:t xml:space="preserve">a </w:t>
      </w:r>
      <w:r w:rsidRPr="3EB3B850">
        <w:rPr>
          <w:lang w:val="en-US"/>
        </w:rPr>
        <w:t xml:space="preserve">project is ongoing to introduce the common Baltic </w:t>
      </w:r>
      <w:r w:rsidR="7BBFB86D" w:rsidRPr="3EB3B850">
        <w:rPr>
          <w:lang w:val="en-US"/>
        </w:rPr>
        <w:t xml:space="preserve">balancing </w:t>
      </w:r>
      <w:r w:rsidRPr="3EB3B850">
        <w:rPr>
          <w:lang w:val="en-US"/>
        </w:rPr>
        <w:t xml:space="preserve">capacity market for the needs of </w:t>
      </w:r>
      <w:r w:rsidR="2663971A" w:rsidRPr="3EB3B850">
        <w:rPr>
          <w:lang w:val="en-US"/>
        </w:rPr>
        <w:t xml:space="preserve">the </w:t>
      </w:r>
      <w:r w:rsidRPr="3EB3B850">
        <w:rPr>
          <w:lang w:val="en-US"/>
        </w:rPr>
        <w:t>Baltic LFC block. It is foreseen to go live in 202</w:t>
      </w:r>
      <w:r w:rsidR="4FF823F4" w:rsidRPr="3EB3B850">
        <w:rPr>
          <w:lang w:val="en-US"/>
        </w:rPr>
        <w:t>5</w:t>
      </w:r>
      <w:r w:rsidRPr="3EB3B850">
        <w:rPr>
          <w:lang w:val="en-US"/>
        </w:rPr>
        <w:t xml:space="preserve"> Q</w:t>
      </w:r>
      <w:r w:rsidR="2E7663B4" w:rsidRPr="3EB3B850">
        <w:rPr>
          <w:lang w:val="en-US"/>
        </w:rPr>
        <w:t>1</w:t>
      </w:r>
      <w:r w:rsidRPr="3EB3B850">
        <w:rPr>
          <w:lang w:val="en-US"/>
        </w:rPr>
        <w:t xml:space="preserve">. Common procurement of balancing capacity shall allow Baltic TSOs to exchange </w:t>
      </w:r>
      <w:r w:rsidR="4E458916" w:rsidRPr="3EB3B850">
        <w:rPr>
          <w:lang w:val="en-US"/>
        </w:rPr>
        <w:t>and share</w:t>
      </w:r>
      <w:r w:rsidRPr="3EB3B850">
        <w:rPr>
          <w:lang w:val="en-US"/>
        </w:rPr>
        <w:t xml:space="preserve">balancing capacity reserves within </w:t>
      </w:r>
      <w:r w:rsidR="3A6ED2CB" w:rsidRPr="3EB3B850">
        <w:rPr>
          <w:lang w:val="en-US"/>
        </w:rPr>
        <w:t xml:space="preserve">the </w:t>
      </w:r>
      <w:r w:rsidRPr="3EB3B850">
        <w:rPr>
          <w:lang w:val="en-US"/>
        </w:rPr>
        <w:t xml:space="preserve">Baltic LFC block. </w:t>
      </w:r>
    </w:p>
    <w:p w14:paraId="27B790AB" w14:textId="77777777" w:rsidR="001A2F61" w:rsidRDefault="001A2F61" w:rsidP="00EE6AA2">
      <w:pPr>
        <w:pStyle w:val="ListParagraph"/>
        <w:spacing w:after="120"/>
        <w:ind w:left="0"/>
        <w:contextualSpacing w:val="0"/>
        <w:rPr>
          <w:lang w:val="en-US"/>
        </w:rPr>
      </w:pPr>
    </w:p>
    <w:p w14:paraId="3733B741" w14:textId="77777777" w:rsidR="00AB55A1" w:rsidRDefault="001A2F61" w:rsidP="00EE6AA2">
      <w:pPr>
        <w:pStyle w:val="ListParagraph"/>
        <w:spacing w:after="120"/>
        <w:ind w:left="0"/>
        <w:rPr>
          <w:i/>
          <w:iCs/>
          <w:lang w:val="en-US"/>
        </w:rPr>
      </w:pPr>
      <w:r w:rsidRPr="65F52166">
        <w:rPr>
          <w:i/>
          <w:iCs/>
          <w:lang w:val="en-US"/>
        </w:rPr>
        <w:t>Litgrid AB case:</w:t>
      </w:r>
    </w:p>
    <w:p w14:paraId="0CF2F7E3" w14:textId="77777777" w:rsidR="00AB55A1" w:rsidRDefault="00AB55A1" w:rsidP="00EE6AA2">
      <w:pPr>
        <w:pStyle w:val="ListParagraph"/>
        <w:spacing w:after="120"/>
        <w:ind w:left="0"/>
        <w:rPr>
          <w:i/>
          <w:iCs/>
          <w:lang w:val="en-US"/>
        </w:rPr>
      </w:pPr>
    </w:p>
    <w:p w14:paraId="01384F8E" w14:textId="63A35B50" w:rsidR="001A2F61" w:rsidRPr="00AB55A1" w:rsidRDefault="001A2F61" w:rsidP="00EE6AA2">
      <w:pPr>
        <w:pStyle w:val="ListParagraph"/>
        <w:spacing w:after="120"/>
        <w:ind w:left="0"/>
        <w:rPr>
          <w:i/>
          <w:iCs/>
          <w:lang w:val="en-US"/>
        </w:rPr>
      </w:pPr>
      <w:r>
        <w:rPr>
          <w:lang w:val="en-US"/>
        </w:rPr>
        <w:t>Standard upward mFRR balancing capacity product was implemented, procured with the first delivery date on 2022 January 1</w:t>
      </w:r>
      <w:r w:rsidRPr="001A2F61">
        <w:rPr>
          <w:vertAlign w:val="superscript"/>
          <w:lang w:val="en-US"/>
        </w:rPr>
        <w:t>st</w:t>
      </w:r>
      <w:r>
        <w:rPr>
          <w:lang w:val="en-US"/>
        </w:rPr>
        <w:t xml:space="preserve">. Dimensioning for this capacity </w:t>
      </w:r>
      <w:r w:rsidR="00A83CA8">
        <w:rPr>
          <w:lang w:val="en-US"/>
        </w:rPr>
        <w:t xml:space="preserve">takes into account the biggest </w:t>
      </w:r>
      <w:r w:rsidR="00B94278">
        <w:rPr>
          <w:lang w:val="en-US"/>
        </w:rPr>
        <w:t>dimensioning incident</w:t>
      </w:r>
      <w:r w:rsidR="00A83CA8">
        <w:rPr>
          <w:lang w:val="en-US"/>
        </w:rPr>
        <w:t>, forecasted availability in upward mFRR balancing energy market</w:t>
      </w:r>
      <w:r w:rsidR="00B94278">
        <w:rPr>
          <w:lang w:val="en-US"/>
        </w:rPr>
        <w:t>, emergency reduction of RES generation, overloads o Cross-border tie lines</w:t>
      </w:r>
      <w:r w:rsidR="00A83CA8">
        <w:rPr>
          <w:lang w:val="en-US"/>
        </w:rPr>
        <w:t xml:space="preserve"> and the amounts of procured tertiary reserve. </w:t>
      </w:r>
    </w:p>
    <w:p w14:paraId="54DF1B0F" w14:textId="77777777" w:rsidR="00B53B72" w:rsidRDefault="00B53B72" w:rsidP="001A2F61">
      <w:pPr>
        <w:pStyle w:val="ListParagraph"/>
        <w:spacing w:after="120"/>
        <w:ind w:left="0"/>
        <w:contextualSpacing w:val="0"/>
        <w:rPr>
          <w:i/>
          <w:iCs/>
          <w:lang w:val="en-US"/>
        </w:rPr>
      </w:pPr>
    </w:p>
    <w:p w14:paraId="1351CE58" w14:textId="77777777" w:rsidR="00B53B72" w:rsidRDefault="001A2F61" w:rsidP="00B53B72">
      <w:pPr>
        <w:pStyle w:val="ListParagraph"/>
        <w:spacing w:after="120"/>
        <w:ind w:left="0"/>
        <w:contextualSpacing w:val="0"/>
        <w:rPr>
          <w:i/>
          <w:iCs/>
          <w:lang w:val="en-US"/>
        </w:rPr>
      </w:pPr>
      <w:r w:rsidRPr="65F52166">
        <w:rPr>
          <w:i/>
          <w:iCs/>
          <w:lang w:val="en-US"/>
        </w:rPr>
        <w:t>AST case:</w:t>
      </w:r>
    </w:p>
    <w:p w14:paraId="215D4A9A" w14:textId="23C59BD3" w:rsidR="001A2F61" w:rsidRPr="00B53B72" w:rsidRDefault="65F52166" w:rsidP="00B53B72">
      <w:pPr>
        <w:pStyle w:val="ListParagraph"/>
        <w:spacing w:after="120"/>
        <w:ind w:left="0"/>
        <w:contextualSpacing w:val="0"/>
        <w:rPr>
          <w:i/>
          <w:iCs/>
          <w:lang w:val="en-US"/>
        </w:rPr>
      </w:pPr>
      <w:r w:rsidRPr="65F52166">
        <w:rPr>
          <w:rFonts w:ascii="Calibri" w:eastAsia="Calibri" w:hAnsi="Calibri" w:cs="Calibri"/>
          <w:lang w:val="en-US"/>
        </w:rPr>
        <w:t>AST has not introduced or procured balancing capacity in Report period.</w:t>
      </w:r>
    </w:p>
    <w:p w14:paraId="7B813CEA" w14:textId="701D97A2" w:rsidR="001A2F61" w:rsidRDefault="001A2F61" w:rsidP="65F52166">
      <w:pPr>
        <w:pStyle w:val="ListParagraph"/>
        <w:spacing w:after="120"/>
        <w:ind w:left="0"/>
        <w:rPr>
          <w:i/>
          <w:iCs/>
          <w:lang w:val="en-US"/>
        </w:rPr>
      </w:pPr>
    </w:p>
    <w:p w14:paraId="62087C8D" w14:textId="77777777" w:rsidR="00B53B72" w:rsidRDefault="001A2F61" w:rsidP="00B53B72">
      <w:pPr>
        <w:pStyle w:val="ListParagraph"/>
        <w:spacing w:after="120"/>
        <w:ind w:left="0"/>
        <w:rPr>
          <w:i/>
          <w:iCs/>
          <w:lang w:val="en-US"/>
        </w:rPr>
      </w:pPr>
      <w:r w:rsidRPr="65F52166">
        <w:rPr>
          <w:i/>
          <w:iCs/>
          <w:lang w:val="en-US"/>
        </w:rPr>
        <w:t>Elering case:</w:t>
      </w:r>
    </w:p>
    <w:p w14:paraId="71DACD1B" w14:textId="77777777" w:rsidR="00B53B72" w:rsidRDefault="00B53B72" w:rsidP="00B53B72">
      <w:pPr>
        <w:pStyle w:val="ListParagraph"/>
        <w:spacing w:after="120"/>
        <w:ind w:left="0"/>
        <w:rPr>
          <w:i/>
          <w:iCs/>
          <w:lang w:val="en-US"/>
        </w:rPr>
      </w:pPr>
    </w:p>
    <w:p w14:paraId="168F2688" w14:textId="4118DCC8" w:rsidR="00EE6AA2" w:rsidRPr="00B53B72" w:rsidRDefault="0093587D" w:rsidP="00B53B72">
      <w:pPr>
        <w:pStyle w:val="ListParagraph"/>
        <w:spacing w:after="120"/>
        <w:ind w:left="0"/>
        <w:rPr>
          <w:i/>
          <w:iCs/>
          <w:lang w:val="en-US"/>
        </w:rPr>
      </w:pPr>
      <w:r w:rsidRPr="3FE890D8">
        <w:rPr>
          <w:lang w:val="en-US"/>
        </w:rPr>
        <w:t>Elering has not introduced or procured balancing capacity in Report period.</w:t>
      </w:r>
    </w:p>
    <w:p w14:paraId="255329E0" w14:textId="6C346F64" w:rsidR="00EE6AA2" w:rsidRPr="00684DE2" w:rsidRDefault="00EE6AA2" w:rsidP="3FE890D8">
      <w:pPr>
        <w:keepNext/>
        <w:tabs>
          <w:tab w:val="left" w:pos="359"/>
        </w:tabs>
        <w:spacing w:after="240" w:line="256" w:lineRule="auto"/>
        <w:rPr>
          <w:b/>
          <w:bCs/>
          <w:lang w:val="en-US"/>
        </w:rPr>
      </w:pPr>
    </w:p>
    <w:p w14:paraId="672C8635" w14:textId="77777777" w:rsidR="00A77A5A" w:rsidRPr="00684DE2" w:rsidRDefault="00A77A5A" w:rsidP="00684DE2">
      <w:pPr>
        <w:keepNext/>
        <w:tabs>
          <w:tab w:val="left" w:pos="359"/>
        </w:tabs>
        <w:spacing w:after="240" w:line="256" w:lineRule="auto"/>
        <w:rPr>
          <w:rFonts w:cstheme="minorHAnsi"/>
          <w:b/>
          <w:bCs/>
          <w:szCs w:val="24"/>
          <w:lang w:val="en-US"/>
        </w:rPr>
      </w:pPr>
      <w:r w:rsidRPr="00684DE2">
        <w:rPr>
          <w:rFonts w:cstheme="minorHAnsi"/>
          <w:b/>
          <w:bCs/>
          <w:szCs w:val="24"/>
          <w:lang w:val="en-US"/>
        </w:rPr>
        <w:t>Specific products in accordance with Articles 26(1) from (a) to (f) and 60(2)(a) and 60(2)(d)</w:t>
      </w:r>
    </w:p>
    <w:p w14:paraId="17C1ABD8" w14:textId="67627F38" w:rsidR="00282113" w:rsidRPr="00AC3636" w:rsidRDefault="00282113" w:rsidP="65F52166">
      <w:pPr>
        <w:pStyle w:val="ListParagraph"/>
        <w:spacing w:after="120"/>
        <w:ind w:left="0"/>
        <w:rPr>
          <w:lang w:val="en-US"/>
        </w:rPr>
      </w:pPr>
      <w:r w:rsidRPr="65F52166">
        <w:rPr>
          <w:lang w:val="en-US"/>
        </w:rPr>
        <w:t>Considering that standard nor specific balancing energy were not implemented during Report Period no cost and benefit analysis and analysis on volumes, availability, procurement, usage and justification of usage of Specific products were made for the Report period.</w:t>
      </w:r>
    </w:p>
    <w:p w14:paraId="7BEA3EF4" w14:textId="77777777" w:rsidR="00282113" w:rsidRPr="00AC3636" w:rsidRDefault="00282113" w:rsidP="65F52166">
      <w:pPr>
        <w:pStyle w:val="ListParagraph"/>
        <w:spacing w:after="120"/>
        <w:ind w:left="0"/>
        <w:rPr>
          <w:lang w:val="en-US"/>
        </w:rPr>
      </w:pPr>
      <w:r w:rsidRPr="65F52166">
        <w:rPr>
          <w:lang w:val="en-US"/>
        </w:rPr>
        <w:t>During Report Period Baltic TSOs has been operating in common Baltic balancing market (</w:t>
      </w:r>
      <w:r w:rsidRPr="65F52166">
        <w:rPr>
          <w:b/>
          <w:bCs/>
          <w:lang w:val="en-US"/>
        </w:rPr>
        <w:t>Baltic CoBA</w:t>
      </w:r>
      <w:r w:rsidRPr="65F52166">
        <w:rPr>
          <w:lang w:val="en-US"/>
        </w:rPr>
        <w:t>).  Baltic CoBA has two defined Balancing energy products:</w:t>
      </w:r>
    </w:p>
    <w:p w14:paraId="647E0D66" w14:textId="77777777" w:rsidR="00282113" w:rsidRPr="00AC3636" w:rsidRDefault="00282113" w:rsidP="00282113">
      <w:pPr>
        <w:pStyle w:val="ListParagraph"/>
        <w:numPr>
          <w:ilvl w:val="0"/>
          <w:numId w:val="15"/>
        </w:numPr>
        <w:spacing w:after="120"/>
        <w:contextualSpacing w:val="0"/>
        <w:rPr>
          <w:lang w:val="en-US"/>
        </w:rPr>
      </w:pPr>
      <w:r w:rsidRPr="00AC3636">
        <w:rPr>
          <w:lang w:val="en-US"/>
        </w:rPr>
        <w:t xml:space="preserve">Baltic standard manual Frequency Restoration Reserve (Baltic </w:t>
      </w:r>
      <w:r w:rsidRPr="00AC3636">
        <w:rPr>
          <w:b/>
          <w:bCs/>
          <w:lang w:val="en-US"/>
        </w:rPr>
        <w:t>mFRR</w:t>
      </w:r>
      <w:r w:rsidRPr="00AC3636">
        <w:rPr>
          <w:lang w:val="en-US"/>
        </w:rPr>
        <w:t>) product for balancing;</w:t>
      </w:r>
    </w:p>
    <w:p w14:paraId="52D4FE82" w14:textId="77777777" w:rsidR="00282113" w:rsidRPr="00AC3636" w:rsidRDefault="00282113" w:rsidP="00282113">
      <w:pPr>
        <w:pStyle w:val="ListParagraph"/>
        <w:numPr>
          <w:ilvl w:val="0"/>
          <w:numId w:val="15"/>
        </w:numPr>
        <w:spacing w:after="120"/>
        <w:contextualSpacing w:val="0"/>
        <w:rPr>
          <w:lang w:val="en-US"/>
        </w:rPr>
      </w:pPr>
      <w:r w:rsidRPr="00AC3636">
        <w:rPr>
          <w:lang w:val="en-US"/>
        </w:rPr>
        <w:t xml:space="preserve">Specific Emergency manual Frequency Restoration Reserve (Baltic </w:t>
      </w:r>
      <w:r w:rsidRPr="00AC3636">
        <w:rPr>
          <w:b/>
          <w:bCs/>
          <w:lang w:val="en-US"/>
        </w:rPr>
        <w:t>ER mFRR)</w:t>
      </w:r>
      <w:r w:rsidRPr="00AC3636">
        <w:rPr>
          <w:lang w:val="en-US"/>
        </w:rPr>
        <w:t xml:space="preserve"> products:</w:t>
      </w:r>
    </w:p>
    <w:p w14:paraId="5034B61D" w14:textId="77777777" w:rsidR="00282113" w:rsidRPr="00AC3636" w:rsidRDefault="00282113" w:rsidP="00282113">
      <w:pPr>
        <w:pStyle w:val="ListParagraph"/>
        <w:numPr>
          <w:ilvl w:val="1"/>
          <w:numId w:val="15"/>
        </w:numPr>
        <w:spacing w:after="120"/>
        <w:ind w:left="1701" w:hanging="283"/>
        <w:contextualSpacing w:val="0"/>
        <w:rPr>
          <w:lang w:val="en-US"/>
        </w:rPr>
      </w:pPr>
      <w:r w:rsidRPr="00AC3636">
        <w:rPr>
          <w:lang w:val="en-US"/>
        </w:rPr>
        <w:t>Normative Emergency Capacity Reserve (</w:t>
      </w:r>
      <w:r w:rsidRPr="00AC3636">
        <w:rPr>
          <w:b/>
          <w:bCs/>
          <w:lang w:val="en-US"/>
        </w:rPr>
        <w:t>NERC</w:t>
      </w:r>
      <w:r w:rsidRPr="00AC3636">
        <w:rPr>
          <w:lang w:val="en-US"/>
        </w:rPr>
        <w:t>);</w:t>
      </w:r>
    </w:p>
    <w:p w14:paraId="113B5E2A" w14:textId="77777777" w:rsidR="00282113" w:rsidRPr="00AC3636" w:rsidRDefault="00282113" w:rsidP="00282113">
      <w:pPr>
        <w:pStyle w:val="ListParagraph"/>
        <w:numPr>
          <w:ilvl w:val="1"/>
          <w:numId w:val="15"/>
        </w:numPr>
        <w:spacing w:after="120"/>
        <w:ind w:left="1701" w:hanging="283"/>
        <w:contextualSpacing w:val="0"/>
        <w:rPr>
          <w:lang w:val="en-US"/>
        </w:rPr>
      </w:pPr>
      <w:r w:rsidRPr="00AC3636">
        <w:rPr>
          <w:lang w:val="en-US"/>
        </w:rPr>
        <w:t>Emergency Capacity Reserve (</w:t>
      </w:r>
      <w:r w:rsidRPr="00AC3636">
        <w:rPr>
          <w:b/>
          <w:bCs/>
          <w:lang w:val="en-US"/>
        </w:rPr>
        <w:t>ERC</w:t>
      </w:r>
      <w:r w:rsidRPr="00AC3636">
        <w:rPr>
          <w:lang w:val="en-US"/>
        </w:rPr>
        <w:t>).</w:t>
      </w:r>
    </w:p>
    <w:p w14:paraId="2D982CC1" w14:textId="4BCC0CA5" w:rsidR="00282113" w:rsidRDefault="00282113" w:rsidP="65F52166">
      <w:pPr>
        <w:pStyle w:val="ListParagraph"/>
        <w:spacing w:after="120"/>
        <w:ind w:left="0"/>
        <w:rPr>
          <w:lang w:val="en-US"/>
        </w:rPr>
      </w:pPr>
      <w:r w:rsidRPr="65F52166">
        <w:rPr>
          <w:lang w:val="en-US"/>
        </w:rPr>
        <w:t>NERC is introduced as a mandatory reserve capacity to cover Baltic TSOs obligations over BRELL agreement. ERC is introduced separately by each Baltic TSO to ensure the operational security of their respective power system. All Baltic balancing</w:t>
      </w:r>
      <w:r w:rsidR="00917871" w:rsidRPr="65F52166">
        <w:rPr>
          <w:lang w:val="en-US"/>
        </w:rPr>
        <w:t xml:space="preserve"> energy</w:t>
      </w:r>
      <w:r w:rsidRPr="65F52166">
        <w:rPr>
          <w:lang w:val="en-US"/>
        </w:rPr>
        <w:t xml:space="preserve"> products are not compatible with standard </w:t>
      </w:r>
      <w:r w:rsidR="00917871" w:rsidRPr="65F52166">
        <w:rPr>
          <w:lang w:val="en-US"/>
        </w:rPr>
        <w:t xml:space="preserve">energy </w:t>
      </w:r>
      <w:r w:rsidRPr="65F52166">
        <w:rPr>
          <w:lang w:val="en-US"/>
        </w:rPr>
        <w:t>products as defined in EBGL articles 25 and 2(36).</w:t>
      </w:r>
    </w:p>
    <w:p w14:paraId="1EA6BE42" w14:textId="77777777" w:rsidR="00F84FD3" w:rsidRDefault="00F84FD3" w:rsidP="00282113">
      <w:pPr>
        <w:pStyle w:val="ListParagraph"/>
        <w:spacing w:after="120"/>
        <w:ind w:left="0"/>
        <w:contextualSpacing w:val="0"/>
        <w:rPr>
          <w:lang w:val="en-US"/>
        </w:rPr>
      </w:pPr>
    </w:p>
    <w:p w14:paraId="0922E6D5" w14:textId="77777777" w:rsidR="007D583A" w:rsidRPr="00A77A5A" w:rsidRDefault="007D583A" w:rsidP="009B33F4">
      <w:pPr>
        <w:rPr>
          <w:b/>
          <w:lang w:val="en-US"/>
        </w:rPr>
      </w:pPr>
    </w:p>
    <w:p w14:paraId="3CF3228C" w14:textId="137162D9" w:rsidR="009B33F4" w:rsidRDefault="009B33F4" w:rsidP="009B33F4">
      <w:pPr>
        <w:pStyle w:val="headline2"/>
        <w:rPr>
          <w:lang w:val="en-US"/>
        </w:rPr>
      </w:pPr>
      <w:bookmarkStart w:id="27" w:name="_Toc513644634"/>
      <w:bookmarkStart w:id="28" w:name="_Toc103766240"/>
      <w:r w:rsidRPr="00AC3636">
        <w:rPr>
          <w:lang w:val="en-US"/>
        </w:rPr>
        <w:t xml:space="preserve">Article </w:t>
      </w:r>
      <w:r w:rsidR="007D583A">
        <w:rPr>
          <w:lang w:val="en-US"/>
        </w:rPr>
        <w:t>3</w:t>
      </w:r>
      <w:r w:rsidRPr="00AC3636">
        <w:rPr>
          <w:lang w:val="en-US"/>
        </w:rPr>
        <w:br/>
      </w:r>
      <w:bookmarkEnd w:id="11"/>
      <w:bookmarkEnd w:id="12"/>
      <w:bookmarkEnd w:id="13"/>
      <w:bookmarkEnd w:id="14"/>
      <w:bookmarkEnd w:id="15"/>
      <w:bookmarkEnd w:id="16"/>
      <w:bookmarkEnd w:id="27"/>
      <w:r w:rsidR="00966AFA" w:rsidRPr="00AC3636">
        <w:rPr>
          <w:lang w:val="en-US"/>
        </w:rPr>
        <w:t>Balancing</w:t>
      </w:r>
      <w:r w:rsidR="00DF0E2F" w:rsidRPr="00AC3636">
        <w:rPr>
          <w:lang w:val="en-US"/>
        </w:rPr>
        <w:t xml:space="preserve"> products</w:t>
      </w:r>
      <w:bookmarkEnd w:id="28"/>
      <w:r w:rsidR="00DD13F5" w:rsidRPr="00AC3636">
        <w:rPr>
          <w:lang w:val="en-US"/>
        </w:rPr>
        <w:t xml:space="preserve"> </w:t>
      </w:r>
    </w:p>
    <w:p w14:paraId="396EE20F" w14:textId="77777777" w:rsidR="007E04D7" w:rsidRPr="00AC3636" w:rsidRDefault="007E04D7" w:rsidP="009B33F4">
      <w:pPr>
        <w:pStyle w:val="headline2"/>
        <w:rPr>
          <w:lang w:val="en-US"/>
        </w:rPr>
      </w:pPr>
    </w:p>
    <w:p w14:paraId="6BD93286" w14:textId="24E73828" w:rsidR="00DC2470" w:rsidRPr="00105DFA" w:rsidRDefault="00DC2470" w:rsidP="00883B5B">
      <w:pPr>
        <w:pStyle w:val="ListParagraph"/>
        <w:spacing w:after="120"/>
        <w:ind w:left="0"/>
        <w:contextualSpacing w:val="0"/>
        <w:rPr>
          <w:b/>
          <w:bCs/>
          <w:lang w:val="en-US"/>
        </w:rPr>
      </w:pPr>
      <w:bookmarkStart w:id="29" w:name="_Toc432586770"/>
      <w:bookmarkStart w:id="30" w:name="_Toc432586790"/>
      <w:r w:rsidRPr="00105DFA">
        <w:rPr>
          <w:b/>
          <w:bCs/>
          <w:lang w:val="en-US"/>
        </w:rPr>
        <w:t>Balancing energy products</w:t>
      </w:r>
    </w:p>
    <w:p w14:paraId="5FA15675" w14:textId="3BA648A7" w:rsidR="00DC2470" w:rsidRDefault="005D7E18" w:rsidP="00883B5B">
      <w:pPr>
        <w:pStyle w:val="ListParagraph"/>
        <w:spacing w:after="120"/>
        <w:ind w:left="0"/>
        <w:contextualSpacing w:val="0"/>
        <w:rPr>
          <w:lang w:val="en-US"/>
        </w:rPr>
      </w:pPr>
      <w:r>
        <w:rPr>
          <w:lang w:val="en-US"/>
        </w:rPr>
        <w:t>According to EBGL Art 25</w:t>
      </w:r>
      <w:r w:rsidR="007E04D7">
        <w:rPr>
          <w:lang w:val="en-US"/>
        </w:rPr>
        <w:t xml:space="preserve"> </w:t>
      </w:r>
      <w:r>
        <w:rPr>
          <w:lang w:val="en-US"/>
        </w:rPr>
        <w:t xml:space="preserve">point 1 products for balancing energy shall be developed as part of proposals for the implementation frameworks for the European platforms pursuant to Articles 19, 20 and 21 of EBGL. </w:t>
      </w:r>
    </w:p>
    <w:p w14:paraId="538F3475" w14:textId="2E27DEF4" w:rsidR="005D7E18" w:rsidRDefault="005D7E18" w:rsidP="00883B5B">
      <w:pPr>
        <w:pStyle w:val="ListParagraph"/>
        <w:spacing w:after="120"/>
        <w:ind w:left="0"/>
        <w:contextualSpacing w:val="0"/>
        <w:rPr>
          <w:lang w:val="en-US"/>
        </w:rPr>
      </w:pPr>
      <w:r>
        <w:rPr>
          <w:lang w:val="en-US"/>
        </w:rPr>
        <w:t>Following the approval of the implementation frameworks for the European platforms each TSO may develop proposal for defining and using specific products for balancing energy and capacity</w:t>
      </w:r>
      <w:r w:rsidR="00C50507">
        <w:rPr>
          <w:lang w:val="en-US"/>
        </w:rPr>
        <w:t xml:space="preserve"> pursuant to Article 26 point 1 of EBGL.</w:t>
      </w:r>
    </w:p>
    <w:p w14:paraId="6CC6F5C3" w14:textId="07CAF919" w:rsidR="005832CF" w:rsidRPr="00AC3636" w:rsidRDefault="00C50507" w:rsidP="00883B5B">
      <w:pPr>
        <w:pStyle w:val="ListParagraph"/>
        <w:spacing w:after="120"/>
        <w:ind w:left="0"/>
        <w:contextualSpacing w:val="0"/>
        <w:rPr>
          <w:lang w:val="en-US"/>
        </w:rPr>
      </w:pPr>
      <w:r>
        <w:rPr>
          <w:lang w:val="en-US"/>
        </w:rPr>
        <w:t xml:space="preserve">Considering that standard balancing energy and capacity products were not </w:t>
      </w:r>
      <w:r w:rsidR="00DC2470">
        <w:rPr>
          <w:lang w:val="en-US"/>
        </w:rPr>
        <w:t xml:space="preserve">implemented during </w:t>
      </w:r>
      <w:r>
        <w:rPr>
          <w:lang w:val="en-US"/>
        </w:rPr>
        <w:t>Report</w:t>
      </w:r>
      <w:r w:rsidR="00B27FEA">
        <w:rPr>
          <w:lang w:val="en-US"/>
        </w:rPr>
        <w:t xml:space="preserve"> </w:t>
      </w:r>
      <w:r w:rsidR="005832CF" w:rsidRPr="00AC3636">
        <w:rPr>
          <w:lang w:val="en-US"/>
        </w:rPr>
        <w:t xml:space="preserve">Period </w:t>
      </w:r>
      <w:r>
        <w:rPr>
          <w:lang w:val="en-US"/>
        </w:rPr>
        <w:t xml:space="preserve">no </w:t>
      </w:r>
      <w:r w:rsidR="005832CF" w:rsidRPr="00AC3636">
        <w:rPr>
          <w:lang w:val="en-US"/>
        </w:rPr>
        <w:t>cost and benefit analysis and analysis on volumes, availability, procurement, usage and justification of usage of Specific products</w:t>
      </w:r>
      <w:r>
        <w:rPr>
          <w:lang w:val="en-US"/>
        </w:rPr>
        <w:t xml:space="preserve"> were made for the Report period</w:t>
      </w:r>
      <w:r w:rsidR="003156B1">
        <w:rPr>
          <w:lang w:val="en-US"/>
        </w:rPr>
        <w:t>.</w:t>
      </w:r>
    </w:p>
    <w:p w14:paraId="5C21D92C" w14:textId="26BFD374" w:rsidR="00037097" w:rsidRPr="00AC3636" w:rsidRDefault="00CB171E" w:rsidP="00883B5B">
      <w:pPr>
        <w:pStyle w:val="ListParagraph"/>
        <w:spacing w:after="120"/>
        <w:ind w:left="0"/>
        <w:contextualSpacing w:val="0"/>
        <w:rPr>
          <w:lang w:val="en-US"/>
        </w:rPr>
      </w:pPr>
      <w:r w:rsidRPr="00AC3636">
        <w:rPr>
          <w:lang w:val="en-US"/>
        </w:rPr>
        <w:t>During Report Period Baltic TSOs ha</w:t>
      </w:r>
      <w:r w:rsidR="002E3799" w:rsidRPr="00AC3636">
        <w:rPr>
          <w:lang w:val="en-US"/>
        </w:rPr>
        <w:t>s been operating in</w:t>
      </w:r>
      <w:r w:rsidR="00F6155E" w:rsidRPr="00AC3636">
        <w:rPr>
          <w:lang w:val="en-US"/>
        </w:rPr>
        <w:t xml:space="preserve"> common </w:t>
      </w:r>
      <w:r w:rsidR="00DD763C" w:rsidRPr="00AC3636">
        <w:rPr>
          <w:lang w:val="en-US"/>
        </w:rPr>
        <w:t xml:space="preserve">Baltic </w:t>
      </w:r>
      <w:r w:rsidR="00047E43" w:rsidRPr="00AC3636">
        <w:rPr>
          <w:lang w:val="en-US"/>
        </w:rPr>
        <w:t>balancing market</w:t>
      </w:r>
      <w:r w:rsidR="00C645D8" w:rsidRPr="00AC3636">
        <w:rPr>
          <w:lang w:val="en-US"/>
        </w:rPr>
        <w:t xml:space="preserve"> </w:t>
      </w:r>
      <w:r w:rsidR="00144450" w:rsidRPr="00AC3636">
        <w:rPr>
          <w:lang w:val="en-US"/>
        </w:rPr>
        <w:t>(</w:t>
      </w:r>
      <w:r w:rsidR="00DD763C" w:rsidRPr="00AC3636">
        <w:rPr>
          <w:b/>
          <w:bCs/>
          <w:lang w:val="en-US"/>
        </w:rPr>
        <w:t xml:space="preserve">Baltic </w:t>
      </w:r>
      <w:r w:rsidR="00144450" w:rsidRPr="00AC3636">
        <w:rPr>
          <w:b/>
          <w:bCs/>
          <w:lang w:val="en-US"/>
        </w:rPr>
        <w:t>CoBA</w:t>
      </w:r>
      <w:r w:rsidR="00C645D8" w:rsidRPr="00AC3636">
        <w:rPr>
          <w:lang w:val="en-US"/>
        </w:rPr>
        <w:t>)</w:t>
      </w:r>
      <w:r w:rsidR="002E3799" w:rsidRPr="00AC3636">
        <w:rPr>
          <w:lang w:val="en-US"/>
        </w:rPr>
        <w:t xml:space="preserve">. </w:t>
      </w:r>
      <w:r w:rsidR="002D26FB" w:rsidRPr="00AC3636">
        <w:rPr>
          <w:lang w:val="en-US"/>
        </w:rPr>
        <w:t xml:space="preserve"> </w:t>
      </w:r>
      <w:r w:rsidR="001D767B">
        <w:rPr>
          <w:lang w:val="en-US"/>
        </w:rPr>
        <w:t xml:space="preserve">Baltic </w:t>
      </w:r>
      <w:r w:rsidR="00ED3721" w:rsidRPr="00AC3636">
        <w:rPr>
          <w:lang w:val="en-US"/>
        </w:rPr>
        <w:t xml:space="preserve">CoBA has two defined </w:t>
      </w:r>
      <w:r w:rsidR="006B431F" w:rsidRPr="00AC3636">
        <w:rPr>
          <w:lang w:val="en-US"/>
        </w:rPr>
        <w:t>Balancing energy products:</w:t>
      </w:r>
    </w:p>
    <w:p w14:paraId="41CBBB09" w14:textId="013F1F35" w:rsidR="006B431F" w:rsidRPr="00AC3636" w:rsidRDefault="006B431F" w:rsidP="006B431F">
      <w:pPr>
        <w:pStyle w:val="ListParagraph"/>
        <w:numPr>
          <w:ilvl w:val="0"/>
          <w:numId w:val="15"/>
        </w:numPr>
        <w:spacing w:after="120"/>
        <w:contextualSpacing w:val="0"/>
        <w:rPr>
          <w:lang w:val="en-US"/>
        </w:rPr>
      </w:pPr>
      <w:r w:rsidRPr="19C12CC2">
        <w:rPr>
          <w:lang w:val="en-US"/>
        </w:rPr>
        <w:t xml:space="preserve">Baltic standard </w:t>
      </w:r>
      <w:r w:rsidR="00756873" w:rsidRPr="19C12CC2">
        <w:rPr>
          <w:lang w:val="en-US"/>
        </w:rPr>
        <w:t>manual Frequency Restoration Reserve (</w:t>
      </w:r>
      <w:r w:rsidR="006D335B" w:rsidRPr="19C12CC2">
        <w:rPr>
          <w:lang w:val="en-US"/>
        </w:rPr>
        <w:t xml:space="preserve">Baltic </w:t>
      </w:r>
      <w:r w:rsidR="00756873" w:rsidRPr="19C12CC2">
        <w:rPr>
          <w:b/>
          <w:bCs/>
          <w:lang w:val="en-US"/>
        </w:rPr>
        <w:t>mFRR</w:t>
      </w:r>
      <w:r w:rsidR="00756873" w:rsidRPr="19C12CC2">
        <w:rPr>
          <w:lang w:val="en-US"/>
        </w:rPr>
        <w:t>)</w:t>
      </w:r>
      <w:r w:rsidRPr="19C12CC2">
        <w:rPr>
          <w:lang w:val="en-US"/>
        </w:rPr>
        <w:t xml:space="preserve"> product for balancing</w:t>
      </w:r>
      <w:r w:rsidR="009B180A" w:rsidRPr="19C12CC2">
        <w:rPr>
          <w:lang w:val="en-US"/>
        </w:rPr>
        <w:t>;</w:t>
      </w:r>
    </w:p>
    <w:p w14:paraId="332537DB" w14:textId="02BD9AEE" w:rsidR="006B431F" w:rsidRPr="00AC3636" w:rsidRDefault="006B431F" w:rsidP="006B431F">
      <w:pPr>
        <w:pStyle w:val="ListParagraph"/>
        <w:numPr>
          <w:ilvl w:val="0"/>
          <w:numId w:val="15"/>
        </w:numPr>
        <w:spacing w:after="120"/>
        <w:contextualSpacing w:val="0"/>
        <w:rPr>
          <w:lang w:val="en-US"/>
        </w:rPr>
      </w:pPr>
      <w:r w:rsidRPr="19C12CC2">
        <w:rPr>
          <w:lang w:val="en-US"/>
        </w:rPr>
        <w:t xml:space="preserve">Specific </w:t>
      </w:r>
      <w:r w:rsidR="008428AE" w:rsidRPr="19C12CC2">
        <w:rPr>
          <w:lang w:val="en-US"/>
        </w:rPr>
        <w:t>Emer</w:t>
      </w:r>
      <w:r w:rsidR="001E3BEF" w:rsidRPr="19C12CC2">
        <w:rPr>
          <w:lang w:val="en-US"/>
        </w:rPr>
        <w:t>gency</w:t>
      </w:r>
      <w:r w:rsidR="00756873" w:rsidRPr="19C12CC2">
        <w:rPr>
          <w:lang w:val="en-US"/>
        </w:rPr>
        <w:t xml:space="preserve"> manual Frequency Restoration Reserve (</w:t>
      </w:r>
      <w:r w:rsidR="006D335B" w:rsidRPr="19C12CC2">
        <w:rPr>
          <w:lang w:val="en-US"/>
        </w:rPr>
        <w:t xml:space="preserve">Baltic </w:t>
      </w:r>
      <w:r w:rsidRPr="19C12CC2">
        <w:rPr>
          <w:b/>
          <w:bCs/>
          <w:lang w:val="en-US"/>
        </w:rPr>
        <w:t>ER mFRR</w:t>
      </w:r>
      <w:r w:rsidR="00756873" w:rsidRPr="19C12CC2">
        <w:rPr>
          <w:b/>
          <w:bCs/>
          <w:lang w:val="en-US"/>
        </w:rPr>
        <w:t>)</w:t>
      </w:r>
      <w:r w:rsidRPr="19C12CC2">
        <w:rPr>
          <w:lang w:val="en-US"/>
        </w:rPr>
        <w:t xml:space="preserve"> product</w:t>
      </w:r>
      <w:r w:rsidR="00014DEB" w:rsidRPr="19C12CC2">
        <w:rPr>
          <w:lang w:val="en-US"/>
        </w:rPr>
        <w:t>s</w:t>
      </w:r>
      <w:r w:rsidR="00A50E31" w:rsidRPr="19C12CC2">
        <w:rPr>
          <w:lang w:val="en-US"/>
        </w:rPr>
        <w:t>:</w:t>
      </w:r>
    </w:p>
    <w:p w14:paraId="25B95FA1" w14:textId="6E6F818F" w:rsidR="00032961" w:rsidRPr="00AC3636" w:rsidRDefault="00A50E31" w:rsidP="00883B5B">
      <w:pPr>
        <w:pStyle w:val="ListParagraph"/>
        <w:numPr>
          <w:ilvl w:val="1"/>
          <w:numId w:val="15"/>
        </w:numPr>
        <w:spacing w:after="120"/>
        <w:ind w:left="1701" w:hanging="283"/>
        <w:contextualSpacing w:val="0"/>
        <w:rPr>
          <w:lang w:val="en-US"/>
        </w:rPr>
      </w:pPr>
      <w:r w:rsidRPr="00AC3636">
        <w:rPr>
          <w:lang w:val="en-US"/>
        </w:rPr>
        <w:t>Norma</w:t>
      </w:r>
      <w:r w:rsidR="004B536F" w:rsidRPr="00AC3636">
        <w:rPr>
          <w:lang w:val="en-US"/>
        </w:rPr>
        <w:t>tive Emergency Capacity Reserve (</w:t>
      </w:r>
      <w:r w:rsidR="004B536F" w:rsidRPr="00AC3636">
        <w:rPr>
          <w:b/>
          <w:bCs/>
          <w:lang w:val="en-US"/>
        </w:rPr>
        <w:t>NERC</w:t>
      </w:r>
      <w:r w:rsidR="004B536F" w:rsidRPr="00AC3636">
        <w:rPr>
          <w:lang w:val="en-US"/>
        </w:rPr>
        <w:t>)</w:t>
      </w:r>
      <w:r w:rsidR="003D434F" w:rsidRPr="00AC3636">
        <w:rPr>
          <w:lang w:val="en-US"/>
        </w:rPr>
        <w:t>;</w:t>
      </w:r>
    </w:p>
    <w:p w14:paraId="60FEC99F" w14:textId="46CA5006" w:rsidR="004B536F" w:rsidRPr="00AC3636" w:rsidRDefault="004628F5" w:rsidP="00883B5B">
      <w:pPr>
        <w:pStyle w:val="ListParagraph"/>
        <w:numPr>
          <w:ilvl w:val="1"/>
          <w:numId w:val="15"/>
        </w:numPr>
        <w:spacing w:after="120"/>
        <w:ind w:left="1701" w:hanging="283"/>
        <w:contextualSpacing w:val="0"/>
        <w:rPr>
          <w:lang w:val="en-US"/>
        </w:rPr>
      </w:pPr>
      <w:r w:rsidRPr="00AC3636">
        <w:rPr>
          <w:lang w:val="en-US"/>
        </w:rPr>
        <w:t>Emergen</w:t>
      </w:r>
      <w:r w:rsidR="00F00E61" w:rsidRPr="00AC3636">
        <w:rPr>
          <w:lang w:val="en-US"/>
        </w:rPr>
        <w:t>cy Capacity Reserve (</w:t>
      </w:r>
      <w:r w:rsidR="00F00E61" w:rsidRPr="00AC3636">
        <w:rPr>
          <w:b/>
          <w:bCs/>
          <w:lang w:val="en-US"/>
        </w:rPr>
        <w:t>ERC</w:t>
      </w:r>
      <w:r w:rsidR="00F00E61" w:rsidRPr="00AC3636">
        <w:rPr>
          <w:lang w:val="en-US"/>
        </w:rPr>
        <w:t>)</w:t>
      </w:r>
      <w:r w:rsidR="003D434F" w:rsidRPr="00AC3636">
        <w:rPr>
          <w:lang w:val="en-US"/>
        </w:rPr>
        <w:t>.</w:t>
      </w:r>
    </w:p>
    <w:p w14:paraId="24C78C5F" w14:textId="7CFA76A4" w:rsidR="00460C14" w:rsidRPr="00CB7A26" w:rsidRDefault="00DE0BE8" w:rsidP="00CB7A26">
      <w:pPr>
        <w:rPr>
          <w:lang w:val="en-US"/>
        </w:rPr>
      </w:pPr>
      <w:r w:rsidRPr="00CB7A26">
        <w:rPr>
          <w:lang w:val="en-US"/>
        </w:rPr>
        <w:t xml:space="preserve">NERC is introduced </w:t>
      </w:r>
      <w:r w:rsidR="00826D1E" w:rsidRPr="00CB7A26">
        <w:rPr>
          <w:lang w:val="en-US"/>
        </w:rPr>
        <w:t xml:space="preserve">as a mandatory </w:t>
      </w:r>
      <w:r w:rsidR="00586F7B" w:rsidRPr="00CB7A26">
        <w:rPr>
          <w:lang w:val="en-US"/>
        </w:rPr>
        <w:t>reserve capacity</w:t>
      </w:r>
      <w:r w:rsidR="00962C3C" w:rsidRPr="00CB7A26">
        <w:rPr>
          <w:lang w:val="en-US"/>
        </w:rPr>
        <w:t xml:space="preserve"> </w:t>
      </w:r>
      <w:r w:rsidR="00B7322E" w:rsidRPr="00CB7A26">
        <w:rPr>
          <w:lang w:val="en-US"/>
        </w:rPr>
        <w:t xml:space="preserve">to cover </w:t>
      </w:r>
      <w:r w:rsidR="00A334D2" w:rsidRPr="00CB7A26">
        <w:rPr>
          <w:lang w:val="en-US"/>
        </w:rPr>
        <w:t xml:space="preserve">Baltic TSOs </w:t>
      </w:r>
      <w:r w:rsidR="00C837AF" w:rsidRPr="00CB7A26">
        <w:rPr>
          <w:lang w:val="en-US"/>
        </w:rPr>
        <w:t xml:space="preserve">obligations over </w:t>
      </w:r>
      <w:r w:rsidR="006F333A" w:rsidRPr="00CB7A26">
        <w:rPr>
          <w:lang w:val="en-US"/>
        </w:rPr>
        <w:t>Agreement on parallel operation of power systems between Russia, Belarus, Lithuania, Latvia and Estonia concluded on February 7, 2001 (hereinafter - BRELL Agreement)</w:t>
      </w:r>
      <w:r w:rsidR="002922C6" w:rsidRPr="00CB7A26">
        <w:rPr>
          <w:lang w:val="en-US"/>
        </w:rPr>
        <w:t xml:space="preserve">. </w:t>
      </w:r>
      <w:r w:rsidR="00A52B35" w:rsidRPr="00CB7A26">
        <w:rPr>
          <w:lang w:val="en-US"/>
        </w:rPr>
        <w:t xml:space="preserve">ERC is introduced separately by each Baltic TSO to </w:t>
      </w:r>
      <w:r w:rsidR="00A11429" w:rsidRPr="00CB7A26">
        <w:rPr>
          <w:lang w:val="en-US"/>
        </w:rPr>
        <w:t xml:space="preserve">ensure the </w:t>
      </w:r>
      <w:r w:rsidR="00572A80" w:rsidRPr="00CB7A26">
        <w:rPr>
          <w:lang w:val="en-US"/>
        </w:rPr>
        <w:t xml:space="preserve">operational security </w:t>
      </w:r>
      <w:r w:rsidR="007E339D" w:rsidRPr="00CB7A26">
        <w:rPr>
          <w:lang w:val="en-US"/>
        </w:rPr>
        <w:t xml:space="preserve">of </w:t>
      </w:r>
      <w:r w:rsidR="007A3205" w:rsidRPr="00CB7A26">
        <w:rPr>
          <w:lang w:val="en-US"/>
        </w:rPr>
        <w:t>their</w:t>
      </w:r>
      <w:r w:rsidR="007E339D" w:rsidRPr="00CB7A26">
        <w:rPr>
          <w:lang w:val="en-US"/>
        </w:rPr>
        <w:t xml:space="preserve"> respective power system. </w:t>
      </w:r>
      <w:r w:rsidR="00382416" w:rsidRPr="00CB7A26">
        <w:rPr>
          <w:lang w:val="en-US"/>
        </w:rPr>
        <w:t>All</w:t>
      </w:r>
      <w:r w:rsidR="00CB1C03" w:rsidRPr="00CB7A26">
        <w:rPr>
          <w:lang w:val="en-US"/>
        </w:rPr>
        <w:t xml:space="preserve"> Baltic balancing products are not compatible with </w:t>
      </w:r>
      <w:r w:rsidR="008034A5" w:rsidRPr="00CB7A26">
        <w:rPr>
          <w:lang w:val="en-US"/>
        </w:rPr>
        <w:t xml:space="preserve">standard products as defined in EBGL </w:t>
      </w:r>
      <w:r w:rsidR="008C6FE2" w:rsidRPr="00CB7A26">
        <w:rPr>
          <w:lang w:val="en-US"/>
        </w:rPr>
        <w:t>articles 25 and 2(36)</w:t>
      </w:r>
      <w:r w:rsidR="006F615A" w:rsidRPr="00CB7A26">
        <w:rPr>
          <w:lang w:val="en-US"/>
        </w:rPr>
        <w:t>.</w:t>
      </w:r>
    </w:p>
    <w:p w14:paraId="06438741" w14:textId="77777777" w:rsidR="00CB7A26" w:rsidRPr="00CB7A26" w:rsidRDefault="00CB7A26" w:rsidP="00CB7A26"/>
    <w:p w14:paraId="7A178D4A" w14:textId="1E1D7CF3" w:rsidR="007D583A" w:rsidRDefault="007D583A" w:rsidP="32262005">
      <w:pPr>
        <w:pStyle w:val="ListParagraph"/>
        <w:spacing w:after="120"/>
        <w:ind w:left="0"/>
        <w:rPr>
          <w:b/>
          <w:bCs/>
          <w:lang w:val="en-US"/>
        </w:rPr>
      </w:pPr>
      <w:r w:rsidRPr="00B55BF9">
        <w:rPr>
          <w:b/>
          <w:bCs/>
          <w:lang w:val="en-US"/>
        </w:rPr>
        <w:t xml:space="preserve">Balancing </w:t>
      </w:r>
      <w:r>
        <w:rPr>
          <w:b/>
          <w:bCs/>
          <w:lang w:val="en-US"/>
        </w:rPr>
        <w:t>capacity</w:t>
      </w:r>
      <w:r w:rsidRPr="00B55BF9">
        <w:rPr>
          <w:b/>
          <w:bCs/>
          <w:lang w:val="en-US"/>
        </w:rPr>
        <w:t xml:space="preserve"> products</w:t>
      </w:r>
    </w:p>
    <w:p w14:paraId="6C4F409B" w14:textId="6BEB97FE" w:rsidR="007D583A" w:rsidRPr="00304020" w:rsidRDefault="007D583A" w:rsidP="007D583A">
      <w:pPr>
        <w:pStyle w:val="ListParagraph"/>
        <w:spacing w:after="120"/>
        <w:ind w:left="0"/>
        <w:contextualSpacing w:val="0"/>
        <w:rPr>
          <w:lang w:val="en-US"/>
        </w:rPr>
      </w:pPr>
      <w:r>
        <w:rPr>
          <w:lang w:val="en-US"/>
        </w:rPr>
        <w:t xml:space="preserve">During the Report period the list of standard products for balancing capacity was defined by TSO in the implementation frameworks and approved by ACER on June 17, </w:t>
      </w:r>
      <w:r w:rsidR="00E059A9">
        <w:rPr>
          <w:lang w:val="en-US"/>
        </w:rPr>
        <w:t>2020,</w:t>
      </w:r>
      <w:r>
        <w:rPr>
          <w:lang w:val="en-US"/>
        </w:rPr>
        <w:t xml:space="preserve"> pursuant to Article 25 point 2 of EBGL.</w:t>
      </w:r>
      <w:r w:rsidR="00BE0DC3">
        <w:rPr>
          <w:lang w:val="en-US"/>
        </w:rPr>
        <w:t xml:space="preserve"> </w:t>
      </w:r>
    </w:p>
    <w:tbl>
      <w:tblPr>
        <w:tblStyle w:val="TableGrid"/>
        <w:tblW w:w="0" w:type="auto"/>
        <w:tblLook w:val="04A0" w:firstRow="1" w:lastRow="0" w:firstColumn="1" w:lastColumn="0" w:noHBand="0" w:noVBand="1"/>
      </w:tblPr>
      <w:tblGrid>
        <w:gridCol w:w="2830"/>
        <w:gridCol w:w="6684"/>
      </w:tblGrid>
      <w:tr w:rsidR="00901F2B" w14:paraId="03F33C70" w14:textId="77777777" w:rsidTr="65F52166">
        <w:tc>
          <w:tcPr>
            <w:tcW w:w="2830" w:type="dxa"/>
          </w:tcPr>
          <w:p w14:paraId="2C17C15A" w14:textId="20630E34" w:rsidR="00901F2B" w:rsidRDefault="00901F2B" w:rsidP="00901F2B">
            <w:pPr>
              <w:pStyle w:val="ListParagraph"/>
              <w:spacing w:after="120"/>
              <w:ind w:left="0"/>
              <w:contextualSpacing w:val="0"/>
              <w:rPr>
                <w:lang w:val="en-US"/>
              </w:rPr>
            </w:pPr>
            <w:r>
              <w:rPr>
                <w:lang w:val="en-US"/>
              </w:rPr>
              <w:t>Litgrid AB</w:t>
            </w:r>
          </w:p>
        </w:tc>
        <w:tc>
          <w:tcPr>
            <w:tcW w:w="6684" w:type="dxa"/>
          </w:tcPr>
          <w:p w14:paraId="5A93A757" w14:textId="701049DE" w:rsidR="00901F2B" w:rsidRDefault="00901F2B" w:rsidP="5173DB8C">
            <w:pPr>
              <w:pStyle w:val="ListParagraph"/>
              <w:spacing w:after="120"/>
              <w:ind w:left="0"/>
              <w:rPr>
                <w:lang w:val="en-US"/>
              </w:rPr>
            </w:pPr>
            <w:r>
              <w:rPr>
                <w:lang w:val="en-US"/>
              </w:rPr>
              <w:t xml:space="preserve">Litgrid AB has implemented the standard balancing capacity </w:t>
            </w:r>
            <w:r w:rsidR="16F0D2F5" w:rsidRPr="2A03795A">
              <w:rPr>
                <w:lang w:val="en-US"/>
              </w:rPr>
              <w:t>product</w:t>
            </w:r>
            <w:r>
              <w:rPr>
                <w:lang w:val="en-US"/>
              </w:rPr>
              <w:t xml:space="preserve"> </w:t>
            </w:r>
            <w:r w:rsidR="5B7AB8FB" w:rsidRPr="5173DB8C">
              <w:rPr>
                <w:lang w:val="en-US"/>
              </w:rPr>
              <w:t xml:space="preserve">in </w:t>
            </w:r>
            <w:r w:rsidR="5B7AB8FB" w:rsidRPr="48847C1E">
              <w:rPr>
                <w:lang w:val="en-US"/>
              </w:rPr>
              <w:t>accordance</w:t>
            </w:r>
            <w:r w:rsidR="75C75336" w:rsidRPr="48847C1E">
              <w:rPr>
                <w:lang w:val="en-US"/>
              </w:rPr>
              <w:t xml:space="preserve"> </w:t>
            </w:r>
            <w:r w:rsidR="1AE857BD" w:rsidRPr="015CBB26">
              <w:rPr>
                <w:lang w:val="en-US"/>
              </w:rPr>
              <w:t>with</w:t>
            </w:r>
            <w:r>
              <w:rPr>
                <w:lang w:val="en-US"/>
              </w:rPr>
              <w:t xml:space="preserve"> the standard terms and conditions </w:t>
            </w:r>
            <w:r w:rsidR="7102D72A" w:rsidRPr="3B3500C4">
              <w:rPr>
                <w:lang w:val="en-US"/>
              </w:rPr>
              <w:t xml:space="preserve">for </w:t>
            </w:r>
            <w:r w:rsidR="7102D72A" w:rsidRPr="24937424">
              <w:rPr>
                <w:lang w:val="en-US"/>
              </w:rPr>
              <w:t xml:space="preserve">balancing service </w:t>
            </w:r>
            <w:r w:rsidR="7102D72A" w:rsidRPr="6D5345DC">
              <w:rPr>
                <w:lang w:val="en-US"/>
              </w:rPr>
              <w:t>providers</w:t>
            </w:r>
            <w:r w:rsidR="7380F5B0" w:rsidRPr="6D5345DC">
              <w:rPr>
                <w:lang w:val="en-US"/>
              </w:rPr>
              <w:t xml:space="preserve"> </w:t>
            </w:r>
            <w:r w:rsidR="7380F5B0" w:rsidRPr="5AE5D3C5">
              <w:rPr>
                <w:lang w:val="en-US"/>
              </w:rPr>
              <w:t xml:space="preserve">which </w:t>
            </w:r>
            <w:r w:rsidR="7380F5B0" w:rsidRPr="332A8657">
              <w:rPr>
                <w:lang w:val="en-US"/>
              </w:rPr>
              <w:t xml:space="preserve">went into </w:t>
            </w:r>
            <w:r w:rsidR="7380F5B0" w:rsidRPr="46F7BB85">
              <w:rPr>
                <w:lang w:val="en-US"/>
              </w:rPr>
              <w:t xml:space="preserve">force </w:t>
            </w:r>
            <w:r w:rsidR="1018FEF6" w:rsidRPr="1F266DE3">
              <w:rPr>
                <w:lang w:val="en-US"/>
              </w:rPr>
              <w:t>on January 1, 2022</w:t>
            </w:r>
            <w:r>
              <w:rPr>
                <w:lang w:val="en-US"/>
              </w:rPr>
              <w:t xml:space="preserve">(BSP agreement). </w:t>
            </w:r>
            <w:r w:rsidR="3B825497" w:rsidRPr="16D793FF">
              <w:rPr>
                <w:lang w:val="en-US"/>
              </w:rPr>
              <w:t xml:space="preserve">In 2023, </w:t>
            </w:r>
            <w:r w:rsidR="0FA7C15B" w:rsidRPr="345C1CFC">
              <w:rPr>
                <w:lang w:val="en-US"/>
              </w:rPr>
              <w:t xml:space="preserve">Litgrid AB has updated </w:t>
            </w:r>
            <w:r w:rsidR="0FA7C15B" w:rsidRPr="6BE50A75">
              <w:rPr>
                <w:lang w:val="en-US"/>
              </w:rPr>
              <w:t xml:space="preserve">the terms and </w:t>
            </w:r>
            <w:r w:rsidR="0FA7C15B" w:rsidRPr="48847C1E">
              <w:rPr>
                <w:lang w:val="en-US"/>
              </w:rPr>
              <w:t>conditions</w:t>
            </w:r>
            <w:r w:rsidR="785F3362" w:rsidRPr="48847C1E">
              <w:rPr>
                <w:lang w:val="en-US"/>
              </w:rPr>
              <w:t xml:space="preserve"> </w:t>
            </w:r>
            <w:r w:rsidR="13A32098" w:rsidRPr="3AAA16C7">
              <w:rPr>
                <w:lang w:val="en-US"/>
              </w:rPr>
              <w:t>which shall</w:t>
            </w:r>
            <w:r w:rsidR="785F3362" w:rsidRPr="48847C1E">
              <w:rPr>
                <w:lang w:val="en-US"/>
              </w:rPr>
              <w:t xml:space="preserve"> go </w:t>
            </w:r>
            <w:r w:rsidR="785F3362" w:rsidRPr="5D278685">
              <w:rPr>
                <w:lang w:val="en-US"/>
              </w:rPr>
              <w:t xml:space="preserve">into force </w:t>
            </w:r>
            <w:r w:rsidR="785F3362" w:rsidRPr="3D4A804B">
              <w:rPr>
                <w:lang w:val="en-US"/>
              </w:rPr>
              <w:t>from</w:t>
            </w:r>
            <w:r w:rsidR="785F3362" w:rsidRPr="5D278685">
              <w:rPr>
                <w:lang w:val="en-US"/>
              </w:rPr>
              <w:t xml:space="preserve"> </w:t>
            </w:r>
            <w:r w:rsidR="00C51AD3">
              <w:rPr>
                <w:lang w:val="en-US"/>
              </w:rPr>
              <w:t xml:space="preserve">Litgrid joining MARI date which is planned </w:t>
            </w:r>
            <w:r w:rsidR="00442A32">
              <w:rPr>
                <w:lang w:val="en-US"/>
              </w:rPr>
              <w:t>on October 8</w:t>
            </w:r>
            <w:r w:rsidR="00442A32" w:rsidRPr="00853F43">
              <w:rPr>
                <w:vertAlign w:val="superscript"/>
                <w:lang w:val="en-US"/>
              </w:rPr>
              <w:t>th</w:t>
            </w:r>
            <w:r w:rsidR="00442A32">
              <w:rPr>
                <w:lang w:val="en-US"/>
              </w:rPr>
              <w:t xml:space="preserve"> 2024</w:t>
            </w:r>
            <w:r w:rsidR="785F3362" w:rsidRPr="3D4A804B">
              <w:rPr>
                <w:lang w:val="en-US"/>
              </w:rPr>
              <w:t>.</w:t>
            </w:r>
          </w:p>
          <w:p w14:paraId="266175DC" w14:textId="05C21F9B" w:rsidR="00901F2B" w:rsidRDefault="00901F2B" w:rsidP="00901F2B">
            <w:pPr>
              <w:pStyle w:val="ListParagraph"/>
              <w:spacing w:after="120"/>
              <w:ind w:left="0"/>
              <w:contextualSpacing w:val="0"/>
              <w:rPr>
                <w:lang w:val="en-US"/>
              </w:rPr>
            </w:pPr>
            <w:r>
              <w:rPr>
                <w:lang w:val="en-US"/>
              </w:rPr>
              <w:t>Link to the standard terms and conditions for BSPs</w:t>
            </w:r>
            <w:r w:rsidR="00124581">
              <w:rPr>
                <w:lang w:val="en-US"/>
              </w:rPr>
              <w:t xml:space="preserve"> could be found </w:t>
            </w:r>
            <w:hyperlink r:id="rId20" w:history="1">
              <w:r w:rsidR="00124581" w:rsidRPr="00124581">
                <w:rPr>
                  <w:rStyle w:val="Hyperlink"/>
                  <w:lang w:val="en-US"/>
                </w:rPr>
                <w:t>here</w:t>
              </w:r>
            </w:hyperlink>
            <w:r w:rsidR="00124581">
              <w:rPr>
                <w:lang w:val="en-US"/>
              </w:rPr>
              <w:t>.</w:t>
            </w:r>
          </w:p>
        </w:tc>
      </w:tr>
      <w:tr w:rsidR="00901F2B" w14:paraId="0679D4FD" w14:textId="77777777" w:rsidTr="65F52166">
        <w:tc>
          <w:tcPr>
            <w:tcW w:w="2830" w:type="dxa"/>
          </w:tcPr>
          <w:p w14:paraId="25623B0E" w14:textId="54A3811A" w:rsidR="00901F2B" w:rsidRDefault="00901F2B" w:rsidP="00901F2B">
            <w:pPr>
              <w:pStyle w:val="ListParagraph"/>
              <w:spacing w:after="120"/>
              <w:ind w:left="0"/>
              <w:contextualSpacing w:val="0"/>
              <w:rPr>
                <w:lang w:val="en-US"/>
              </w:rPr>
            </w:pPr>
            <w:r w:rsidRPr="002C184C">
              <w:rPr>
                <w:color w:val="000000"/>
                <w:lang w:val="en-US"/>
              </w:rPr>
              <w:t>AS “</w:t>
            </w:r>
            <w:r w:rsidRPr="009D34E8">
              <w:rPr>
                <w:lang w:val="en-US"/>
              </w:rPr>
              <w:t>Augstsprieguma</w:t>
            </w:r>
            <w:r w:rsidRPr="002C184C">
              <w:rPr>
                <w:color w:val="000000"/>
                <w:lang w:val="en-US"/>
              </w:rPr>
              <w:t xml:space="preserve"> tīkls” </w:t>
            </w:r>
          </w:p>
        </w:tc>
        <w:tc>
          <w:tcPr>
            <w:tcW w:w="6684" w:type="dxa"/>
          </w:tcPr>
          <w:p w14:paraId="44803B90" w14:textId="3BEEAA15" w:rsidR="00901F2B" w:rsidRDefault="65F52166">
            <w:pPr>
              <w:pStyle w:val="ListParagraph"/>
              <w:spacing w:after="120"/>
              <w:ind w:left="0"/>
              <w:rPr>
                <w:rFonts w:ascii="Calibri" w:eastAsia="Calibri" w:hAnsi="Calibri" w:cs="Calibri"/>
                <w:lang w:val="en-US"/>
              </w:rPr>
            </w:pPr>
            <w:r w:rsidRPr="65F52166">
              <w:rPr>
                <w:rFonts w:ascii="Calibri" w:eastAsia="Calibri" w:hAnsi="Calibri" w:cs="Calibri"/>
                <w:lang w:val="en-US"/>
              </w:rPr>
              <w:t>AST has not introduced or procured balancing capacity in Report period.</w:t>
            </w:r>
          </w:p>
        </w:tc>
      </w:tr>
      <w:tr w:rsidR="00901F2B" w14:paraId="5EFBDF42" w14:textId="77777777" w:rsidTr="65F52166">
        <w:tc>
          <w:tcPr>
            <w:tcW w:w="2830" w:type="dxa"/>
          </w:tcPr>
          <w:p w14:paraId="0AECA0F1" w14:textId="6AE1503B" w:rsidR="00901F2B" w:rsidRDefault="00901F2B" w:rsidP="00901F2B">
            <w:pPr>
              <w:pStyle w:val="ListParagraph"/>
              <w:spacing w:after="120"/>
              <w:ind w:left="0"/>
              <w:contextualSpacing w:val="0"/>
              <w:rPr>
                <w:lang w:val="en-US"/>
              </w:rPr>
            </w:pPr>
            <w:r>
              <w:rPr>
                <w:lang w:val="en-US"/>
              </w:rPr>
              <w:t>Elering AS</w:t>
            </w:r>
          </w:p>
        </w:tc>
        <w:tc>
          <w:tcPr>
            <w:tcW w:w="6684" w:type="dxa"/>
          </w:tcPr>
          <w:p w14:paraId="32E6E56A" w14:textId="520563BC" w:rsidR="00901F2B" w:rsidRDefault="65F52166" w:rsidP="00A94D32">
            <w:pPr>
              <w:pStyle w:val="ListParagraph"/>
              <w:spacing w:after="120"/>
              <w:ind w:left="0"/>
              <w:rPr>
                <w:lang w:val="en-US"/>
              </w:rPr>
            </w:pPr>
            <w:r w:rsidRPr="65F52166">
              <w:rPr>
                <w:lang w:val="en-US"/>
              </w:rPr>
              <w:t>Elering has not introduced or procured balancing capacity in Report period.</w:t>
            </w:r>
          </w:p>
        </w:tc>
      </w:tr>
    </w:tbl>
    <w:p w14:paraId="277B6B61" w14:textId="3764BBBF" w:rsidR="00901F2B" w:rsidRDefault="00304020" w:rsidP="00304020">
      <w:pPr>
        <w:spacing w:after="160" w:line="259" w:lineRule="auto"/>
        <w:rPr>
          <w:lang w:val="en-US"/>
        </w:rPr>
      </w:pPr>
      <w:r>
        <w:rPr>
          <w:lang w:val="en-US"/>
        </w:rPr>
        <w:br w:type="page"/>
      </w:r>
    </w:p>
    <w:p w14:paraId="4922F295" w14:textId="33CFFC2A" w:rsidR="00DD13F5" w:rsidRPr="00AC3636" w:rsidRDefault="009B33F4" w:rsidP="00DD13F5">
      <w:pPr>
        <w:pStyle w:val="headline2"/>
        <w:rPr>
          <w:lang w:val="en-US"/>
        </w:rPr>
      </w:pPr>
      <w:bookmarkStart w:id="31" w:name="_Toc509993360"/>
      <w:bookmarkStart w:id="32" w:name="_Toc510006480"/>
      <w:bookmarkStart w:id="33" w:name="_Toc510507372"/>
      <w:bookmarkStart w:id="34" w:name="_Toc510522099"/>
      <w:bookmarkStart w:id="35" w:name="_Toc513644635"/>
      <w:bookmarkStart w:id="36" w:name="_Toc103766241"/>
      <w:r w:rsidRPr="003F0572">
        <w:rPr>
          <w:lang w:val="en-US"/>
        </w:rPr>
        <w:t xml:space="preserve">Article </w:t>
      </w:r>
      <w:r w:rsidR="007D583A">
        <w:rPr>
          <w:lang w:val="en-US"/>
        </w:rPr>
        <w:t>4</w:t>
      </w:r>
      <w:r w:rsidRPr="003F0572">
        <w:rPr>
          <w:lang w:val="en-US"/>
        </w:rPr>
        <w:br/>
      </w:r>
      <w:bookmarkEnd w:id="29"/>
      <w:bookmarkEnd w:id="30"/>
      <w:bookmarkEnd w:id="31"/>
      <w:bookmarkEnd w:id="32"/>
      <w:bookmarkEnd w:id="33"/>
      <w:bookmarkEnd w:id="34"/>
      <w:bookmarkEnd w:id="35"/>
      <w:r w:rsidR="00DF0E2F" w:rsidRPr="003F0572">
        <w:rPr>
          <w:lang w:val="en-US"/>
        </w:rPr>
        <w:t>Dimensioning of reserves</w:t>
      </w:r>
      <w:bookmarkEnd w:id="36"/>
      <w:r w:rsidR="0075791C" w:rsidRPr="003F0572" w:rsidDel="0075791C">
        <w:rPr>
          <w:lang w:val="en-US"/>
        </w:rPr>
        <w:t xml:space="preserve"> </w:t>
      </w:r>
    </w:p>
    <w:p w14:paraId="2EF572CA" w14:textId="19417C0A" w:rsidR="00152E50" w:rsidRDefault="00152E50" w:rsidP="002C184C">
      <w:pPr>
        <w:pStyle w:val="Heading2"/>
        <w:jc w:val="both"/>
        <w:rPr>
          <w:color w:val="1F3864" w:themeColor="accent1" w:themeShade="80"/>
          <w:sz w:val="22"/>
          <w:szCs w:val="22"/>
          <w:lang w:val="en-US"/>
        </w:rPr>
      </w:pPr>
    </w:p>
    <w:p w14:paraId="667B9655" w14:textId="12A0F1D3" w:rsidR="00F0338F" w:rsidRDefault="00F0338F" w:rsidP="00F0338F">
      <w:pPr>
        <w:pStyle w:val="ListParagraph"/>
        <w:spacing w:after="120"/>
        <w:ind w:left="0"/>
        <w:contextualSpacing w:val="0"/>
        <w:rPr>
          <w:lang w:val="en-US"/>
        </w:rPr>
      </w:pPr>
      <w:r>
        <w:rPr>
          <w:lang w:val="en-US"/>
        </w:rPr>
        <w:t>Pursuant to Article 2(4) of SO GL the Baltic TSOs are exempted from the provisions of SOGL that are related to dimensioning of FCR, FRR and RR. Baltic power systems operate in IPS/UPS synchronous area, therefore dimensioning principles for active power reserves are defined in mutual agreements within IPS/UPS synchronous area and national legislation.</w:t>
      </w:r>
    </w:p>
    <w:p w14:paraId="2E432235" w14:textId="77777777" w:rsidR="00F0338F" w:rsidRDefault="00F0338F" w:rsidP="00F0338F">
      <w:pPr>
        <w:pStyle w:val="ListParagraph"/>
        <w:spacing w:after="120"/>
        <w:ind w:left="0"/>
        <w:contextualSpacing w:val="0"/>
        <w:rPr>
          <w:lang w:val="en-US"/>
        </w:rPr>
      </w:pPr>
      <w:r>
        <w:rPr>
          <w:lang w:val="en-US"/>
        </w:rPr>
        <w:t xml:space="preserve">Baltic TSOs according to agreements with </w:t>
      </w:r>
      <w:r w:rsidRPr="00F21B6F">
        <w:rPr>
          <w:lang w:val="en-US"/>
        </w:rPr>
        <w:t>TSOs and network owners of the common synchronous area (Belarus, Russia, Estonia, Latvia and Lithuania)</w:t>
      </w:r>
      <w:r>
        <w:rPr>
          <w:lang w:val="en-US"/>
        </w:rPr>
        <w:t xml:space="preserve"> (hereinafter – BRELL)</w:t>
      </w:r>
      <w:r w:rsidRPr="00F21B6F">
        <w:rPr>
          <w:lang w:val="en-US"/>
        </w:rPr>
        <w:t xml:space="preserve">, are mutually responsible for </w:t>
      </w:r>
      <w:r>
        <w:rPr>
          <w:lang w:val="en-US"/>
        </w:rPr>
        <w:t xml:space="preserve">maintaining </w:t>
      </w:r>
      <w:r w:rsidRPr="00F21B6F">
        <w:rPr>
          <w:lang w:val="en-US"/>
        </w:rPr>
        <w:t xml:space="preserve">of 100 MW of </w:t>
      </w:r>
      <w:r>
        <w:rPr>
          <w:lang w:val="en-US"/>
        </w:rPr>
        <w:t xml:space="preserve">normative emergency reserve capacity. </w:t>
      </w:r>
    </w:p>
    <w:p w14:paraId="60841CB3" w14:textId="77777777" w:rsidR="00F0338F" w:rsidRDefault="00F0338F" w:rsidP="00F0338F">
      <w:pPr>
        <w:pStyle w:val="ListParagraph"/>
        <w:spacing w:after="120"/>
        <w:ind w:left="0"/>
        <w:contextualSpacing w:val="0"/>
        <w:rPr>
          <w:lang w:val="en-US"/>
        </w:rPr>
      </w:pPr>
      <w:r>
        <w:rPr>
          <w:lang w:val="en-US"/>
        </w:rPr>
        <w:t>Depending on national legislation each Baltic TSO separately applies national requirements for dimensioning of active power reserves.</w:t>
      </w:r>
    </w:p>
    <w:p w14:paraId="474DE9E0" w14:textId="6FF721CF" w:rsidR="00F0338F" w:rsidRPr="001D33C7" w:rsidRDefault="00F0338F" w:rsidP="3FA7BD46">
      <w:pPr>
        <w:pStyle w:val="ListParagraph"/>
        <w:spacing w:after="120"/>
        <w:ind w:left="0"/>
        <w:rPr>
          <w:lang w:val="en-US"/>
        </w:rPr>
      </w:pPr>
      <w:r>
        <w:rPr>
          <w:lang w:val="en-US"/>
        </w:rPr>
        <w:t>Currently,</w:t>
      </w:r>
      <w:r w:rsidRPr="3FA7BD46">
        <w:rPr>
          <w:lang w:val="en-US"/>
        </w:rPr>
        <w:t xml:space="preserve"> </w:t>
      </w:r>
      <w:r w:rsidR="3E0E1D93" w:rsidRPr="3FA7BD46">
        <w:rPr>
          <w:lang w:val="en-US"/>
        </w:rPr>
        <w:t>a</w:t>
      </w:r>
      <w:r>
        <w:rPr>
          <w:lang w:val="en-US"/>
        </w:rPr>
        <w:t xml:space="preserve"> project is ongoing to introduce the common Baltic </w:t>
      </w:r>
      <w:r w:rsidR="03899CA2" w:rsidRPr="2ABE508D">
        <w:rPr>
          <w:lang w:val="en-US"/>
        </w:rPr>
        <w:t>balancing</w:t>
      </w:r>
      <w:r w:rsidRPr="2ABE508D">
        <w:rPr>
          <w:lang w:val="en-US"/>
        </w:rPr>
        <w:t xml:space="preserve"> </w:t>
      </w:r>
      <w:r>
        <w:rPr>
          <w:lang w:val="en-US"/>
        </w:rPr>
        <w:t xml:space="preserve">capacity market for the needs of </w:t>
      </w:r>
      <w:r w:rsidR="51011DCD" w:rsidRPr="2ABE508D">
        <w:rPr>
          <w:lang w:val="en-US"/>
        </w:rPr>
        <w:t xml:space="preserve">the </w:t>
      </w:r>
      <w:r>
        <w:rPr>
          <w:lang w:val="en-US"/>
        </w:rPr>
        <w:t xml:space="preserve">Baltic LFC block. It is foreseen to go live in  </w:t>
      </w:r>
      <w:r w:rsidRPr="2ABE508D">
        <w:rPr>
          <w:lang w:val="en-US"/>
        </w:rPr>
        <w:t>202</w:t>
      </w:r>
      <w:r w:rsidR="233185FE" w:rsidRPr="2ABE508D">
        <w:rPr>
          <w:lang w:val="en-US"/>
        </w:rPr>
        <w:t>5</w:t>
      </w:r>
      <w:r w:rsidRPr="2ABE508D">
        <w:rPr>
          <w:lang w:val="en-US"/>
        </w:rPr>
        <w:t xml:space="preserve"> Q</w:t>
      </w:r>
      <w:r w:rsidR="688FF18F" w:rsidRPr="2ABE508D">
        <w:rPr>
          <w:lang w:val="en-US"/>
        </w:rPr>
        <w:t>1</w:t>
      </w:r>
      <w:r w:rsidRPr="2ABE508D">
        <w:rPr>
          <w:lang w:val="en-US"/>
        </w:rPr>
        <w:t>.</w:t>
      </w:r>
      <w:r>
        <w:rPr>
          <w:lang w:val="en-US"/>
        </w:rPr>
        <w:t xml:space="preserve"> Common procurement of balancing capacity shall allow Baltic TSOs to exchange </w:t>
      </w:r>
      <w:r w:rsidR="2F864DF9" w:rsidRPr="3FA7BD46">
        <w:rPr>
          <w:lang w:val="en-US"/>
        </w:rPr>
        <w:t>and share</w:t>
      </w:r>
      <w:r w:rsidRPr="3FA7BD46">
        <w:rPr>
          <w:lang w:val="en-US"/>
        </w:rPr>
        <w:t xml:space="preserve"> </w:t>
      </w:r>
      <w:r>
        <w:rPr>
          <w:lang w:val="en-US"/>
        </w:rPr>
        <w:t xml:space="preserve"> balancing capacity reserves within </w:t>
      </w:r>
      <w:r w:rsidR="4FE651A5" w:rsidRPr="2ABE508D">
        <w:rPr>
          <w:lang w:val="en-US"/>
        </w:rPr>
        <w:t>the</w:t>
      </w:r>
      <w:r w:rsidRPr="3FA7BD46">
        <w:rPr>
          <w:lang w:val="en-US"/>
        </w:rPr>
        <w:t xml:space="preserve"> </w:t>
      </w:r>
      <w:r>
        <w:rPr>
          <w:lang w:val="en-US"/>
        </w:rPr>
        <w:t xml:space="preserve">Baltic LFC block. </w:t>
      </w:r>
    </w:p>
    <w:p w14:paraId="4B9FB1EB" w14:textId="77777777" w:rsidR="00152E50" w:rsidRPr="00DA0F6D" w:rsidRDefault="00152E50" w:rsidP="00DA0F6D">
      <w:pPr>
        <w:rPr>
          <w:lang w:val="en-US"/>
        </w:rPr>
      </w:pPr>
    </w:p>
    <w:p w14:paraId="53150A33" w14:textId="0EECF079" w:rsidR="007E04D7" w:rsidRPr="007E04D7" w:rsidRDefault="007D583A" w:rsidP="00B44CB6">
      <w:pPr>
        <w:pStyle w:val="headline1"/>
        <w:rPr>
          <w:lang w:val="en-US"/>
        </w:rPr>
      </w:pPr>
      <w:bookmarkStart w:id="37" w:name="_Toc103766242"/>
      <w:r w:rsidRPr="003B2813">
        <w:rPr>
          <w:lang w:val="en-US"/>
        </w:rPr>
        <w:t>4</w:t>
      </w:r>
      <w:r w:rsidR="00DD13F5" w:rsidRPr="003B2813">
        <w:rPr>
          <w:lang w:val="en-US"/>
        </w:rPr>
        <w:t xml:space="preserve">.1 </w:t>
      </w:r>
      <w:r w:rsidR="00DD13F5" w:rsidRPr="00B44CB6">
        <w:t>Litgrid</w:t>
      </w:r>
      <w:r w:rsidR="00DD13F5" w:rsidRPr="003B2813">
        <w:rPr>
          <w:lang w:val="en-US"/>
        </w:rPr>
        <w:t xml:space="preserve"> case</w:t>
      </w:r>
      <w:bookmarkEnd w:id="37"/>
    </w:p>
    <w:p w14:paraId="70D008D2" w14:textId="77777777" w:rsidR="009F6638" w:rsidRPr="00AC3636" w:rsidRDefault="009F6638" w:rsidP="00731844">
      <w:pPr>
        <w:spacing w:afterLines="120" w:after="288"/>
        <w:contextualSpacing/>
        <w:jc w:val="both"/>
        <w:rPr>
          <w:rFonts w:cstheme="minorHAnsi"/>
          <w:lang w:val="en-US"/>
        </w:rPr>
      </w:pPr>
      <w:r w:rsidRPr="00AC3636">
        <w:rPr>
          <w:rFonts w:cstheme="minorHAnsi"/>
          <w:lang w:val="en-US"/>
        </w:rPr>
        <w:t>To ensure the frequency quality and maintain the operational security, following load-frequency control processes and control structures are used by Lithuanian TSO:</w:t>
      </w:r>
    </w:p>
    <w:p w14:paraId="77EF5A7E" w14:textId="308F8BD5" w:rsidR="009F6638" w:rsidRPr="00AC3636" w:rsidRDefault="00F6738E" w:rsidP="00731844">
      <w:pPr>
        <w:pStyle w:val="ListParagraph"/>
        <w:numPr>
          <w:ilvl w:val="0"/>
          <w:numId w:val="16"/>
        </w:numPr>
        <w:spacing w:afterLines="120" w:after="288"/>
        <w:ind w:left="1134" w:hanging="425"/>
        <w:rPr>
          <w:lang w:val="en-US"/>
        </w:rPr>
      </w:pPr>
      <w:r w:rsidRPr="4E5042C0">
        <w:rPr>
          <w:lang w:val="en-US"/>
        </w:rPr>
        <w:t xml:space="preserve">Frequency containment </w:t>
      </w:r>
      <w:r w:rsidR="00241C69" w:rsidRPr="4E5042C0">
        <w:rPr>
          <w:lang w:val="en-US"/>
        </w:rPr>
        <w:t xml:space="preserve">reserves </w:t>
      </w:r>
      <w:r w:rsidR="1C0727BE" w:rsidRPr="4E5042C0">
        <w:rPr>
          <w:lang w:val="en-US"/>
        </w:rPr>
        <w:t>are</w:t>
      </w:r>
      <w:r w:rsidR="00DF1326" w:rsidRPr="4E5042C0">
        <w:rPr>
          <w:lang w:val="en-US"/>
        </w:rPr>
        <w:t xml:space="preserve"> n</w:t>
      </w:r>
      <w:r w:rsidR="009F6638" w:rsidRPr="4E5042C0">
        <w:rPr>
          <w:lang w:val="en-US"/>
        </w:rPr>
        <w:t>ot applied while operating synchronously with IPS/UPS.</w:t>
      </w:r>
    </w:p>
    <w:p w14:paraId="39081E7F" w14:textId="7BF52A15" w:rsidR="009F6638" w:rsidRPr="00AC3636" w:rsidRDefault="00F6738E" w:rsidP="006F7EE3">
      <w:pPr>
        <w:pStyle w:val="ListParagraph"/>
        <w:numPr>
          <w:ilvl w:val="0"/>
          <w:numId w:val="16"/>
        </w:numPr>
        <w:spacing w:afterLines="120" w:after="288"/>
        <w:ind w:left="1134" w:hanging="425"/>
        <w:rPr>
          <w:rFonts w:cstheme="minorHAnsi"/>
          <w:lang w:val="en-US"/>
        </w:rPr>
      </w:pPr>
      <w:r>
        <w:rPr>
          <w:rFonts w:cstheme="minorHAnsi"/>
          <w:lang w:val="en-US"/>
        </w:rPr>
        <w:t>Frequency restoration reserves</w:t>
      </w:r>
      <w:r w:rsidR="009F6638" w:rsidRPr="00AC3636">
        <w:rPr>
          <w:rFonts w:cstheme="minorHAnsi"/>
          <w:lang w:val="en-US"/>
        </w:rPr>
        <w:t xml:space="preserve"> for </w:t>
      </w:r>
      <w:r>
        <w:rPr>
          <w:rFonts w:cstheme="minorHAnsi"/>
          <w:lang w:val="en-US"/>
        </w:rPr>
        <w:t xml:space="preserve">balance </w:t>
      </w:r>
      <w:r w:rsidR="00241C69">
        <w:rPr>
          <w:rFonts w:cstheme="minorHAnsi"/>
          <w:lang w:val="en-US"/>
        </w:rPr>
        <w:t>control</w:t>
      </w:r>
      <w:r w:rsidR="00241C69" w:rsidRPr="00AC3636">
        <w:rPr>
          <w:rFonts w:cstheme="minorHAnsi"/>
          <w:lang w:val="en-US"/>
        </w:rPr>
        <w:t xml:space="preserve"> (</w:t>
      </w:r>
      <w:r w:rsidR="009F6638" w:rsidRPr="00AC3636">
        <w:rPr>
          <w:rFonts w:cstheme="minorHAnsi"/>
          <w:lang w:val="en-US"/>
        </w:rPr>
        <w:t xml:space="preserve">hereafter </w:t>
      </w:r>
      <w:r w:rsidR="001B2DA0" w:rsidRPr="00AC3636">
        <w:rPr>
          <w:rFonts w:cstheme="minorHAnsi"/>
          <w:lang w:val="en-US"/>
        </w:rPr>
        <w:t>– “</w:t>
      </w:r>
      <w:r w:rsidR="001B2DA0" w:rsidRPr="00AC3636">
        <w:rPr>
          <w:rFonts w:cstheme="minorHAnsi"/>
          <w:b/>
          <w:bCs/>
          <w:lang w:val="en-US"/>
        </w:rPr>
        <w:t>B</w:t>
      </w:r>
      <w:r w:rsidR="009F6638" w:rsidRPr="00AC3636">
        <w:rPr>
          <w:rFonts w:cstheme="minorHAnsi"/>
          <w:b/>
          <w:bCs/>
          <w:lang w:val="en-US"/>
        </w:rPr>
        <w:t xml:space="preserve">alance </w:t>
      </w:r>
      <w:r w:rsidR="001B2DA0" w:rsidRPr="00AC3636">
        <w:rPr>
          <w:rFonts w:cstheme="minorHAnsi"/>
          <w:b/>
          <w:bCs/>
          <w:lang w:val="en-US"/>
        </w:rPr>
        <w:t>R</w:t>
      </w:r>
      <w:r w:rsidR="009F6638" w:rsidRPr="00AC3636">
        <w:rPr>
          <w:rFonts w:cstheme="minorHAnsi"/>
          <w:b/>
          <w:bCs/>
          <w:lang w:val="en-US"/>
        </w:rPr>
        <w:t>eserves</w:t>
      </w:r>
      <w:r w:rsidR="001B2DA0" w:rsidRPr="00AC3636">
        <w:rPr>
          <w:rFonts w:cstheme="minorHAnsi"/>
          <w:lang w:val="en-US"/>
        </w:rPr>
        <w:t>”</w:t>
      </w:r>
      <w:r w:rsidR="009F6638" w:rsidRPr="00AC3636">
        <w:rPr>
          <w:rFonts w:cstheme="minorHAnsi"/>
          <w:lang w:val="en-US"/>
        </w:rPr>
        <w:t>).</w:t>
      </w:r>
    </w:p>
    <w:p w14:paraId="0786C79B" w14:textId="23C44E55" w:rsidR="009F6638" w:rsidRPr="00AC3636" w:rsidRDefault="002A5E88" w:rsidP="002A5E88">
      <w:pPr>
        <w:spacing w:afterLines="120" w:after="288"/>
        <w:contextualSpacing/>
        <w:jc w:val="both"/>
        <w:rPr>
          <w:rFonts w:cstheme="minorHAnsi"/>
          <w:lang w:val="en-US"/>
        </w:rPr>
      </w:pPr>
      <w:r>
        <w:rPr>
          <w:rFonts w:cstheme="minorHAnsi"/>
          <w:lang w:val="en-US"/>
        </w:rPr>
        <w:t xml:space="preserve">Daily </w:t>
      </w:r>
      <w:r w:rsidR="00F6738E">
        <w:rPr>
          <w:rFonts w:cstheme="minorHAnsi"/>
          <w:lang w:val="en-US"/>
        </w:rPr>
        <w:t>volume</w:t>
      </w:r>
      <w:r w:rsidR="009F6638" w:rsidRPr="00AC3636">
        <w:rPr>
          <w:rFonts w:cstheme="minorHAnsi"/>
          <w:lang w:val="en-US"/>
        </w:rPr>
        <w:t xml:space="preserve"> of </w:t>
      </w:r>
      <w:r w:rsidR="00302DBD" w:rsidRPr="00AC3636">
        <w:rPr>
          <w:rFonts w:cstheme="minorHAnsi"/>
          <w:lang w:val="en-US"/>
        </w:rPr>
        <w:t>B</w:t>
      </w:r>
      <w:r w:rsidR="009F6638" w:rsidRPr="00AC3636">
        <w:rPr>
          <w:rFonts w:cstheme="minorHAnsi"/>
          <w:lang w:val="en-US"/>
        </w:rPr>
        <w:t xml:space="preserve">alance </w:t>
      </w:r>
      <w:r w:rsidR="00302DBD" w:rsidRPr="00AC3636">
        <w:rPr>
          <w:rFonts w:cstheme="minorHAnsi"/>
          <w:lang w:val="en-US"/>
        </w:rPr>
        <w:t>R</w:t>
      </w:r>
      <w:r w:rsidR="009F6638" w:rsidRPr="00AC3636">
        <w:rPr>
          <w:rFonts w:cstheme="minorHAnsi"/>
          <w:lang w:val="en-US"/>
        </w:rPr>
        <w:t>eserves is obtained based on average of balance deviations,</w:t>
      </w:r>
      <w:r w:rsidR="009F6638" w:rsidRPr="00AC3636">
        <w:rPr>
          <w:rFonts w:cstheme="minorHAnsi"/>
          <w:color w:val="FF0000"/>
          <w:lang w:val="en-US"/>
        </w:rPr>
        <w:t xml:space="preserve"> </w:t>
      </w:r>
      <w:r w:rsidR="009F6638" w:rsidRPr="00AC3636">
        <w:rPr>
          <w:rFonts w:cstheme="minorHAnsi"/>
          <w:lang w:val="en-US"/>
        </w:rPr>
        <w:t xml:space="preserve">taking in account their distribution over months, weeks, days, the permitted amount of </w:t>
      </w:r>
      <w:r w:rsidR="00D13281" w:rsidRPr="00AC3636">
        <w:rPr>
          <w:rFonts w:cstheme="minorHAnsi"/>
          <w:lang w:val="en-US"/>
        </w:rPr>
        <w:t>B</w:t>
      </w:r>
      <w:r w:rsidR="009F6638" w:rsidRPr="00AC3636">
        <w:rPr>
          <w:rFonts w:cstheme="minorHAnsi"/>
          <w:lang w:val="en-US"/>
        </w:rPr>
        <w:t xml:space="preserve">alancing </w:t>
      </w:r>
      <w:r w:rsidR="00D13281" w:rsidRPr="00AC3636">
        <w:rPr>
          <w:rFonts w:cstheme="minorHAnsi"/>
          <w:lang w:val="en-US"/>
        </w:rPr>
        <w:t>R</w:t>
      </w:r>
      <w:r w:rsidR="009F6638" w:rsidRPr="00AC3636">
        <w:rPr>
          <w:rFonts w:cstheme="minorHAnsi"/>
          <w:lang w:val="en-US"/>
        </w:rPr>
        <w:t>eserves from interconnected systems and wind power plants generation deviations.</w:t>
      </w:r>
    </w:p>
    <w:p w14:paraId="58A43423" w14:textId="6F1B666C" w:rsidR="009F6638" w:rsidRDefault="00F6738E" w:rsidP="006F7EE3">
      <w:pPr>
        <w:pStyle w:val="ListParagraph"/>
        <w:numPr>
          <w:ilvl w:val="0"/>
          <w:numId w:val="16"/>
        </w:numPr>
        <w:spacing w:afterLines="120" w:after="288"/>
        <w:ind w:left="1134" w:hanging="425"/>
        <w:rPr>
          <w:rFonts w:cstheme="minorHAnsi"/>
          <w:lang w:val="en-US"/>
        </w:rPr>
      </w:pPr>
      <w:r>
        <w:rPr>
          <w:rFonts w:cstheme="minorHAnsi"/>
          <w:lang w:val="en-US"/>
        </w:rPr>
        <w:t>E</w:t>
      </w:r>
      <w:r w:rsidR="009F6638" w:rsidRPr="00AC3636">
        <w:rPr>
          <w:rFonts w:cstheme="minorHAnsi"/>
          <w:lang w:val="en-US"/>
        </w:rPr>
        <w:t xml:space="preserve">mergency </w:t>
      </w:r>
      <w:r>
        <w:rPr>
          <w:rFonts w:cstheme="minorHAnsi"/>
          <w:lang w:val="en-US"/>
        </w:rPr>
        <w:t xml:space="preserve">Frequency restoration </w:t>
      </w:r>
      <w:r w:rsidR="009F6638" w:rsidRPr="00AC3636">
        <w:rPr>
          <w:rFonts w:cstheme="minorHAnsi"/>
          <w:lang w:val="en-US"/>
        </w:rPr>
        <w:t>reserves (hereafter</w:t>
      </w:r>
      <w:r w:rsidR="0033317F" w:rsidRPr="00AC3636">
        <w:rPr>
          <w:rFonts w:cstheme="minorHAnsi"/>
          <w:lang w:val="en-US"/>
        </w:rPr>
        <w:t xml:space="preserve"> </w:t>
      </w:r>
      <w:r w:rsidR="00664641" w:rsidRPr="00AC3636">
        <w:rPr>
          <w:rFonts w:cstheme="minorHAnsi"/>
          <w:lang w:val="en-US"/>
        </w:rPr>
        <w:t>- “</w:t>
      </w:r>
      <w:r w:rsidR="0033317F" w:rsidRPr="00AC3636">
        <w:rPr>
          <w:rFonts w:cstheme="minorHAnsi"/>
          <w:b/>
          <w:bCs/>
          <w:lang w:val="en-US"/>
        </w:rPr>
        <w:t>E</w:t>
      </w:r>
      <w:r w:rsidR="009F6638" w:rsidRPr="00AC3636">
        <w:rPr>
          <w:rFonts w:cstheme="minorHAnsi"/>
          <w:b/>
          <w:bCs/>
          <w:lang w:val="en-US"/>
        </w:rPr>
        <w:t xml:space="preserve">mergency </w:t>
      </w:r>
      <w:r w:rsidR="0033317F" w:rsidRPr="00AC3636">
        <w:rPr>
          <w:rFonts w:cstheme="minorHAnsi"/>
          <w:b/>
          <w:bCs/>
          <w:lang w:val="en-US"/>
        </w:rPr>
        <w:t>R</w:t>
      </w:r>
      <w:r w:rsidR="009F6638" w:rsidRPr="00AC3636">
        <w:rPr>
          <w:rFonts w:cstheme="minorHAnsi"/>
          <w:b/>
          <w:bCs/>
          <w:lang w:val="en-US"/>
        </w:rPr>
        <w:t>eserves</w:t>
      </w:r>
      <w:r w:rsidR="0033317F" w:rsidRPr="00AC3636">
        <w:rPr>
          <w:rFonts w:cstheme="minorHAnsi"/>
          <w:lang w:val="en-US"/>
        </w:rPr>
        <w:t>”</w:t>
      </w:r>
      <w:r w:rsidR="009F6638" w:rsidRPr="00AC3636">
        <w:rPr>
          <w:rFonts w:cstheme="minorHAnsi"/>
          <w:lang w:val="en-US"/>
        </w:rPr>
        <w:t>)</w:t>
      </w:r>
      <w:r w:rsidR="007E04D7">
        <w:rPr>
          <w:rFonts w:cstheme="minorHAnsi"/>
          <w:lang w:val="en-US"/>
        </w:rPr>
        <w:t>.</w:t>
      </w:r>
    </w:p>
    <w:p w14:paraId="661D71AB" w14:textId="77777777" w:rsidR="00F21B6F" w:rsidRPr="00AC3636" w:rsidRDefault="00F21B6F" w:rsidP="002A5E88">
      <w:pPr>
        <w:pStyle w:val="ListParagraph"/>
        <w:spacing w:afterLines="120" w:after="288"/>
        <w:ind w:left="0"/>
        <w:rPr>
          <w:rFonts w:cstheme="minorHAnsi"/>
          <w:lang w:val="en-US"/>
        </w:rPr>
      </w:pPr>
    </w:p>
    <w:p w14:paraId="346E296E" w14:textId="5D969BFA" w:rsidR="00F21B6F" w:rsidRPr="00AC3636" w:rsidRDefault="00C05E22" w:rsidP="002A5E88">
      <w:pPr>
        <w:pStyle w:val="ListParagraph"/>
        <w:spacing w:afterLines="120" w:after="288"/>
        <w:ind w:left="0"/>
        <w:rPr>
          <w:rFonts w:cstheme="minorHAnsi"/>
          <w:lang w:val="en-US"/>
        </w:rPr>
      </w:pPr>
      <w:r>
        <w:rPr>
          <w:rFonts w:cstheme="minorHAnsi"/>
          <w:lang w:val="en-US"/>
        </w:rPr>
        <w:t>Emergency</w:t>
      </w:r>
      <w:r w:rsidR="00F21B6F" w:rsidRPr="00AC3636">
        <w:rPr>
          <w:rFonts w:cstheme="minorHAnsi"/>
          <w:lang w:val="en-US"/>
        </w:rPr>
        <w:t xml:space="preserve"> reserve must be fully activated within a period of time which is smaller than 15 minutes. The service provider is obligated to ensure that the active power output will be maintained for at least 12 hours.</w:t>
      </w:r>
    </w:p>
    <w:p w14:paraId="2E7110B6" w14:textId="0D5D0D18" w:rsidR="009F6638" w:rsidRPr="00AC3636" w:rsidRDefault="00F6738E" w:rsidP="002A5E88">
      <w:pPr>
        <w:spacing w:afterLines="120" w:after="288"/>
        <w:contextualSpacing/>
        <w:jc w:val="both"/>
        <w:rPr>
          <w:rFonts w:cstheme="minorHAnsi"/>
          <w:lang w:val="en-US"/>
        </w:rPr>
      </w:pPr>
      <w:r>
        <w:rPr>
          <w:rFonts w:cstheme="minorHAnsi"/>
          <w:lang w:val="en-US"/>
        </w:rPr>
        <w:t>Volume</w:t>
      </w:r>
      <w:r w:rsidR="009F6638" w:rsidRPr="00AC3636">
        <w:rPr>
          <w:rFonts w:cstheme="minorHAnsi"/>
          <w:lang w:val="en-US"/>
        </w:rPr>
        <w:t xml:space="preserve"> of </w:t>
      </w:r>
      <w:r w:rsidR="0033317F" w:rsidRPr="00AC3636">
        <w:rPr>
          <w:rFonts w:cstheme="minorHAnsi"/>
          <w:lang w:val="en-US"/>
        </w:rPr>
        <w:t>E</w:t>
      </w:r>
      <w:r w:rsidR="009F6638" w:rsidRPr="00AC3636">
        <w:rPr>
          <w:rFonts w:cstheme="minorHAnsi"/>
          <w:lang w:val="en-US"/>
        </w:rPr>
        <w:t xml:space="preserve">mergency </w:t>
      </w:r>
      <w:r w:rsidR="0033317F" w:rsidRPr="00AC3636">
        <w:rPr>
          <w:rFonts w:cstheme="minorHAnsi"/>
          <w:lang w:val="en-US"/>
        </w:rPr>
        <w:t>R</w:t>
      </w:r>
      <w:r w:rsidR="009F6638" w:rsidRPr="00AC3636">
        <w:rPr>
          <w:rFonts w:cstheme="minorHAnsi"/>
          <w:lang w:val="en-US"/>
        </w:rPr>
        <w:t xml:space="preserve">eserves is obtained based on largest contingency, considering possibly support of </w:t>
      </w:r>
      <w:r w:rsidR="0033317F" w:rsidRPr="00AC3636">
        <w:rPr>
          <w:rFonts w:cstheme="minorHAnsi"/>
          <w:lang w:val="en-US"/>
        </w:rPr>
        <w:t>E</w:t>
      </w:r>
      <w:r w:rsidR="009F6638" w:rsidRPr="00AC3636">
        <w:rPr>
          <w:rFonts w:cstheme="minorHAnsi"/>
          <w:lang w:val="en-US"/>
        </w:rPr>
        <w:t xml:space="preserve">mergency </w:t>
      </w:r>
      <w:r w:rsidR="0033317F" w:rsidRPr="00AC3636">
        <w:rPr>
          <w:rFonts w:cstheme="minorHAnsi"/>
          <w:lang w:val="en-US"/>
        </w:rPr>
        <w:t>R</w:t>
      </w:r>
      <w:r w:rsidR="009F6638" w:rsidRPr="00AC3636">
        <w:rPr>
          <w:rFonts w:cstheme="minorHAnsi"/>
          <w:lang w:val="en-US"/>
        </w:rPr>
        <w:t>eserves from neighboring TSO’s. The largest contingency shall be:</w:t>
      </w:r>
    </w:p>
    <w:p w14:paraId="429AE278" w14:textId="620D4C9E" w:rsidR="009F6638" w:rsidRPr="00AC3636" w:rsidRDefault="009F6638" w:rsidP="00731844">
      <w:pPr>
        <w:pStyle w:val="ListParagraph"/>
        <w:numPr>
          <w:ilvl w:val="1"/>
          <w:numId w:val="16"/>
        </w:numPr>
        <w:spacing w:afterLines="120" w:after="288"/>
        <w:ind w:left="1701" w:hanging="425"/>
        <w:rPr>
          <w:rFonts w:cstheme="minorHAnsi"/>
          <w:lang w:val="en-US"/>
        </w:rPr>
      </w:pPr>
      <w:r w:rsidRPr="00AC3636">
        <w:rPr>
          <w:rFonts w:cstheme="minorHAnsi"/>
          <w:lang w:val="en-US"/>
        </w:rPr>
        <w:t>Generation unit or HVDC line disconnection</w:t>
      </w:r>
      <w:r w:rsidR="000B404C" w:rsidRPr="00AC3636">
        <w:rPr>
          <w:rFonts w:cstheme="minorHAnsi"/>
          <w:lang w:val="en-US"/>
        </w:rPr>
        <w:t>;</w:t>
      </w:r>
    </w:p>
    <w:p w14:paraId="4AEEF2F4" w14:textId="225D9DD0" w:rsidR="009F6638" w:rsidRPr="00AC3636" w:rsidRDefault="009F6638" w:rsidP="00731844">
      <w:pPr>
        <w:pStyle w:val="ListParagraph"/>
        <w:numPr>
          <w:ilvl w:val="1"/>
          <w:numId w:val="16"/>
        </w:numPr>
        <w:spacing w:afterLines="120" w:after="288"/>
        <w:ind w:left="1701" w:hanging="425"/>
        <w:rPr>
          <w:rFonts w:cstheme="minorHAnsi"/>
          <w:lang w:val="en-US"/>
        </w:rPr>
      </w:pPr>
      <w:r w:rsidRPr="00AC3636">
        <w:rPr>
          <w:rFonts w:cstheme="minorHAnsi"/>
          <w:lang w:val="en-US"/>
        </w:rPr>
        <w:t>Overloads of Cross-border tie lines</w:t>
      </w:r>
      <w:r w:rsidR="00B76D58" w:rsidRPr="00AC3636">
        <w:rPr>
          <w:rFonts w:cstheme="minorHAnsi"/>
          <w:lang w:val="en-US"/>
        </w:rPr>
        <w:t>;</w:t>
      </w:r>
    </w:p>
    <w:p w14:paraId="4BEB60EB" w14:textId="77777777" w:rsidR="009F6638" w:rsidRPr="00AC3636" w:rsidRDefault="009F6638" w:rsidP="00731844">
      <w:pPr>
        <w:pStyle w:val="ListParagraph"/>
        <w:numPr>
          <w:ilvl w:val="1"/>
          <w:numId w:val="16"/>
        </w:numPr>
        <w:spacing w:afterLines="120" w:after="288"/>
        <w:ind w:left="1701" w:hanging="425"/>
        <w:rPr>
          <w:rFonts w:cstheme="minorHAnsi"/>
          <w:lang w:val="en-US"/>
        </w:rPr>
      </w:pPr>
      <w:r w:rsidRPr="00AC3636">
        <w:rPr>
          <w:rFonts w:cstheme="minorHAnsi"/>
          <w:lang w:val="en-US"/>
        </w:rPr>
        <w:t>Emergency reduction of Wind-power plants generation.</w:t>
      </w:r>
    </w:p>
    <w:p w14:paraId="1FF1EEE4" w14:textId="77777777" w:rsidR="009F6638" w:rsidRPr="00AC3636" w:rsidRDefault="009F6638" w:rsidP="00731844">
      <w:pPr>
        <w:pStyle w:val="ListParagraph"/>
        <w:spacing w:afterLines="120" w:after="288"/>
        <w:ind w:left="993"/>
        <w:rPr>
          <w:rFonts w:cstheme="minorHAnsi"/>
          <w:lang w:val="en-US"/>
        </w:rPr>
      </w:pPr>
    </w:p>
    <w:p w14:paraId="19F46CE2" w14:textId="3D18B7B6" w:rsidR="00DD13F5" w:rsidRPr="00AC3636" w:rsidRDefault="007D583A" w:rsidP="00B44CB6">
      <w:pPr>
        <w:pStyle w:val="headline1"/>
        <w:rPr>
          <w:lang w:val="en-US"/>
        </w:rPr>
      </w:pPr>
      <w:bookmarkStart w:id="38" w:name="_Toc103766243"/>
      <w:r w:rsidRPr="65F52166">
        <w:rPr>
          <w:lang w:val="en-US"/>
        </w:rPr>
        <w:t>4</w:t>
      </w:r>
      <w:r w:rsidR="00DD13F5" w:rsidRPr="65F52166">
        <w:rPr>
          <w:lang w:val="en-US"/>
        </w:rPr>
        <w:t>.2 AST case</w:t>
      </w:r>
      <w:bookmarkEnd w:id="38"/>
    </w:p>
    <w:p w14:paraId="534B5334" w14:textId="4E137005" w:rsidR="007E04D7" w:rsidRPr="007E04D7" w:rsidRDefault="007E04D7" w:rsidP="007E04D7">
      <w:pPr>
        <w:pStyle w:val="ListParagraph"/>
        <w:spacing w:after="120"/>
        <w:ind w:left="0"/>
        <w:contextualSpacing w:val="0"/>
        <w:rPr>
          <w:lang w:val="en-US"/>
        </w:rPr>
      </w:pPr>
      <w:r w:rsidRPr="007E04D7">
        <w:rPr>
          <w:lang w:val="en-US"/>
        </w:rPr>
        <w:t xml:space="preserve">For Report period AST did not procure reserve capacity in a sense as it is described in SOGL and in EBGL. </w:t>
      </w:r>
    </w:p>
    <w:p w14:paraId="72B627BB" w14:textId="4B81B250" w:rsidR="007E04D7" w:rsidRPr="007E04D7" w:rsidRDefault="007E04D7" w:rsidP="007E04D7">
      <w:pPr>
        <w:pStyle w:val="ListParagraph"/>
        <w:spacing w:after="120"/>
        <w:ind w:left="0"/>
        <w:contextualSpacing w:val="0"/>
        <w:rPr>
          <w:lang w:val="en-US"/>
        </w:rPr>
      </w:pPr>
      <w:r w:rsidRPr="007E04D7">
        <w:rPr>
          <w:lang w:val="en-US"/>
        </w:rPr>
        <w:t>For Report period Latvian TSO was operating in a single synchronous zone with the Unified Power System of Russia (IPS/UPS), according to the mutual agreement between BRELL states (Belarus, Russia, Estonia, Latvia and Lithuania) frequency containment activities are provided by the Russian power system. Accordingly, frequency containment reserves</w:t>
      </w:r>
      <w:r>
        <w:rPr>
          <w:lang w:val="en-US"/>
        </w:rPr>
        <w:t xml:space="preserve"> </w:t>
      </w:r>
      <w:r w:rsidRPr="007E04D7">
        <w:rPr>
          <w:lang w:val="en-US"/>
        </w:rPr>
        <w:t>and automatic frequency restoration reserves are not applied for Report period.</w:t>
      </w:r>
    </w:p>
    <w:p w14:paraId="511F2320" w14:textId="77777777" w:rsidR="007E04D7" w:rsidRPr="007E04D7" w:rsidRDefault="007E04D7" w:rsidP="007E04D7">
      <w:pPr>
        <w:pStyle w:val="ListParagraph"/>
        <w:spacing w:after="120"/>
        <w:ind w:left="0"/>
        <w:contextualSpacing w:val="0"/>
        <w:rPr>
          <w:lang w:val="en-US"/>
        </w:rPr>
      </w:pPr>
      <w:r w:rsidRPr="007E04D7">
        <w:rPr>
          <w:lang w:val="en-US"/>
        </w:rPr>
        <w:t>To fulfil BRELL agreement and maintain operation stability Emergency reserves of 100 MW is procured to ensure system security in emergency situations. All of the procured reserve capacities are classified as Normative Emergency Capacity Reserve (NERC). For Latvian TSO in Report period additional Frequency restoration reserves for balance control are not procured.</w:t>
      </w:r>
    </w:p>
    <w:p w14:paraId="32935592" w14:textId="3DABA1AD" w:rsidR="007E04D7" w:rsidRPr="007E04D7" w:rsidRDefault="007E04D7" w:rsidP="007E04D7">
      <w:pPr>
        <w:pStyle w:val="ListParagraph"/>
        <w:spacing w:after="120"/>
        <w:ind w:left="0"/>
        <w:contextualSpacing w:val="0"/>
        <w:rPr>
          <w:lang w:val="en-US"/>
        </w:rPr>
      </w:pPr>
      <w:r w:rsidRPr="007E04D7">
        <w:rPr>
          <w:lang w:val="en-US"/>
        </w:rPr>
        <w:t xml:space="preserve">Dimensioning of procured capacity reserves (100 MW) is set by </w:t>
      </w:r>
      <w:r w:rsidR="006F333A" w:rsidRPr="2FD85353">
        <w:rPr>
          <w:lang w:val="en-US"/>
        </w:rPr>
        <w:t>BRELL agreement</w:t>
      </w:r>
      <w:r w:rsidR="00023017">
        <w:rPr>
          <w:lang w:val="en-US"/>
        </w:rPr>
        <w:t xml:space="preserve"> </w:t>
      </w:r>
      <w:r w:rsidR="00023017" w:rsidRPr="60DC47FD">
        <w:rPr>
          <w:lang w:val="en-US"/>
        </w:rPr>
        <w:t>and the subsequent Agreement on the maintenance and use of the normative emergency power reserves in the BRELL ring (hereafter - NARM agreement).</w:t>
      </w:r>
      <w:r w:rsidR="00023017" w:rsidRPr="2FD85353">
        <w:rPr>
          <w:lang w:val="en-US"/>
        </w:rPr>
        <w:t xml:space="preserve"> </w:t>
      </w:r>
      <w:r w:rsidR="006F333A" w:rsidRPr="2FD85353">
        <w:rPr>
          <w:lang w:val="en-US"/>
        </w:rPr>
        <w:t xml:space="preserve"> </w:t>
      </w:r>
      <w:r w:rsidRPr="007E04D7">
        <w:rPr>
          <w:lang w:val="en-US"/>
        </w:rPr>
        <w:t xml:space="preserve"> </w:t>
      </w:r>
    </w:p>
    <w:p w14:paraId="59469ECD" w14:textId="7D6EFE31" w:rsidR="007E04D7" w:rsidRDefault="007E04D7" w:rsidP="007E04D7">
      <w:pPr>
        <w:pStyle w:val="ListParagraph"/>
        <w:spacing w:after="120"/>
        <w:ind w:left="0"/>
        <w:contextualSpacing w:val="0"/>
        <w:rPr>
          <w:lang w:val="en-US"/>
        </w:rPr>
      </w:pPr>
      <w:r w:rsidRPr="007E04D7">
        <w:rPr>
          <w:lang w:val="en-US"/>
        </w:rPr>
        <w:t>Volume of Emergency Reserves is obtained based on largest contingency, considering possibly support of Emergency Reserves from neighboring TSO’s. The largest contingency shall be:</w:t>
      </w:r>
    </w:p>
    <w:p w14:paraId="54C0A461" w14:textId="77777777" w:rsidR="007E04D7" w:rsidRDefault="007E04D7" w:rsidP="007E04D7">
      <w:pPr>
        <w:pStyle w:val="ListParagraph"/>
        <w:numPr>
          <w:ilvl w:val="0"/>
          <w:numId w:val="24"/>
        </w:numPr>
        <w:spacing w:after="0"/>
        <w:ind w:left="714" w:hanging="357"/>
        <w:contextualSpacing w:val="0"/>
        <w:rPr>
          <w:lang w:val="en-US"/>
        </w:rPr>
      </w:pPr>
      <w:r w:rsidRPr="007E04D7">
        <w:rPr>
          <w:lang w:val="en-US"/>
        </w:rPr>
        <w:t>Generation unit disconnection;</w:t>
      </w:r>
    </w:p>
    <w:p w14:paraId="0DF32F46" w14:textId="359FF682" w:rsidR="007E04D7" w:rsidRPr="007E04D7" w:rsidRDefault="007E04D7" w:rsidP="007E04D7">
      <w:pPr>
        <w:pStyle w:val="ListParagraph"/>
        <w:numPr>
          <w:ilvl w:val="0"/>
          <w:numId w:val="24"/>
        </w:numPr>
        <w:spacing w:after="120"/>
        <w:contextualSpacing w:val="0"/>
        <w:rPr>
          <w:lang w:val="en-US"/>
        </w:rPr>
      </w:pPr>
      <w:r w:rsidRPr="007E04D7">
        <w:rPr>
          <w:lang w:val="en-US"/>
        </w:rPr>
        <w:t>Overloads of Cross-border tie lines;</w:t>
      </w:r>
    </w:p>
    <w:p w14:paraId="39B7FBFD" w14:textId="456946E7" w:rsidR="007E04D7" w:rsidRDefault="007E04D7" w:rsidP="007E04D7">
      <w:pPr>
        <w:pStyle w:val="ListParagraph"/>
        <w:spacing w:after="120"/>
        <w:ind w:left="0"/>
        <w:contextualSpacing w:val="0"/>
        <w:rPr>
          <w:lang w:val="en-US"/>
        </w:rPr>
      </w:pPr>
      <w:r w:rsidRPr="007E04D7">
        <w:rPr>
          <w:lang w:val="en-US"/>
        </w:rPr>
        <w:t>For Report period Replacement reserves are not applied by Latvian TSO.</w:t>
      </w:r>
    </w:p>
    <w:p w14:paraId="0BAFD0B0" w14:textId="7AA80A8B" w:rsidR="00505812" w:rsidRPr="00505812" w:rsidRDefault="000C568D" w:rsidP="007E04D7">
      <w:pPr>
        <w:pStyle w:val="ListParagraph"/>
        <w:spacing w:after="120"/>
        <w:ind w:left="0"/>
        <w:contextualSpacing w:val="0"/>
        <w:rPr>
          <w:lang w:val="en-US"/>
        </w:rPr>
      </w:pPr>
      <w:r>
        <w:rPr>
          <w:lang w:val="en-US"/>
        </w:rPr>
        <w:t xml:space="preserve">For Report period </w:t>
      </w:r>
      <w:r w:rsidR="00505812" w:rsidRPr="00505812">
        <w:rPr>
          <w:lang w:val="en-US"/>
        </w:rPr>
        <w:t xml:space="preserve">AST </w:t>
      </w:r>
      <w:r w:rsidRPr="00505812">
        <w:rPr>
          <w:lang w:val="en-US"/>
        </w:rPr>
        <w:t>d</w:t>
      </w:r>
      <w:r>
        <w:rPr>
          <w:lang w:val="en-US"/>
        </w:rPr>
        <w:t>id not</w:t>
      </w:r>
      <w:r w:rsidRPr="00505812">
        <w:rPr>
          <w:lang w:val="en-US"/>
        </w:rPr>
        <w:t xml:space="preserve"> </w:t>
      </w:r>
      <w:r w:rsidR="00505812" w:rsidRPr="00505812">
        <w:rPr>
          <w:lang w:val="en-US"/>
        </w:rPr>
        <w:t xml:space="preserve">procure reserve capacity in a sense as it is described in SOGL and in EBGL. </w:t>
      </w:r>
    </w:p>
    <w:p w14:paraId="6801BF76" w14:textId="758A481B" w:rsidR="007E04D7" w:rsidRPr="007E04D7" w:rsidRDefault="000C568D" w:rsidP="00FB2F89">
      <w:pPr>
        <w:pStyle w:val="ListParagraph"/>
        <w:spacing w:after="120" w:line="360" w:lineRule="auto"/>
        <w:ind w:left="0"/>
        <w:contextualSpacing w:val="0"/>
        <w:rPr>
          <w:lang w:val="en-US"/>
        </w:rPr>
      </w:pPr>
      <w:r>
        <w:rPr>
          <w:lang w:val="en-US"/>
        </w:rPr>
        <w:t xml:space="preserve">For Report period additional </w:t>
      </w:r>
      <w:r w:rsidR="00C12AE8" w:rsidRPr="007E04D7">
        <w:rPr>
          <w:lang w:val="en-US"/>
        </w:rPr>
        <w:t>Replacement reserves are not applied by Latvian TSO.</w:t>
      </w:r>
    </w:p>
    <w:p w14:paraId="73A89651" w14:textId="0DD624CE" w:rsidR="00AC3636" w:rsidRPr="00AC3636" w:rsidRDefault="007D583A" w:rsidP="00B44CB6">
      <w:pPr>
        <w:pStyle w:val="headline1"/>
        <w:rPr>
          <w:lang w:val="en-US"/>
        </w:rPr>
      </w:pPr>
      <w:bookmarkStart w:id="39" w:name="_Toc103766244"/>
      <w:r w:rsidRPr="65F52166">
        <w:rPr>
          <w:lang w:val="en-US"/>
        </w:rPr>
        <w:t>4</w:t>
      </w:r>
      <w:r w:rsidR="00DD13F5" w:rsidRPr="65F52166">
        <w:rPr>
          <w:lang w:val="en-US"/>
        </w:rPr>
        <w:t>.3 Elering case</w:t>
      </w:r>
      <w:bookmarkEnd w:id="39"/>
    </w:p>
    <w:p w14:paraId="09F4228C" w14:textId="77777777" w:rsidR="00AC3636" w:rsidRPr="00AC3636" w:rsidRDefault="00AC3636" w:rsidP="007E04D7">
      <w:pPr>
        <w:pStyle w:val="ListParagraph"/>
        <w:spacing w:after="120"/>
        <w:ind w:left="0"/>
        <w:rPr>
          <w:lang w:val="en-US"/>
        </w:rPr>
      </w:pPr>
      <w:bookmarkStart w:id="40" w:name="_Toc432586772"/>
      <w:bookmarkStart w:id="41" w:name="_Toc432586792"/>
      <w:r w:rsidRPr="00AC3636">
        <w:rPr>
          <w:lang w:val="en-US"/>
        </w:rPr>
        <w:t xml:space="preserve">The reserve capacity requirement is calculated taking into account: </w:t>
      </w:r>
    </w:p>
    <w:p w14:paraId="75DE1944" w14:textId="77777777" w:rsidR="00AC3636" w:rsidRPr="00AC3636" w:rsidRDefault="00AC3636" w:rsidP="00AC3636">
      <w:pPr>
        <w:pStyle w:val="ListParagraph"/>
        <w:spacing w:after="120"/>
        <w:ind w:left="360"/>
        <w:rPr>
          <w:lang w:val="en-US"/>
        </w:rPr>
      </w:pPr>
    </w:p>
    <w:p w14:paraId="647C3FAF" w14:textId="184CD582" w:rsidR="00AC3636" w:rsidRPr="00AC3636" w:rsidRDefault="007E04D7" w:rsidP="00AC3636">
      <w:pPr>
        <w:pStyle w:val="ListParagraph"/>
        <w:numPr>
          <w:ilvl w:val="0"/>
          <w:numId w:val="19"/>
        </w:numPr>
        <w:spacing w:after="120"/>
        <w:rPr>
          <w:lang w:val="en-US"/>
        </w:rPr>
      </w:pPr>
      <w:r>
        <w:rPr>
          <w:lang w:val="en-US"/>
        </w:rPr>
        <w:t>T</w:t>
      </w:r>
      <w:r w:rsidR="00AC3636" w:rsidRPr="00AC3636">
        <w:rPr>
          <w:lang w:val="en-US"/>
        </w:rPr>
        <w:t xml:space="preserve">he contingency of the largest electrical element in the respective power system; </w:t>
      </w:r>
    </w:p>
    <w:p w14:paraId="0DA411B1" w14:textId="782C1C6F" w:rsidR="00AC3636" w:rsidRPr="00AC3636" w:rsidRDefault="007E04D7" w:rsidP="00AC3636">
      <w:pPr>
        <w:pStyle w:val="ListParagraph"/>
        <w:numPr>
          <w:ilvl w:val="0"/>
          <w:numId w:val="19"/>
        </w:numPr>
        <w:spacing w:after="120"/>
        <w:rPr>
          <w:lang w:val="en-US"/>
        </w:rPr>
      </w:pPr>
      <w:r>
        <w:rPr>
          <w:lang w:val="en-US"/>
        </w:rPr>
        <w:t>R</w:t>
      </w:r>
      <w:r w:rsidR="00AC3636" w:rsidRPr="00AC3636">
        <w:rPr>
          <w:lang w:val="en-US"/>
        </w:rPr>
        <w:t xml:space="preserve">eserves made available through the sharing of reserves. </w:t>
      </w:r>
    </w:p>
    <w:p w14:paraId="6A47631A" w14:textId="77777777" w:rsidR="00AC3636" w:rsidRPr="00AC3636" w:rsidRDefault="00AC3636" w:rsidP="00AC3636">
      <w:pPr>
        <w:pStyle w:val="ListParagraph"/>
        <w:spacing w:after="120"/>
        <w:ind w:left="360"/>
        <w:rPr>
          <w:lang w:val="en-US"/>
        </w:rPr>
      </w:pPr>
    </w:p>
    <w:p w14:paraId="4FB1D84D" w14:textId="77777777" w:rsidR="00AC3636" w:rsidRPr="00AC3636" w:rsidRDefault="00AC3636" w:rsidP="007E04D7">
      <w:pPr>
        <w:pStyle w:val="ListParagraph"/>
        <w:spacing w:after="120"/>
        <w:ind w:left="0"/>
        <w:rPr>
          <w:lang w:val="en-US"/>
        </w:rPr>
      </w:pPr>
      <w:r w:rsidRPr="00AC3636">
        <w:rPr>
          <w:lang w:val="en-US"/>
        </w:rPr>
        <w:t>In Estonia, the largest electrical element is Estlink-2, an HVDC interconnector between Estonia and Finland with a total flow capacity of 650 MW.</w:t>
      </w:r>
    </w:p>
    <w:p w14:paraId="74C3E579" w14:textId="77777777" w:rsidR="00AC3636" w:rsidRPr="00AC3636" w:rsidRDefault="00AC3636" w:rsidP="00AC3636">
      <w:pPr>
        <w:pStyle w:val="ListParagraph"/>
        <w:spacing w:after="120"/>
        <w:ind w:left="360"/>
        <w:rPr>
          <w:lang w:val="en-US"/>
        </w:rPr>
      </w:pPr>
    </w:p>
    <w:p w14:paraId="1A475B8E" w14:textId="77777777" w:rsidR="00AC3636" w:rsidRPr="007E04D7" w:rsidRDefault="00AC3636" w:rsidP="00CA63BD">
      <w:pPr>
        <w:pStyle w:val="ListParagraph"/>
        <w:spacing w:afterLines="120" w:after="288"/>
        <w:ind w:left="0"/>
        <w:rPr>
          <w:rFonts w:cstheme="minorHAnsi"/>
          <w:lang w:val="en-US"/>
        </w:rPr>
      </w:pPr>
      <w:r w:rsidRPr="007E04D7">
        <w:rPr>
          <w:rFonts w:cstheme="minorHAnsi"/>
          <w:lang w:val="en-US"/>
        </w:rPr>
        <w:t xml:space="preserve">The sharing of reserves is conducted according to the BRELL cooperation agreement, concluded between the TSOs and network owners of the common synchronous area (Belarus, Russia, Estonia, Latvia and Lithuania), TSOs are mutually responsible for enabling the use of 100 MW of NERC to one another. </w:t>
      </w:r>
    </w:p>
    <w:p w14:paraId="003D629C" w14:textId="567B1D52" w:rsidR="007E04D7" w:rsidRPr="007E04D7" w:rsidRDefault="00AC3636" w:rsidP="00CA63BD">
      <w:pPr>
        <w:pStyle w:val="ListParagraph"/>
        <w:spacing w:afterLines="120" w:after="288"/>
        <w:ind w:left="0"/>
        <w:rPr>
          <w:rFonts w:cstheme="minorHAnsi"/>
          <w:lang w:val="en-US"/>
        </w:rPr>
      </w:pPr>
      <w:r w:rsidRPr="007E04D7">
        <w:rPr>
          <w:rFonts w:cstheme="minorHAnsi"/>
          <w:lang w:val="en-US"/>
        </w:rPr>
        <w:t>The Estonian TSO maintains a reserve capacity in the amount of 250 MW – 100 MW is classified as NERC and 150 as ERC. This reserve is obtained from the emergency reserve power plant owned and operated by the Estonian TSO.</w:t>
      </w:r>
    </w:p>
    <w:p w14:paraId="79FC523F" w14:textId="5A1A64D2" w:rsidR="000D1EA0" w:rsidRPr="00AC3636" w:rsidRDefault="000D1EA0" w:rsidP="000D1EA0">
      <w:pPr>
        <w:pStyle w:val="headline2"/>
        <w:rPr>
          <w:lang w:val="en-US"/>
        </w:rPr>
      </w:pPr>
      <w:bookmarkStart w:id="42" w:name="_Toc103766245"/>
      <w:r w:rsidRPr="00AC3636">
        <w:rPr>
          <w:lang w:val="en-US"/>
        </w:rPr>
        <w:t xml:space="preserve">Article </w:t>
      </w:r>
      <w:r w:rsidR="007D583A">
        <w:rPr>
          <w:lang w:val="en-US"/>
        </w:rPr>
        <w:t>5</w:t>
      </w:r>
      <w:r w:rsidRPr="00AC3636">
        <w:rPr>
          <w:lang w:val="en-US"/>
        </w:rPr>
        <w:br/>
      </w:r>
      <w:r w:rsidR="00047126" w:rsidRPr="00AC3636">
        <w:rPr>
          <w:lang w:val="en-US"/>
        </w:rPr>
        <w:t>Optimal provision of reserve capacity</w:t>
      </w:r>
      <w:bookmarkEnd w:id="42"/>
    </w:p>
    <w:p w14:paraId="20FBA73A" w14:textId="2E03A801" w:rsidR="003622A8" w:rsidRDefault="003622A8" w:rsidP="000D1EA0">
      <w:pPr>
        <w:pStyle w:val="headline2"/>
        <w:rPr>
          <w:lang w:val="en-US"/>
        </w:rPr>
      </w:pPr>
    </w:p>
    <w:p w14:paraId="795C4CC6" w14:textId="3A5DC0A0" w:rsidR="000D1EA0" w:rsidRPr="003446E3" w:rsidRDefault="007D583A" w:rsidP="00B44CB6">
      <w:pPr>
        <w:pStyle w:val="headline1"/>
        <w:rPr>
          <w:lang w:val="en-US"/>
        </w:rPr>
      </w:pPr>
      <w:bookmarkStart w:id="43" w:name="_Toc103766246"/>
      <w:r w:rsidRPr="00453882">
        <w:rPr>
          <w:lang w:val="en-US"/>
        </w:rPr>
        <w:t>5</w:t>
      </w:r>
      <w:r w:rsidR="000D1EA0" w:rsidRPr="00453882">
        <w:rPr>
          <w:lang w:val="en-US"/>
        </w:rPr>
        <w:t xml:space="preserve">.1 </w:t>
      </w:r>
      <w:r w:rsidR="000D1EA0" w:rsidRPr="00B44CB6">
        <w:t>Litgrid</w:t>
      </w:r>
      <w:r w:rsidR="000D1EA0" w:rsidRPr="00453882">
        <w:rPr>
          <w:lang w:val="en-US"/>
        </w:rPr>
        <w:t xml:space="preserve"> case</w:t>
      </w:r>
      <w:bookmarkEnd w:id="43"/>
    </w:p>
    <w:p w14:paraId="5F0BA889" w14:textId="77777777" w:rsidR="00AF0DE3" w:rsidRPr="0047063D" w:rsidRDefault="00793855" w:rsidP="00CA63BD">
      <w:pPr>
        <w:pStyle w:val="ListParagraph"/>
        <w:spacing w:after="120"/>
        <w:ind w:left="0"/>
        <w:contextualSpacing w:val="0"/>
        <w:rPr>
          <w:b/>
          <w:bCs/>
          <w:lang w:val="en-US"/>
        </w:rPr>
      </w:pPr>
      <w:r w:rsidRPr="0047063D">
        <w:rPr>
          <w:b/>
          <w:bCs/>
          <w:lang w:val="en-US"/>
        </w:rPr>
        <w:t xml:space="preserve">Emergency reserve </w:t>
      </w:r>
    </w:p>
    <w:p w14:paraId="7BD69969" w14:textId="7B56FF48" w:rsidR="40264906" w:rsidRPr="0047063D" w:rsidRDefault="00CA63BD" w:rsidP="00CA63BD">
      <w:pPr>
        <w:pStyle w:val="ListParagraph"/>
        <w:spacing w:after="120"/>
        <w:ind w:left="0"/>
        <w:contextualSpacing w:val="0"/>
        <w:rPr>
          <w:lang w:val="en-US"/>
        </w:rPr>
      </w:pPr>
      <w:r>
        <w:rPr>
          <w:lang w:val="en-US"/>
        </w:rPr>
        <w:t xml:space="preserve">Up to </w:t>
      </w:r>
      <w:r w:rsidR="0048625E">
        <w:rPr>
          <w:lang w:val="en-US"/>
        </w:rPr>
        <w:t xml:space="preserve">2021 </w:t>
      </w:r>
      <w:r>
        <w:rPr>
          <w:lang w:val="en-US"/>
        </w:rPr>
        <w:t>January 1</w:t>
      </w:r>
      <w:r w:rsidRPr="00CA63BD">
        <w:rPr>
          <w:vertAlign w:val="superscript"/>
          <w:lang w:val="en-US"/>
        </w:rPr>
        <w:t>st</w:t>
      </w:r>
      <w:r>
        <w:rPr>
          <w:lang w:val="en-US"/>
        </w:rPr>
        <w:t>, s</w:t>
      </w:r>
      <w:r w:rsidR="40264906" w:rsidRPr="00C05E22">
        <w:rPr>
          <w:lang w:val="en-US"/>
        </w:rPr>
        <w:t xml:space="preserve">ince in the Lithuania </w:t>
      </w:r>
      <w:r w:rsidR="009B37E8" w:rsidRPr="00C05E22">
        <w:rPr>
          <w:lang w:val="en-US"/>
        </w:rPr>
        <w:t xml:space="preserve">Power </w:t>
      </w:r>
      <w:r w:rsidR="0003640B" w:rsidRPr="00C05E22">
        <w:rPr>
          <w:lang w:val="en-US"/>
        </w:rPr>
        <w:t>System</w:t>
      </w:r>
      <w:r w:rsidR="40264906" w:rsidRPr="00C05E22">
        <w:rPr>
          <w:lang w:val="en-US"/>
        </w:rPr>
        <w:t xml:space="preserve"> </w:t>
      </w:r>
      <w:r w:rsidR="31BA9746" w:rsidRPr="00C05E22">
        <w:rPr>
          <w:lang w:val="en-US"/>
        </w:rPr>
        <w:t xml:space="preserve">there is </w:t>
      </w:r>
      <w:r w:rsidR="40264906" w:rsidRPr="00C05E22">
        <w:rPr>
          <w:lang w:val="en-US"/>
        </w:rPr>
        <w:t>only</w:t>
      </w:r>
      <w:r w:rsidR="00716B93" w:rsidRPr="006F26B5">
        <w:rPr>
          <w:lang w:val="en-US"/>
        </w:rPr>
        <w:t xml:space="preserve"> one</w:t>
      </w:r>
      <w:r w:rsidR="40264906" w:rsidRPr="000439BF">
        <w:rPr>
          <w:lang w:val="en-US"/>
        </w:rPr>
        <w:t xml:space="preserve"> electricity generation company whose facilities at Kruonis Hydro </w:t>
      </w:r>
      <w:r w:rsidR="2873A58F" w:rsidRPr="000439BF">
        <w:rPr>
          <w:lang w:val="en-US"/>
        </w:rPr>
        <w:t xml:space="preserve">storage </w:t>
      </w:r>
      <w:r w:rsidR="2873A58F" w:rsidRPr="0047063D">
        <w:rPr>
          <w:lang w:val="en-US"/>
        </w:rPr>
        <w:t>power plan</w:t>
      </w:r>
      <w:r w:rsidR="40264906" w:rsidRPr="0047063D">
        <w:rPr>
          <w:lang w:val="en-US"/>
        </w:rPr>
        <w:t xml:space="preserve"> meet the requirements for the </w:t>
      </w:r>
      <w:r w:rsidR="00793855" w:rsidRPr="0047063D">
        <w:rPr>
          <w:lang w:val="en-US"/>
        </w:rPr>
        <w:t xml:space="preserve">Emergency reserve. Provision of the Emergency reserve </w:t>
      </w:r>
      <w:r w:rsidR="40264906" w:rsidRPr="0047063D">
        <w:rPr>
          <w:lang w:val="en-US"/>
        </w:rPr>
        <w:t>is guaranteed by concluding an agreement with this company</w:t>
      </w:r>
      <w:r w:rsidR="00C3FA4F" w:rsidRPr="0047063D">
        <w:rPr>
          <w:lang w:val="en-US"/>
        </w:rPr>
        <w:t xml:space="preserve"> and </w:t>
      </w:r>
      <w:r w:rsidR="2EC4A0C6" w:rsidRPr="0047063D">
        <w:rPr>
          <w:lang w:val="en-US"/>
        </w:rPr>
        <w:t xml:space="preserve">price </w:t>
      </w:r>
      <w:r w:rsidR="708BFEF3" w:rsidRPr="0047063D">
        <w:rPr>
          <w:lang w:val="en-US"/>
        </w:rPr>
        <w:t>for</w:t>
      </w:r>
      <w:r w:rsidR="2EC4A0C6" w:rsidRPr="0047063D">
        <w:rPr>
          <w:lang w:val="en-US"/>
        </w:rPr>
        <w:t xml:space="preserve"> </w:t>
      </w:r>
      <w:r w:rsidR="14F01424" w:rsidRPr="0047063D">
        <w:rPr>
          <w:lang w:val="en-US"/>
        </w:rPr>
        <w:t xml:space="preserve">provisions </w:t>
      </w:r>
      <w:r w:rsidR="5FE31C2F" w:rsidRPr="0047063D">
        <w:rPr>
          <w:lang w:val="en-US"/>
        </w:rPr>
        <w:t>mFRR</w:t>
      </w:r>
      <w:r w:rsidR="14F01424" w:rsidRPr="0047063D">
        <w:rPr>
          <w:lang w:val="en-US"/>
        </w:rPr>
        <w:t xml:space="preserve"> </w:t>
      </w:r>
      <w:r w:rsidR="75DA48A7" w:rsidRPr="0047063D">
        <w:rPr>
          <w:lang w:val="en-US"/>
        </w:rPr>
        <w:t>service</w:t>
      </w:r>
      <w:r w:rsidR="00C3FA4F" w:rsidRPr="0047063D">
        <w:rPr>
          <w:lang w:val="en-US"/>
        </w:rPr>
        <w:t xml:space="preserve"> </w:t>
      </w:r>
      <w:r w:rsidR="7725AC58" w:rsidRPr="0047063D">
        <w:rPr>
          <w:lang w:val="en-US"/>
        </w:rPr>
        <w:t>is</w:t>
      </w:r>
      <w:r w:rsidR="111ACA21" w:rsidRPr="0047063D">
        <w:rPr>
          <w:lang w:val="en-US"/>
        </w:rPr>
        <w:t xml:space="preserve"> </w:t>
      </w:r>
      <w:r w:rsidR="39DBA39C" w:rsidRPr="0047063D">
        <w:rPr>
          <w:lang w:val="en-US"/>
        </w:rPr>
        <w:t xml:space="preserve">regulated </w:t>
      </w:r>
      <w:r w:rsidR="5DA6347E" w:rsidRPr="0047063D">
        <w:rPr>
          <w:lang w:val="en-US"/>
        </w:rPr>
        <w:t xml:space="preserve">by </w:t>
      </w:r>
      <w:r w:rsidR="43F3A52F" w:rsidRPr="0047063D">
        <w:rPr>
          <w:lang w:val="en-US"/>
        </w:rPr>
        <w:t xml:space="preserve">national </w:t>
      </w:r>
      <w:r w:rsidR="7FDD89D7" w:rsidRPr="0047063D">
        <w:rPr>
          <w:lang w:val="en-US"/>
        </w:rPr>
        <w:t>regulat</w:t>
      </w:r>
      <w:r w:rsidR="007B45B6" w:rsidRPr="0047063D">
        <w:rPr>
          <w:lang w:val="en-US"/>
        </w:rPr>
        <w:t>ory</w:t>
      </w:r>
      <w:r w:rsidR="7FDD89D7" w:rsidRPr="0047063D">
        <w:rPr>
          <w:lang w:val="en-US"/>
        </w:rPr>
        <w:t xml:space="preserve"> </w:t>
      </w:r>
      <w:r w:rsidR="1CDB6DCA" w:rsidRPr="0047063D">
        <w:rPr>
          <w:lang w:val="en-US"/>
        </w:rPr>
        <w:t>authority</w:t>
      </w:r>
      <w:r w:rsidR="167367E0" w:rsidRPr="0047063D">
        <w:rPr>
          <w:lang w:val="en-US"/>
        </w:rPr>
        <w:t>.</w:t>
      </w:r>
    </w:p>
    <w:p w14:paraId="55F42166" w14:textId="75837A14" w:rsidR="5FE31C2F" w:rsidRPr="000439BF" w:rsidRDefault="5FE31C2F" w:rsidP="00CA63BD">
      <w:pPr>
        <w:pStyle w:val="ListParagraph"/>
        <w:spacing w:after="120"/>
        <w:ind w:left="0"/>
        <w:contextualSpacing w:val="0"/>
        <w:rPr>
          <w:lang w:val="en-US"/>
        </w:rPr>
      </w:pPr>
      <w:r w:rsidRPr="0047063D">
        <w:rPr>
          <w:lang w:val="en-US"/>
        </w:rPr>
        <w:t>During</w:t>
      </w:r>
      <w:r w:rsidR="007F1039">
        <w:rPr>
          <w:lang w:val="en-US"/>
        </w:rPr>
        <w:t xml:space="preserve"> previous</w:t>
      </w:r>
      <w:r w:rsidRPr="0047063D">
        <w:rPr>
          <w:lang w:val="en-US"/>
        </w:rPr>
        <w:t xml:space="preserve"> Report Period</w:t>
      </w:r>
      <w:r w:rsidR="00463CF1">
        <w:rPr>
          <w:lang w:val="en-US"/>
        </w:rPr>
        <w:t>, until 2021 January 1</w:t>
      </w:r>
      <w:r w:rsidR="00463CF1" w:rsidRPr="00E43EC3">
        <w:rPr>
          <w:vertAlign w:val="superscript"/>
          <w:lang w:val="en-US"/>
        </w:rPr>
        <w:t>st</w:t>
      </w:r>
      <w:r w:rsidR="00463CF1">
        <w:rPr>
          <w:lang w:val="en-US"/>
        </w:rPr>
        <w:t xml:space="preserve"> </w:t>
      </w:r>
      <w:r w:rsidRPr="0047063D">
        <w:rPr>
          <w:lang w:val="en-US"/>
        </w:rPr>
        <w:t xml:space="preserve">volume of </w:t>
      </w:r>
      <w:r w:rsidR="00793855" w:rsidRPr="0047063D">
        <w:rPr>
          <w:lang w:val="en-US"/>
        </w:rPr>
        <w:t xml:space="preserve">Emergency reserve </w:t>
      </w:r>
      <w:r w:rsidR="009A6E69" w:rsidRPr="00C05E22">
        <w:rPr>
          <w:lang w:val="en-US"/>
        </w:rPr>
        <w:t>in</w:t>
      </w:r>
      <w:r w:rsidRPr="00C05E22">
        <w:rPr>
          <w:lang w:val="en-US"/>
        </w:rPr>
        <w:t xml:space="preserve"> Lithuanian PS was defined 400 MW, optimization of mFRR volume was achieved by taking into account possibility to </w:t>
      </w:r>
      <w:r w:rsidR="009A6E69" w:rsidRPr="00C05E22">
        <w:rPr>
          <w:lang w:val="en-US"/>
        </w:rPr>
        <w:t>use 300</w:t>
      </w:r>
      <w:r w:rsidRPr="00C05E22">
        <w:rPr>
          <w:lang w:val="en-US"/>
        </w:rPr>
        <w:t xml:space="preserve"> MW </w:t>
      </w:r>
      <w:r w:rsidR="00C05E22" w:rsidRPr="0047063D">
        <w:rPr>
          <w:lang w:val="en-US"/>
        </w:rPr>
        <w:t>Emergency reserve</w:t>
      </w:r>
      <w:r w:rsidRPr="00C05E22">
        <w:rPr>
          <w:lang w:val="en-US"/>
        </w:rPr>
        <w:t xml:space="preserve"> from neighboring </w:t>
      </w:r>
      <w:r w:rsidR="009A6E69" w:rsidRPr="00C05E22">
        <w:rPr>
          <w:lang w:val="en-US"/>
        </w:rPr>
        <w:t>TSO’s based</w:t>
      </w:r>
      <w:r w:rsidRPr="00C05E22">
        <w:rPr>
          <w:lang w:val="en-US"/>
        </w:rPr>
        <w:t xml:space="preserve"> on existing </w:t>
      </w:r>
      <w:r w:rsidR="00793855" w:rsidRPr="00C05E22">
        <w:rPr>
          <w:lang w:val="en-US"/>
        </w:rPr>
        <w:t>NERC</w:t>
      </w:r>
      <w:r w:rsidRPr="006F26B5">
        <w:rPr>
          <w:lang w:val="en-US"/>
        </w:rPr>
        <w:t xml:space="preserve"> sharing agreement among BRELL TSO’s.</w:t>
      </w:r>
    </w:p>
    <w:p w14:paraId="025C4F78" w14:textId="77777777" w:rsidR="00A403EA" w:rsidRDefault="00793855" w:rsidP="00CA63BD">
      <w:pPr>
        <w:pStyle w:val="ListParagraph"/>
        <w:spacing w:after="120"/>
        <w:ind w:left="0"/>
        <w:contextualSpacing w:val="0"/>
        <w:rPr>
          <w:lang w:val="en-US"/>
        </w:rPr>
      </w:pPr>
      <w:r w:rsidRPr="00C05E22">
        <w:rPr>
          <w:lang w:val="en-US"/>
        </w:rPr>
        <w:t xml:space="preserve">Following the implementation of EBGL </w:t>
      </w:r>
      <w:r w:rsidR="00570D6C" w:rsidRPr="00C05E22">
        <w:rPr>
          <w:lang w:val="en-US"/>
        </w:rPr>
        <w:t xml:space="preserve">art. 18 standard terms and conditions for Balance service provider were approved by Lithuanian NRA </w:t>
      </w:r>
      <w:r w:rsidR="003E7C4F">
        <w:rPr>
          <w:lang w:val="en-US"/>
        </w:rPr>
        <w:t>on November 30</w:t>
      </w:r>
      <w:r w:rsidR="003E7C4F" w:rsidRPr="003E7C4F">
        <w:rPr>
          <w:vertAlign w:val="superscript"/>
          <w:lang w:val="en-US"/>
        </w:rPr>
        <w:t>th</w:t>
      </w:r>
      <w:r w:rsidR="003E7C4F">
        <w:rPr>
          <w:lang w:val="en-US"/>
        </w:rPr>
        <w:t>, 2020</w:t>
      </w:r>
      <w:r w:rsidR="00570D6C" w:rsidRPr="00C05E22">
        <w:rPr>
          <w:lang w:val="en-US"/>
        </w:rPr>
        <w:t xml:space="preserve">, which includes </w:t>
      </w:r>
      <w:r w:rsidR="003E7C4F">
        <w:rPr>
          <w:lang w:val="en-US"/>
        </w:rPr>
        <w:t xml:space="preserve">daily </w:t>
      </w:r>
      <w:r w:rsidR="00570D6C" w:rsidRPr="00C05E22">
        <w:rPr>
          <w:lang w:val="en-US"/>
        </w:rPr>
        <w:t xml:space="preserve">market-based </w:t>
      </w:r>
      <w:r w:rsidR="003E7C4F">
        <w:rPr>
          <w:lang w:val="en-US"/>
        </w:rPr>
        <w:t xml:space="preserve">Balancing capacity </w:t>
      </w:r>
      <w:r w:rsidR="00570D6C" w:rsidRPr="00C05E22">
        <w:rPr>
          <w:lang w:val="en-US"/>
        </w:rPr>
        <w:t>procurement</w:t>
      </w:r>
      <w:r w:rsidR="003E7C4F">
        <w:rPr>
          <w:lang w:val="en-US"/>
        </w:rPr>
        <w:t>.</w:t>
      </w:r>
      <w:r w:rsidR="00CA63BD">
        <w:rPr>
          <w:lang w:val="en-US"/>
        </w:rPr>
        <w:t xml:space="preserve"> </w:t>
      </w:r>
      <w:r w:rsidR="003E7C4F">
        <w:rPr>
          <w:lang w:val="en-US"/>
        </w:rPr>
        <w:t>These standard terms and conditions came into power on January 1</w:t>
      </w:r>
      <w:r w:rsidR="003E7C4F" w:rsidRPr="003E7C4F">
        <w:rPr>
          <w:vertAlign w:val="superscript"/>
          <w:lang w:val="en-US"/>
        </w:rPr>
        <w:t>st</w:t>
      </w:r>
      <w:r w:rsidR="003E7C4F">
        <w:rPr>
          <w:lang w:val="en-US"/>
        </w:rPr>
        <w:t>, 2021 and the f</w:t>
      </w:r>
      <w:r w:rsidR="00570D6C" w:rsidRPr="00C05E22">
        <w:rPr>
          <w:lang w:val="en-US"/>
        </w:rPr>
        <w:t xml:space="preserve">irst auction for </w:t>
      </w:r>
      <w:r w:rsidR="003E7C4F">
        <w:rPr>
          <w:lang w:val="en-US"/>
        </w:rPr>
        <w:t>balancing capacity were</w:t>
      </w:r>
      <w:r w:rsidR="00570D6C" w:rsidRPr="00C05E22">
        <w:rPr>
          <w:lang w:val="en-US"/>
        </w:rPr>
        <w:t xml:space="preserve"> organized </w:t>
      </w:r>
      <w:r w:rsidR="003E7C4F">
        <w:rPr>
          <w:lang w:val="en-US"/>
        </w:rPr>
        <w:t>for the delivery day of</w:t>
      </w:r>
      <w:r w:rsidR="00570D6C" w:rsidRPr="00C05E22">
        <w:rPr>
          <w:lang w:val="en-US"/>
        </w:rPr>
        <w:t xml:space="preserve"> </w:t>
      </w:r>
      <w:r w:rsidR="003E7C4F">
        <w:rPr>
          <w:lang w:val="en-US"/>
        </w:rPr>
        <w:t>2021 January 1</w:t>
      </w:r>
      <w:r w:rsidR="003E7C4F" w:rsidRPr="003E7C4F">
        <w:rPr>
          <w:vertAlign w:val="superscript"/>
          <w:lang w:val="en-US"/>
        </w:rPr>
        <w:t>st</w:t>
      </w:r>
      <w:r w:rsidR="003E7C4F">
        <w:rPr>
          <w:lang w:val="en-US"/>
        </w:rPr>
        <w:t>.</w:t>
      </w:r>
    </w:p>
    <w:p w14:paraId="6DFF9BBD" w14:textId="0DC76D08" w:rsidR="007756C4" w:rsidRDefault="007756C4" w:rsidP="00CA63BD">
      <w:pPr>
        <w:pStyle w:val="ListParagraph"/>
        <w:spacing w:after="120"/>
        <w:ind w:left="0"/>
        <w:contextualSpacing w:val="0"/>
        <w:rPr>
          <w:lang w:val="en-US"/>
        </w:rPr>
      </w:pPr>
      <w:r>
        <w:rPr>
          <w:lang w:val="en-US"/>
        </w:rPr>
        <w:t xml:space="preserve">During the Report period, Litgrid AB has </w:t>
      </w:r>
      <w:r w:rsidR="003E644B">
        <w:rPr>
          <w:lang w:val="en-US"/>
        </w:rPr>
        <w:t xml:space="preserve">been procuring Emergency </w:t>
      </w:r>
      <w:r w:rsidR="00917061">
        <w:rPr>
          <w:lang w:val="en-US"/>
        </w:rPr>
        <w:t>reserves</w:t>
      </w:r>
      <w:r w:rsidR="003E644B">
        <w:rPr>
          <w:lang w:val="en-US"/>
        </w:rPr>
        <w:t xml:space="preserve"> through daily market-based Balancing capacity </w:t>
      </w:r>
      <w:r w:rsidR="00080855">
        <w:rPr>
          <w:lang w:val="en-US"/>
        </w:rPr>
        <w:t xml:space="preserve">procurement. </w:t>
      </w:r>
    </w:p>
    <w:p w14:paraId="08884E8C" w14:textId="77777777" w:rsidR="004260C0" w:rsidRPr="00AC3636" w:rsidRDefault="004260C0" w:rsidP="000D1EA0">
      <w:pPr>
        <w:pStyle w:val="Heading2"/>
        <w:jc w:val="center"/>
        <w:rPr>
          <w:color w:val="1F3864" w:themeColor="accent1" w:themeShade="80"/>
          <w:sz w:val="22"/>
          <w:szCs w:val="22"/>
          <w:lang w:val="en-US"/>
        </w:rPr>
      </w:pPr>
    </w:p>
    <w:p w14:paraId="1A71BB6E" w14:textId="121183F8" w:rsidR="000D1EA0" w:rsidRPr="002607B4" w:rsidRDefault="007D583A" w:rsidP="00B44CB6">
      <w:pPr>
        <w:pStyle w:val="headline1"/>
        <w:rPr>
          <w:lang w:val="en-US"/>
        </w:rPr>
      </w:pPr>
      <w:bookmarkStart w:id="44" w:name="_Toc103766247"/>
      <w:r w:rsidRPr="002607B4">
        <w:rPr>
          <w:lang w:val="en-US"/>
        </w:rPr>
        <w:t>5</w:t>
      </w:r>
      <w:r w:rsidR="000D1EA0" w:rsidRPr="002607B4">
        <w:rPr>
          <w:lang w:val="en-US"/>
        </w:rPr>
        <w:t xml:space="preserve">.2 </w:t>
      </w:r>
      <w:r w:rsidR="000D1EA0" w:rsidRPr="002607B4">
        <w:t>AST</w:t>
      </w:r>
      <w:r w:rsidR="000D1EA0" w:rsidRPr="002607B4">
        <w:rPr>
          <w:lang w:val="en-US"/>
        </w:rPr>
        <w:t xml:space="preserve"> case</w:t>
      </w:r>
      <w:bookmarkEnd w:id="44"/>
    </w:p>
    <w:p w14:paraId="5F298C38" w14:textId="1063676D" w:rsidR="000C568D" w:rsidRPr="002607B4" w:rsidRDefault="000C568D" w:rsidP="00CA63BD">
      <w:pPr>
        <w:pStyle w:val="ListParagraph"/>
        <w:spacing w:after="120"/>
        <w:ind w:left="0"/>
        <w:contextualSpacing w:val="0"/>
        <w:rPr>
          <w:lang w:val="en-US"/>
        </w:rPr>
      </w:pPr>
      <w:r w:rsidRPr="002607B4">
        <w:rPr>
          <w:lang w:val="en-US"/>
        </w:rPr>
        <w:t xml:space="preserve">For Report period AST did not procure reserve capacity in a sense as it is described in SO GL and in EB GL. </w:t>
      </w:r>
    </w:p>
    <w:p w14:paraId="584FBC25" w14:textId="1984004A" w:rsidR="00F756CD" w:rsidRPr="002607B4" w:rsidRDefault="000C568D" w:rsidP="00CA63BD">
      <w:pPr>
        <w:pStyle w:val="ListParagraph"/>
        <w:spacing w:after="120"/>
        <w:ind w:left="0"/>
        <w:contextualSpacing w:val="0"/>
        <w:rPr>
          <w:lang w:val="en-US"/>
        </w:rPr>
      </w:pPr>
      <w:r w:rsidRPr="002607B4">
        <w:rPr>
          <w:lang w:val="en-US"/>
        </w:rPr>
        <w:t>P</w:t>
      </w:r>
      <w:r w:rsidR="00505812" w:rsidRPr="002607B4">
        <w:rPr>
          <w:lang w:val="en-US"/>
        </w:rPr>
        <w:t xml:space="preserve">rovision of emergency reserves </w:t>
      </w:r>
      <w:r w:rsidRPr="002607B4">
        <w:rPr>
          <w:lang w:val="en-US"/>
        </w:rPr>
        <w:t xml:space="preserve">(100 MW) is </w:t>
      </w:r>
      <w:r w:rsidR="00505812" w:rsidRPr="002607B4">
        <w:rPr>
          <w:lang w:val="en-US"/>
        </w:rPr>
        <w:t>required by BRELL agreement</w:t>
      </w:r>
      <w:r w:rsidR="004C261B" w:rsidRPr="002607B4">
        <w:rPr>
          <w:lang w:val="en-US"/>
        </w:rPr>
        <w:t xml:space="preserve"> and the subsequent NARM agreement</w:t>
      </w:r>
      <w:r w:rsidRPr="002607B4">
        <w:rPr>
          <w:lang w:val="en-US"/>
        </w:rPr>
        <w:t>. Optimal provision</w:t>
      </w:r>
      <w:r w:rsidR="00505812" w:rsidRPr="002607B4">
        <w:rPr>
          <w:lang w:val="en-US"/>
        </w:rPr>
        <w:t xml:space="preserve"> is ensured by open procurement of reserves. Procurement is done every 2 years</w:t>
      </w:r>
      <w:r w:rsidR="00E427D8" w:rsidRPr="002607B4">
        <w:rPr>
          <w:lang w:val="en-US"/>
        </w:rPr>
        <w:t xml:space="preserve"> to ensure that for a given period there is security of availability of such service and to have predictable cost of service as in Latvia TSO system there are limited resources that can fulfill needed requirements</w:t>
      </w:r>
      <w:r w:rsidR="00505812" w:rsidRPr="002607B4">
        <w:rPr>
          <w:lang w:val="en-US"/>
        </w:rPr>
        <w:t>.</w:t>
      </w:r>
      <w:r w:rsidRPr="002607B4">
        <w:rPr>
          <w:lang w:val="en-US"/>
        </w:rPr>
        <w:t xml:space="preserve"> </w:t>
      </w:r>
    </w:p>
    <w:p w14:paraId="18303CEF" w14:textId="7047AB96" w:rsidR="000D1EA0" w:rsidRPr="002607B4" w:rsidRDefault="00F756CD" w:rsidP="65F52166">
      <w:pPr>
        <w:pStyle w:val="ListParagraph"/>
        <w:spacing w:after="120"/>
        <w:ind w:left="0"/>
        <w:rPr>
          <w:lang w:val="en-US"/>
        </w:rPr>
      </w:pPr>
      <w:r w:rsidRPr="002607B4">
        <w:rPr>
          <w:lang w:val="en-US"/>
        </w:rPr>
        <w:t>In R</w:t>
      </w:r>
      <w:r w:rsidR="000C568D" w:rsidRPr="002607B4">
        <w:rPr>
          <w:lang w:val="en-US"/>
        </w:rPr>
        <w:t xml:space="preserve">eport period </w:t>
      </w:r>
      <w:r w:rsidRPr="002607B4">
        <w:rPr>
          <w:lang w:val="en-US"/>
        </w:rPr>
        <w:t>were conducted procurement of emergency reserves for period 01.03.2</w:t>
      </w:r>
      <w:r w:rsidR="512F6B32" w:rsidRPr="00853F43">
        <w:rPr>
          <w:lang w:val="en-US"/>
        </w:rPr>
        <w:t>2</w:t>
      </w:r>
      <w:r w:rsidRPr="002607B4">
        <w:rPr>
          <w:lang w:val="en-US"/>
        </w:rPr>
        <w:t xml:space="preserve"> – 28.02.202</w:t>
      </w:r>
      <w:r w:rsidR="70CBA85C" w:rsidRPr="00853F43">
        <w:rPr>
          <w:lang w:val="en-US"/>
        </w:rPr>
        <w:t>4</w:t>
      </w:r>
      <w:r w:rsidRPr="002607B4">
        <w:rPr>
          <w:lang w:val="en-US"/>
        </w:rPr>
        <w:t>.</w:t>
      </w:r>
      <w:r w:rsidR="0046563A" w:rsidRPr="002607B4">
        <w:rPr>
          <w:lang w:val="en-US"/>
        </w:rPr>
        <w:t xml:space="preserve"> Agreement was made with single emergency reserve provider.</w:t>
      </w:r>
    </w:p>
    <w:p w14:paraId="6BBBE63D" w14:textId="77777777" w:rsidR="007E04D7" w:rsidRPr="002607B4" w:rsidRDefault="007E04D7" w:rsidP="003F0572">
      <w:pPr>
        <w:pStyle w:val="ListParagraph"/>
        <w:spacing w:after="120"/>
        <w:ind w:left="360"/>
        <w:contextualSpacing w:val="0"/>
        <w:rPr>
          <w:lang w:val="en-US"/>
        </w:rPr>
      </w:pPr>
    </w:p>
    <w:p w14:paraId="63E23438" w14:textId="1C3C0E5B" w:rsidR="007E04D7" w:rsidRPr="003446E3" w:rsidRDefault="007D583A" w:rsidP="00B44CB6">
      <w:pPr>
        <w:pStyle w:val="headline1"/>
        <w:rPr>
          <w:lang w:val="en-US"/>
        </w:rPr>
      </w:pPr>
      <w:bookmarkStart w:id="45" w:name="_Toc103766248"/>
      <w:r w:rsidRPr="002607B4">
        <w:rPr>
          <w:lang w:val="en-US"/>
        </w:rPr>
        <w:t>5</w:t>
      </w:r>
      <w:r w:rsidR="000D1EA0" w:rsidRPr="002607B4">
        <w:rPr>
          <w:lang w:val="en-US"/>
        </w:rPr>
        <w:t xml:space="preserve">.3 </w:t>
      </w:r>
      <w:r w:rsidR="000D1EA0" w:rsidRPr="002607B4">
        <w:t>Elering</w:t>
      </w:r>
      <w:r w:rsidR="000D1EA0" w:rsidRPr="002607B4">
        <w:rPr>
          <w:lang w:val="en-US"/>
        </w:rPr>
        <w:t xml:space="preserve"> case</w:t>
      </w:r>
      <w:bookmarkEnd w:id="45"/>
    </w:p>
    <w:p w14:paraId="123BEB5D" w14:textId="4A14D6F6" w:rsidR="00793855" w:rsidRPr="00AC3636" w:rsidRDefault="008A16EA" w:rsidP="00CA63BD">
      <w:pPr>
        <w:pStyle w:val="ListParagraph"/>
        <w:spacing w:after="120"/>
        <w:ind w:left="0"/>
        <w:contextualSpacing w:val="0"/>
        <w:rPr>
          <w:lang w:val="en-US"/>
        </w:rPr>
      </w:pPr>
      <w:r w:rsidRPr="008A16EA">
        <w:rPr>
          <w:lang w:val="en-US"/>
        </w:rPr>
        <w:t>The Estonian TSO does not procure any reserve capacity</w:t>
      </w:r>
      <w:r w:rsidR="00793855">
        <w:rPr>
          <w:lang w:val="en-US"/>
        </w:rPr>
        <w:t xml:space="preserve"> as </w:t>
      </w:r>
      <w:r w:rsidR="00793855" w:rsidRPr="00AC3636">
        <w:rPr>
          <w:lang w:val="en-US"/>
        </w:rPr>
        <w:t>a</w:t>
      </w:r>
      <w:r w:rsidR="00793855">
        <w:rPr>
          <w:lang w:val="en-US"/>
        </w:rPr>
        <w:t>ll required</w:t>
      </w:r>
      <w:r w:rsidR="00793855" w:rsidRPr="00AC3636">
        <w:rPr>
          <w:lang w:val="en-US"/>
        </w:rPr>
        <w:t xml:space="preserve"> reserve capacity in the amount of 250 MW </w:t>
      </w:r>
      <w:r w:rsidR="00793855">
        <w:rPr>
          <w:lang w:val="en-US"/>
        </w:rPr>
        <w:t xml:space="preserve">is maintained in </w:t>
      </w:r>
      <w:r w:rsidR="00793855" w:rsidRPr="00AC3636">
        <w:rPr>
          <w:lang w:val="en-US"/>
        </w:rPr>
        <w:t>the emergency reserve power plant owned and operated by the Estonian TSO.</w:t>
      </w:r>
    </w:p>
    <w:p w14:paraId="28D5B898" w14:textId="4604331F" w:rsidR="009B33F4" w:rsidRPr="00AC3636" w:rsidRDefault="009B33F4" w:rsidP="009B33F4">
      <w:pPr>
        <w:rPr>
          <w:lang w:val="en-US"/>
        </w:rPr>
      </w:pPr>
    </w:p>
    <w:p w14:paraId="112376ED" w14:textId="58F65FBB" w:rsidR="008A16EA" w:rsidRDefault="004554EE" w:rsidP="008B5976">
      <w:pPr>
        <w:pStyle w:val="headline2"/>
        <w:rPr>
          <w:lang w:val="en-US"/>
        </w:rPr>
      </w:pPr>
      <w:bookmarkStart w:id="46" w:name="_Toc103766249"/>
      <w:r w:rsidRPr="00AC3636">
        <w:rPr>
          <w:lang w:val="en-US"/>
        </w:rPr>
        <w:t xml:space="preserve">Article </w:t>
      </w:r>
      <w:r w:rsidR="007D583A">
        <w:rPr>
          <w:lang w:val="en-US"/>
        </w:rPr>
        <w:t>6</w:t>
      </w:r>
      <w:r w:rsidRPr="00AC3636">
        <w:rPr>
          <w:lang w:val="en-US"/>
        </w:rPr>
        <w:br/>
        <w:t>Exchange of balancing capacity and sharing of reserves</w:t>
      </w:r>
      <w:bookmarkEnd w:id="46"/>
    </w:p>
    <w:p w14:paraId="48EC779D" w14:textId="1402C65D" w:rsidR="00873EB6" w:rsidRDefault="00873EB6" w:rsidP="00CA63BD">
      <w:pPr>
        <w:pStyle w:val="headline2"/>
        <w:ind w:left="-142"/>
        <w:jc w:val="left"/>
        <w:rPr>
          <w:lang w:val="en-US"/>
        </w:rPr>
      </w:pPr>
    </w:p>
    <w:p w14:paraId="4980936F" w14:textId="34515092" w:rsidR="00873EB6" w:rsidRDefault="00873EB6" w:rsidP="00CA63BD">
      <w:pPr>
        <w:pStyle w:val="ListParagraph"/>
        <w:spacing w:after="120"/>
        <w:ind w:left="-142"/>
        <w:contextualSpacing w:val="0"/>
        <w:rPr>
          <w:lang w:val="en-US"/>
        </w:rPr>
      </w:pPr>
      <w:r>
        <w:rPr>
          <w:lang w:val="en-US"/>
        </w:rPr>
        <w:t>Baltic TSOs operate a balancing energy market with a common merit order list for manual frequency restoration reserve.</w:t>
      </w:r>
      <w:r w:rsidRPr="007E04D7">
        <w:rPr>
          <w:lang w:val="en-US"/>
        </w:rPr>
        <w:t xml:space="preserve"> </w:t>
      </w:r>
      <w:r w:rsidRPr="00873EB6">
        <w:rPr>
          <w:lang w:val="en-US"/>
        </w:rPr>
        <w:t>With respect to the dimensioning of reserve capacity, Baltic TSOs do not exchange balancing capacity</w:t>
      </w:r>
      <w:r>
        <w:rPr>
          <w:lang w:val="en-US"/>
        </w:rPr>
        <w:t xml:space="preserve"> as all required reserve capacity is maintained within each country.  Exchange of balancing capacity may be established between two or more TSOs by setting common and harmonized rules and processes for the exchange and procurement of balancing capacity pursuant to Article 33 of EBLG.</w:t>
      </w:r>
    </w:p>
    <w:p w14:paraId="08D47554" w14:textId="28FAE717" w:rsidR="00873EB6" w:rsidRDefault="00873EB6" w:rsidP="00CA63BD">
      <w:pPr>
        <w:pStyle w:val="ListParagraph"/>
        <w:spacing w:after="120"/>
        <w:ind w:left="-142"/>
        <w:contextualSpacing w:val="0"/>
        <w:rPr>
          <w:lang w:val="en-US"/>
        </w:rPr>
      </w:pPr>
      <w:r w:rsidRPr="00873EB6">
        <w:rPr>
          <w:lang w:val="en-US"/>
        </w:rPr>
        <w:t xml:space="preserve">The sharing of reserves is conducted </w:t>
      </w:r>
      <w:r>
        <w:rPr>
          <w:lang w:val="en-US"/>
        </w:rPr>
        <w:t xml:space="preserve">by Baltic TSOs </w:t>
      </w:r>
      <w:r w:rsidRPr="00873EB6">
        <w:rPr>
          <w:lang w:val="en-US"/>
        </w:rPr>
        <w:t>according to the BRELL cooperation agreement, concluded between the TSOs and network owners of the common synchronous area (Belarus, Russia, Estonia, Latvia and Lithuania), TSOs are mutually responsible for enabling the use of 100 MW of NERC to one another.</w:t>
      </w:r>
    </w:p>
    <w:p w14:paraId="3C802D4E" w14:textId="7E221309" w:rsidR="0046563A" w:rsidRDefault="009851FB" w:rsidP="65F52166">
      <w:pPr>
        <w:pStyle w:val="ListParagraph"/>
        <w:spacing w:after="120"/>
        <w:ind w:left="-142"/>
        <w:rPr>
          <w:lang w:val="en-US"/>
        </w:rPr>
      </w:pPr>
      <w:r w:rsidRPr="65F52166">
        <w:rPr>
          <w:lang w:val="en-US"/>
        </w:rPr>
        <w:t xml:space="preserve">All balancing capacity reserves that are procured or maintained </w:t>
      </w:r>
      <w:r w:rsidR="00711436" w:rsidRPr="65F52166">
        <w:rPr>
          <w:lang w:val="en-US"/>
        </w:rPr>
        <w:t>by</w:t>
      </w:r>
      <w:r w:rsidRPr="65F52166">
        <w:rPr>
          <w:lang w:val="en-US"/>
        </w:rPr>
        <w:t xml:space="preserve"> each Baltic TSO are shared between Baltic countries</w:t>
      </w:r>
      <w:r w:rsidR="00EA429E" w:rsidRPr="65F52166">
        <w:rPr>
          <w:lang w:val="en-US"/>
        </w:rPr>
        <w:t>, if technically feasible.</w:t>
      </w:r>
    </w:p>
    <w:p w14:paraId="3915837E" w14:textId="16B7104D" w:rsidR="65F52166" w:rsidRDefault="00A403EA" w:rsidP="65F52166">
      <w:pPr>
        <w:pStyle w:val="ListParagraph"/>
        <w:spacing w:after="120"/>
        <w:ind w:left="-142"/>
        <w:rPr>
          <w:lang w:val="en-US"/>
        </w:rPr>
      </w:pPr>
      <w:r>
        <w:rPr>
          <w:lang w:val="en-US"/>
        </w:rPr>
        <w:br/>
      </w:r>
      <w:r w:rsidR="65F52166" w:rsidRPr="002607B4">
        <w:rPr>
          <w:lang w:val="en-US"/>
        </w:rPr>
        <w:t>In preparation for the common Baltic capacity market and aFRR reserves market, Elering launched a pilot project for the exchange of aFRR balancing capacity and energy in August 2021. In accordance with the pilot project, Elering forwards the aFRR capacity and energy bids collected from the Estonian BSP(s) to the Finnish TSO. The aFRR capacity incl. energy is not procured nor activated for the needs of the Estonian nor Baltic power system.</w:t>
      </w:r>
      <w:r w:rsidR="00B11DF3">
        <w:rPr>
          <w:lang w:val="en-US"/>
        </w:rPr>
        <w:t xml:space="preserve"> The project continued to operate as planned during the Report Period.</w:t>
      </w:r>
    </w:p>
    <w:p w14:paraId="31AFAD22" w14:textId="77777777" w:rsidR="004554EE" w:rsidRPr="002607B4" w:rsidRDefault="004554EE" w:rsidP="004554EE">
      <w:pPr>
        <w:rPr>
          <w:lang w:val="en-US"/>
        </w:rPr>
      </w:pPr>
    </w:p>
    <w:p w14:paraId="57F47E0F" w14:textId="7EC36BD6" w:rsidR="004554EE" w:rsidRPr="00AC3636" w:rsidRDefault="004554EE" w:rsidP="003622A8">
      <w:pPr>
        <w:pStyle w:val="headline2"/>
        <w:rPr>
          <w:lang w:val="en-US"/>
        </w:rPr>
      </w:pPr>
      <w:bookmarkStart w:id="47" w:name="_Toc103766250"/>
      <w:r w:rsidRPr="00AC3636">
        <w:rPr>
          <w:lang w:val="en-US"/>
        </w:rPr>
        <w:t xml:space="preserve">Article </w:t>
      </w:r>
      <w:r w:rsidR="007D583A">
        <w:rPr>
          <w:lang w:val="en-US"/>
        </w:rPr>
        <w:t>7</w:t>
      </w:r>
      <w:r w:rsidRPr="00AC3636">
        <w:rPr>
          <w:lang w:val="en-US"/>
        </w:rPr>
        <w:br/>
      </w:r>
      <w:r w:rsidR="008F586B" w:rsidRPr="00AC3636">
        <w:rPr>
          <w:lang w:val="en-US"/>
        </w:rPr>
        <w:t xml:space="preserve">Efficiency on </w:t>
      </w:r>
      <w:r w:rsidR="0030239E" w:rsidRPr="00AC3636">
        <w:rPr>
          <w:lang w:val="en-US"/>
        </w:rPr>
        <w:t>activation optimization function</w:t>
      </w:r>
      <w:bookmarkEnd w:id="47"/>
    </w:p>
    <w:p w14:paraId="5994DADE" w14:textId="77777777" w:rsidR="004554EE" w:rsidRPr="00AC3636" w:rsidRDefault="004554EE" w:rsidP="004554EE">
      <w:pPr>
        <w:pStyle w:val="textenumeration"/>
        <w:numPr>
          <w:ilvl w:val="0"/>
          <w:numId w:val="0"/>
        </w:numPr>
        <w:jc w:val="center"/>
        <w:rPr>
          <w:rFonts w:ascii="Times New Roman" w:hAnsi="Times New Roman" w:cs="Times New Roman"/>
          <w:lang w:val="en-US"/>
        </w:rPr>
      </w:pPr>
    </w:p>
    <w:p w14:paraId="3E9D532F" w14:textId="61BD63E5" w:rsidR="004554EE" w:rsidRPr="00AC3636" w:rsidRDefault="00D60389" w:rsidP="00CA63BD">
      <w:pPr>
        <w:pStyle w:val="ListParagraph"/>
        <w:spacing w:after="120"/>
        <w:ind w:left="-142"/>
        <w:contextualSpacing w:val="0"/>
        <w:rPr>
          <w:lang w:val="en-US"/>
        </w:rPr>
      </w:pPr>
      <w:r w:rsidRPr="00AC3636">
        <w:rPr>
          <w:lang w:val="en-US"/>
        </w:rPr>
        <w:t>Activation optimization function (hereinafter – “</w:t>
      </w:r>
      <w:r w:rsidR="000E3479" w:rsidRPr="00AC3636">
        <w:rPr>
          <w:b/>
          <w:bCs/>
          <w:lang w:val="en-US"/>
        </w:rPr>
        <w:t>AOF</w:t>
      </w:r>
      <w:r w:rsidRPr="00AC3636">
        <w:rPr>
          <w:lang w:val="en-US"/>
        </w:rPr>
        <w:t>”) in accordance to EBGL article 31 will be introduced together with European balancing platforms. During the Report period the European balancing platforms were not operational and therefore no efficiency analysis on AOF can be made by Baltic TSOs.</w:t>
      </w:r>
    </w:p>
    <w:p w14:paraId="7260ED85" w14:textId="77777777" w:rsidR="003767F8" w:rsidRPr="00AC3636" w:rsidRDefault="003767F8" w:rsidP="004554EE">
      <w:pPr>
        <w:pStyle w:val="ListParagraph"/>
        <w:spacing w:after="120"/>
        <w:ind w:left="360"/>
        <w:contextualSpacing w:val="0"/>
        <w:rPr>
          <w:lang w:val="en-US"/>
        </w:rPr>
      </w:pPr>
    </w:p>
    <w:p w14:paraId="49B0691B" w14:textId="197637A4" w:rsidR="009B33F4" w:rsidRPr="00AC3636" w:rsidRDefault="009B33F4" w:rsidP="009B33F4">
      <w:pPr>
        <w:pStyle w:val="headline2"/>
        <w:rPr>
          <w:lang w:val="en-US"/>
        </w:rPr>
      </w:pPr>
      <w:bookmarkStart w:id="48" w:name="_Toc513644642"/>
      <w:bookmarkStart w:id="49" w:name="_Toc509993367"/>
      <w:bookmarkStart w:id="50" w:name="_Toc510006489"/>
      <w:bookmarkStart w:id="51" w:name="_Toc510507380"/>
      <w:bookmarkStart w:id="52" w:name="_Toc510522107"/>
      <w:bookmarkStart w:id="53" w:name="_Toc103766251"/>
      <w:bookmarkStart w:id="54" w:name="_Toc413748339"/>
      <w:bookmarkEnd w:id="40"/>
      <w:bookmarkEnd w:id="41"/>
      <w:r w:rsidRPr="00AC3636">
        <w:rPr>
          <w:lang w:val="en-US"/>
        </w:rPr>
        <w:t xml:space="preserve">Article </w:t>
      </w:r>
      <w:r w:rsidR="007D583A">
        <w:rPr>
          <w:lang w:val="en-US"/>
        </w:rPr>
        <w:t>8</w:t>
      </w:r>
      <w:r w:rsidRPr="00AC3636">
        <w:rPr>
          <w:lang w:val="en-US"/>
        </w:rPr>
        <w:br/>
        <w:t>Language</w:t>
      </w:r>
      <w:bookmarkEnd w:id="48"/>
      <w:bookmarkEnd w:id="49"/>
      <w:bookmarkEnd w:id="50"/>
      <w:bookmarkEnd w:id="51"/>
      <w:bookmarkEnd w:id="52"/>
      <w:bookmarkEnd w:id="53"/>
    </w:p>
    <w:bookmarkEnd w:id="2"/>
    <w:bookmarkEnd w:id="54"/>
    <w:p w14:paraId="0A57BCD2" w14:textId="50838CCD" w:rsidR="000017CF" w:rsidRPr="00AC3636" w:rsidRDefault="00554CD0" w:rsidP="00CA63BD">
      <w:pPr>
        <w:pStyle w:val="ListParagraph"/>
        <w:spacing w:after="120"/>
        <w:ind w:left="-142"/>
        <w:contextualSpacing w:val="0"/>
        <w:rPr>
          <w:lang w:val="en-US"/>
        </w:rPr>
      </w:pPr>
      <w:r w:rsidRPr="00AC3636">
        <w:rPr>
          <w:lang w:val="en-US"/>
        </w:rPr>
        <w:t>The reference language for this Report shall be English. For the avoidance of doubt, where Baltic TSOs need to translate this proposal into their national language(s), in the event of inconsistencies between the English version published by TSOs in accordance with Article 7 of the EBGL and any version in another language, the relevant TSOs shall, in accordance with national legislation, provide the relevant national regulatory authorities with an updated translation of the proposal.</w:t>
      </w:r>
    </w:p>
    <w:sectPr w:rsidR="000017CF" w:rsidRPr="00AC3636" w:rsidSect="00C835A5">
      <w:headerReference w:type="default" r:id="rId21"/>
      <w:footerReference w:type="default" r:id="rId22"/>
      <w:headerReference w:type="first" r:id="rId23"/>
      <w:footerReference w:type="first" r:id="rId24"/>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54AF6" w14:textId="77777777" w:rsidR="00C835A5" w:rsidRDefault="00C835A5" w:rsidP="009B33F4">
      <w:r>
        <w:separator/>
      </w:r>
    </w:p>
  </w:endnote>
  <w:endnote w:type="continuationSeparator" w:id="0">
    <w:p w14:paraId="2CC5C602" w14:textId="77777777" w:rsidR="00C835A5" w:rsidRDefault="00C835A5" w:rsidP="009B33F4">
      <w:r>
        <w:continuationSeparator/>
      </w:r>
    </w:p>
  </w:endnote>
  <w:endnote w:type="continuationNotice" w:id="1">
    <w:p w14:paraId="4762AC14" w14:textId="77777777" w:rsidR="00C835A5" w:rsidRDefault="00C83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alibri&quot;,sans-serif">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3767F8" w:rsidRPr="00387A0D" w14:paraId="2AE25871" w14:textId="77777777" w:rsidTr="003767F8">
      <w:trPr>
        <w:trHeight w:hRule="exact" w:val="284"/>
      </w:trPr>
      <w:tc>
        <w:tcPr>
          <w:tcW w:w="9923" w:type="dxa"/>
          <w:vAlign w:val="center"/>
        </w:tcPr>
        <w:p w14:paraId="657093C8" w14:textId="77777777" w:rsidR="003767F8" w:rsidRPr="003D0965" w:rsidRDefault="003767F8" w:rsidP="003767F8">
          <w:pPr>
            <w:pStyle w:val="Footer"/>
            <w:rPr>
              <w:rFonts w:asciiTheme="majorHAnsi" w:hAnsiTheme="majorHAnsi" w:cstheme="majorHAnsi"/>
              <w:sz w:val="14"/>
              <w:szCs w:val="14"/>
              <w:lang w:val="de-DE"/>
            </w:rPr>
          </w:pPr>
        </w:p>
      </w:tc>
    </w:tr>
  </w:tbl>
  <w:tbl>
    <w:tblPr>
      <w:tblStyle w:val="TableGrid"/>
      <w:tblpPr w:leftFromText="142" w:rightFromText="142" w:vertAnchor="page" w:horzAnchor="margin" w:tblpXSpec="right"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3767F8" w14:paraId="4E40496F" w14:textId="77777777" w:rsidTr="003767F8">
      <w:trPr>
        <w:trHeight w:hRule="exact" w:val="284"/>
      </w:trPr>
      <w:tc>
        <w:tcPr>
          <w:tcW w:w="624" w:type="dxa"/>
        </w:tcPr>
        <w:p w14:paraId="4867B966" w14:textId="57B14BB9" w:rsidR="003767F8" w:rsidRDefault="001356D2" w:rsidP="003767F8">
          <w:pPr>
            <w:pStyle w:val="Footer"/>
            <w:jc w:val="right"/>
          </w:pPr>
          <w:r>
            <w:fldChar w:fldCharType="begin"/>
          </w:r>
          <w:r>
            <w:instrText xml:space="preserve"> PAGE   \* MERGEFORMAT </w:instrText>
          </w:r>
          <w:r>
            <w:fldChar w:fldCharType="separate"/>
          </w:r>
          <w:r w:rsidR="008C0E90">
            <w:rPr>
              <w:noProof/>
            </w:rPr>
            <w:t>7</w:t>
          </w:r>
          <w:r>
            <w:rPr>
              <w:noProof/>
            </w:rPr>
            <w:fldChar w:fldCharType="end"/>
          </w:r>
        </w:p>
      </w:tc>
    </w:tr>
  </w:tbl>
  <w:p w14:paraId="134DF6D4" w14:textId="77777777" w:rsidR="003767F8" w:rsidRPr="003D0965" w:rsidRDefault="003767F8" w:rsidP="00376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3767F8" w:rsidRPr="00387A0D" w14:paraId="2D00D6D5" w14:textId="77777777" w:rsidTr="003767F8">
      <w:trPr>
        <w:trHeight w:hRule="exact" w:val="284"/>
      </w:trPr>
      <w:tc>
        <w:tcPr>
          <w:tcW w:w="9923" w:type="dxa"/>
          <w:vAlign w:val="center"/>
        </w:tcPr>
        <w:p w14:paraId="5DA5642C" w14:textId="77777777" w:rsidR="003767F8" w:rsidRPr="00A10F07" w:rsidRDefault="003767F8" w:rsidP="003767F8">
          <w:pPr>
            <w:pStyle w:val="Footer"/>
            <w:rPr>
              <w:rFonts w:asciiTheme="majorHAnsi" w:hAnsiTheme="majorHAnsi" w:cstheme="majorHAnsi"/>
              <w:sz w:val="14"/>
              <w:szCs w:val="14"/>
              <w:lang w:val="fr-FR"/>
            </w:rPr>
          </w:pPr>
        </w:p>
      </w:tc>
    </w:tr>
  </w:tbl>
  <w:p w14:paraId="143E83F8" w14:textId="77777777" w:rsidR="003767F8" w:rsidRDefault="001356D2">
    <w:pPr>
      <w:pStyle w:val="Footer"/>
    </w:pPr>
    <w:r>
      <w:rPr>
        <w:noProof/>
        <w:lang w:val="et-EE" w:eastAsia="et-EE"/>
      </w:rPr>
      <mc:AlternateContent>
        <mc:Choice Requires="wps">
          <w:drawing>
            <wp:anchor distT="0" distB="0" distL="114300" distR="114300" simplePos="0" relativeHeight="251658241" behindDoc="1" locked="0" layoutInCell="1" allowOverlap="1" wp14:anchorId="5371611B" wp14:editId="3FA72CFD">
              <wp:simplePos x="0" y="0"/>
              <wp:positionH relativeFrom="column">
                <wp:posOffset>-864235</wp:posOffset>
              </wp:positionH>
              <wp:positionV relativeFrom="paragraph">
                <wp:posOffset>-298450</wp:posOffset>
              </wp:positionV>
              <wp:extent cx="6991350" cy="6381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381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accent3">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B27DE75">
            <v:rect id="Rectangle 6" style="position:absolute;margin-left:-68.05pt;margin-top:-23.5pt;width:550.5pt;height:50.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12]" stroked="f" strokecolor="#a5a5a5 [3206]" w14:anchorId="0E6203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"/>
          </w:pict>
        </mc:Fallback>
      </mc:AlternateContent>
    </w:r>
    <w:r>
      <w:rPr>
        <w:noProof/>
        <w:lang w:val="et-EE" w:eastAsia="et-EE"/>
      </w:rPr>
      <mc:AlternateContent>
        <mc:Choice Requires="wps">
          <w:drawing>
            <wp:anchor distT="0" distB="0" distL="114300" distR="114300" simplePos="0" relativeHeight="251658240" behindDoc="1" locked="1" layoutInCell="1" allowOverlap="1" wp14:anchorId="0B75BA22" wp14:editId="3E72641F">
              <wp:simplePos x="0" y="0"/>
              <wp:positionH relativeFrom="page">
                <wp:posOffset>0</wp:posOffset>
              </wp:positionH>
              <wp:positionV relativeFrom="page">
                <wp:posOffset>6642735</wp:posOffset>
              </wp:positionV>
              <wp:extent cx="7578090" cy="3834130"/>
              <wp:effectExtent l="0" t="0" r="381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3834130"/>
                      </a:xfrm>
                      <a:prstGeom prst="rect">
                        <a:avLst/>
                      </a:prstGeom>
                      <a:gradFill rotWithShape="1">
                        <a:gsLst>
                          <a:gs pos="0">
                            <a:srgbClr val="FFFFFF">
                              <a:alpha val="25000"/>
                            </a:srgbClr>
                          </a:gs>
                          <a:gs pos="100000">
                            <a:srgbClr val="DCDCD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6BF713E">
            <v:rect id="Rectangle 5" style="position:absolute;margin-left:0;margin-top:523.05pt;width:596.7pt;height:30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70CEB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">
              <v:fill type="gradient" opacity=".25" color2="#dcdcdc" focus="100%" rotate="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EB64E" w14:textId="77777777" w:rsidR="00C835A5" w:rsidRDefault="00C835A5" w:rsidP="009B33F4">
      <w:r>
        <w:separator/>
      </w:r>
    </w:p>
  </w:footnote>
  <w:footnote w:type="continuationSeparator" w:id="0">
    <w:p w14:paraId="14A94A33" w14:textId="77777777" w:rsidR="00C835A5" w:rsidRDefault="00C835A5" w:rsidP="009B33F4">
      <w:r>
        <w:continuationSeparator/>
      </w:r>
    </w:p>
  </w:footnote>
  <w:footnote w:type="continuationNotice" w:id="1">
    <w:p w14:paraId="64E51DCE" w14:textId="77777777" w:rsidR="00C835A5" w:rsidRDefault="00C83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56"/>
    </w:tblGrid>
    <w:tr w:rsidR="003767F8" w:rsidRPr="00696EBB" w14:paraId="582A0858" w14:textId="77777777" w:rsidTr="003767F8">
      <w:trPr>
        <w:trHeight w:hRule="exact" w:val="851"/>
      </w:trPr>
      <w:sdt>
        <w:sdtPr>
          <w:rPr>
            <w:sz w:val="20"/>
            <w:lang w:val="en-US"/>
          </w:rPr>
          <w:alias w:val="Titel"/>
          <w:tag w:val="Titel"/>
          <w:id w:val="142390586"/>
          <w:dataBinding w:prefixMappings="xmlns:ns0='http://purl.org/dc/elements/1.1/' xmlns:ns1='http://schemas.openxmlformats.org/package/2006/metadata/core-properties' " w:xpath="/ns1:coreProperties[1]/ns0:title[1]" w:storeItemID="{6C3C8BC8-F283-45AE-878A-BAB7291924A1}"/>
          <w:text w:multiLine="1"/>
        </w:sdtPr>
        <w:sdtContent>
          <w:tc>
            <w:tcPr>
              <w:tcW w:w="9756" w:type="dxa"/>
            </w:tcPr>
            <w:p w14:paraId="04B2BDDA" w14:textId="2C001CD2" w:rsidR="003767F8" w:rsidRPr="00992ABA" w:rsidRDefault="00F6738E" w:rsidP="003767F8">
              <w:pPr>
                <w:rPr>
                  <w:lang w:val="en-US"/>
                </w:rPr>
              </w:pPr>
              <w:r>
                <w:rPr>
                  <w:sz w:val="20"/>
                  <w:lang w:val="en-US"/>
                </w:rPr>
                <w:t>Baltic TSOs’ report on balancing in accordance with the Article 60(1) of Commission Regulation (EU) 2017/2195 of 23 November 2017 establishing a guideline on electricity balancing</w:t>
              </w:r>
            </w:p>
          </w:tc>
        </w:sdtContent>
      </w:sdt>
    </w:tr>
  </w:tbl>
  <w:p w14:paraId="5F8F01FE" w14:textId="77777777" w:rsidR="003767F8" w:rsidRDefault="001356D2" w:rsidP="003767F8">
    <w:pPr>
      <w:pStyle w:val="Footer"/>
    </w:pPr>
    <w:r>
      <w:rPr>
        <w:noProof/>
        <w:lang w:val="et-EE" w:eastAsia="et-EE"/>
      </w:rPr>
      <mc:AlternateContent>
        <mc:Choice Requires="wps">
          <w:drawing>
            <wp:anchor distT="4294967294" distB="4294967294" distL="114300" distR="114300" simplePos="0" relativeHeight="251658242" behindDoc="0" locked="1" layoutInCell="1" allowOverlap="1" wp14:anchorId="2F520EC0" wp14:editId="7A0CADB8">
              <wp:simplePos x="0" y="0"/>
              <wp:positionH relativeFrom="page">
                <wp:posOffset>864235</wp:posOffset>
              </wp:positionH>
              <wp:positionV relativeFrom="page">
                <wp:posOffset>1062354</wp:posOffset>
              </wp:positionV>
              <wp:extent cx="6047740" cy="0"/>
              <wp:effectExtent l="0" t="0" r="2921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5F43DEA">
            <v:shapetype id="_x0000_t32" coordsize="21600,21600" o:oned="t" filled="f" o:spt="32" path="m,l21600,21600e" w14:anchorId="7576CDEA">
              <v:path fillok="f" arrowok="t" o:connecttype="none"/>
              <o:lock v:ext="edit" shapetype="t"/>
            </v:shapetype>
            <v:shape id="AutoShape 8" style="position:absolute;margin-left:68.05pt;margin-top:83.65pt;width:476.2pt;height:0;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color="#44546a [3215]"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&#1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leftFromText="142" w:rightFromText="142" w:topFromText="5528" w:vertAnchor="page" w:horzAnchor="page" w:tblpX="1362" w:tblpY="5104"/>
      <w:tblW w:w="0" w:type="auto"/>
      <w:tblBorders>
        <w:top w:val="single" w:sz="8" w:space="0" w:color="44546A"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3767F8" w14:paraId="4E16D570" w14:textId="77777777" w:rsidTr="003767F8">
      <w:tc>
        <w:tcPr>
          <w:tcW w:w="9524" w:type="dxa"/>
          <w:tcMar>
            <w:top w:w="198" w:type="dxa"/>
          </w:tcMar>
        </w:tcPr>
        <w:p w14:paraId="535063F0" w14:textId="77777777" w:rsidR="003767F8" w:rsidRDefault="003767F8" w:rsidP="003767F8">
          <w:pPr>
            <w:pStyle w:val="headlineheader"/>
            <w:rPr>
              <w:lang w:val="en-US"/>
            </w:rPr>
          </w:pPr>
        </w:p>
      </w:tc>
    </w:tr>
    <w:tr w:rsidR="003767F8" w14:paraId="72D9CFCC" w14:textId="77777777" w:rsidTr="003767F8">
      <w:tc>
        <w:tcPr>
          <w:tcW w:w="9524" w:type="dxa"/>
        </w:tcPr>
        <w:p w14:paraId="5D070F10" w14:textId="77777777" w:rsidR="003767F8" w:rsidRPr="00AF06B7" w:rsidRDefault="003767F8" w:rsidP="003767F8">
          <w:pPr>
            <w:pStyle w:val="textheader"/>
          </w:pPr>
        </w:p>
      </w:tc>
    </w:tr>
    <w:tr w:rsidR="003767F8" w14:paraId="5A3F0489" w14:textId="77777777" w:rsidTr="003767F8">
      <w:tc>
        <w:tcPr>
          <w:tcW w:w="9524" w:type="dxa"/>
        </w:tcPr>
        <w:p w14:paraId="2905B009" w14:textId="77777777" w:rsidR="003767F8" w:rsidRPr="007A686E" w:rsidRDefault="003767F8" w:rsidP="003767F8">
          <w:pPr>
            <w:pStyle w:val="textheader"/>
          </w:pPr>
        </w:p>
      </w:tc>
    </w:tr>
    <w:tr w:rsidR="003767F8" w:rsidRPr="00903B95" w14:paraId="4BFE0678" w14:textId="77777777" w:rsidTr="003767F8">
      <w:tc>
        <w:tcPr>
          <w:tcW w:w="9524" w:type="dxa"/>
          <w:tcMar>
            <w:bottom w:w="142" w:type="dxa"/>
          </w:tcMar>
        </w:tcPr>
        <w:p w14:paraId="3E9DEF9C" w14:textId="77777777" w:rsidR="003767F8" w:rsidRPr="00256312" w:rsidRDefault="003767F8" w:rsidP="003767F8">
          <w:pPr>
            <w:pStyle w:val="time"/>
            <w:framePr w:hSpace="0" w:vSpace="0" w:wrap="auto" w:vAnchor="margin" w:hAnchor="text" w:xAlign="left" w:yAlign="inline"/>
          </w:pPr>
        </w:p>
      </w:tc>
    </w:tr>
  </w:tbl>
  <w:p w14:paraId="6B4AF86A" w14:textId="77777777" w:rsidR="003767F8" w:rsidRDefault="00376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A30F4"/>
    <w:multiLevelType w:val="multilevel"/>
    <w:tmpl w:val="79BA618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5A71368"/>
    <w:multiLevelType w:val="multilevel"/>
    <w:tmpl w:val="73305236"/>
    <w:lvl w:ilvl="0">
      <w:start w:val="1"/>
      <w:numFmt w:val="decimal"/>
      <w:lvlText w:val="%1"/>
      <w:lvlJc w:val="left"/>
      <w:pPr>
        <w:ind w:left="375" w:hanging="375"/>
      </w:pPr>
      <w:rPr>
        <w:rFonts w:eastAsia="Times New Roman" w:hint="default"/>
        <w:color w:val="0070C0"/>
        <w:sz w:val="28"/>
      </w:rPr>
    </w:lvl>
    <w:lvl w:ilvl="1">
      <w:start w:val="3"/>
      <w:numFmt w:val="decimal"/>
      <w:lvlText w:val="%1.%2"/>
      <w:lvlJc w:val="left"/>
      <w:pPr>
        <w:ind w:left="375" w:hanging="375"/>
      </w:pPr>
      <w:rPr>
        <w:rFonts w:eastAsia="Times New Roman" w:hint="default"/>
        <w:color w:val="0070C0"/>
        <w:sz w:val="28"/>
      </w:rPr>
    </w:lvl>
    <w:lvl w:ilvl="2">
      <w:start w:val="1"/>
      <w:numFmt w:val="decimal"/>
      <w:lvlText w:val="%1.%2.%3"/>
      <w:lvlJc w:val="left"/>
      <w:pPr>
        <w:ind w:left="720" w:hanging="720"/>
      </w:pPr>
      <w:rPr>
        <w:rFonts w:eastAsia="Times New Roman" w:hint="default"/>
        <w:color w:val="0070C0"/>
        <w:sz w:val="28"/>
      </w:rPr>
    </w:lvl>
    <w:lvl w:ilvl="3">
      <w:start w:val="1"/>
      <w:numFmt w:val="decimal"/>
      <w:lvlText w:val="%1.%2.%3.%4"/>
      <w:lvlJc w:val="left"/>
      <w:pPr>
        <w:ind w:left="720" w:hanging="720"/>
      </w:pPr>
      <w:rPr>
        <w:rFonts w:eastAsia="Times New Roman" w:hint="default"/>
        <w:color w:val="0070C0"/>
        <w:sz w:val="28"/>
      </w:rPr>
    </w:lvl>
    <w:lvl w:ilvl="4">
      <w:start w:val="1"/>
      <w:numFmt w:val="decimal"/>
      <w:lvlText w:val="%1.%2.%3.%4.%5"/>
      <w:lvlJc w:val="left"/>
      <w:pPr>
        <w:ind w:left="720" w:hanging="720"/>
      </w:pPr>
      <w:rPr>
        <w:rFonts w:eastAsia="Times New Roman" w:hint="default"/>
        <w:color w:val="0070C0"/>
        <w:sz w:val="28"/>
      </w:rPr>
    </w:lvl>
    <w:lvl w:ilvl="5">
      <w:start w:val="1"/>
      <w:numFmt w:val="decimal"/>
      <w:lvlText w:val="%1.%2.%3.%4.%5.%6"/>
      <w:lvlJc w:val="left"/>
      <w:pPr>
        <w:ind w:left="1080" w:hanging="1080"/>
      </w:pPr>
      <w:rPr>
        <w:rFonts w:eastAsia="Times New Roman" w:hint="default"/>
        <w:color w:val="0070C0"/>
        <w:sz w:val="28"/>
      </w:rPr>
    </w:lvl>
    <w:lvl w:ilvl="6">
      <w:start w:val="1"/>
      <w:numFmt w:val="decimal"/>
      <w:lvlText w:val="%1.%2.%3.%4.%5.%6.%7"/>
      <w:lvlJc w:val="left"/>
      <w:pPr>
        <w:ind w:left="1080" w:hanging="1080"/>
      </w:pPr>
      <w:rPr>
        <w:rFonts w:eastAsia="Times New Roman" w:hint="default"/>
        <w:color w:val="0070C0"/>
        <w:sz w:val="28"/>
      </w:rPr>
    </w:lvl>
    <w:lvl w:ilvl="7">
      <w:start w:val="1"/>
      <w:numFmt w:val="decimal"/>
      <w:lvlText w:val="%1.%2.%3.%4.%5.%6.%7.%8"/>
      <w:lvlJc w:val="left"/>
      <w:pPr>
        <w:ind w:left="1440" w:hanging="1440"/>
      </w:pPr>
      <w:rPr>
        <w:rFonts w:eastAsia="Times New Roman" w:hint="default"/>
        <w:color w:val="0070C0"/>
        <w:sz w:val="28"/>
      </w:rPr>
    </w:lvl>
    <w:lvl w:ilvl="8">
      <w:start w:val="1"/>
      <w:numFmt w:val="decimal"/>
      <w:lvlText w:val="%1.%2.%3.%4.%5.%6.%7.%8.%9"/>
      <w:lvlJc w:val="left"/>
      <w:pPr>
        <w:ind w:left="1440" w:hanging="1440"/>
      </w:pPr>
      <w:rPr>
        <w:rFonts w:eastAsia="Times New Roman" w:hint="default"/>
        <w:color w:val="0070C0"/>
        <w:sz w:val="28"/>
      </w:rPr>
    </w:lvl>
  </w:abstractNum>
  <w:abstractNum w:abstractNumId="2" w15:restartNumberingAfterBreak="0">
    <w:nsid w:val="074F1B3C"/>
    <w:multiLevelType w:val="hybridMultilevel"/>
    <w:tmpl w:val="4E884ADC"/>
    <w:lvl w:ilvl="0" w:tplc="CB481F1E">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B95846"/>
    <w:multiLevelType w:val="hybridMultilevel"/>
    <w:tmpl w:val="7632E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DC2F5A"/>
    <w:multiLevelType w:val="hybridMultilevel"/>
    <w:tmpl w:val="8A66F740"/>
    <w:lvl w:ilvl="0" w:tplc="DD907196">
      <w:start w:val="1"/>
      <w:numFmt w:val="bullet"/>
      <w:lvlText w:val="•"/>
      <w:lvlJc w:val="left"/>
      <w:pPr>
        <w:tabs>
          <w:tab w:val="num" w:pos="720"/>
        </w:tabs>
        <w:ind w:left="720" w:hanging="360"/>
      </w:pPr>
      <w:rPr>
        <w:rFonts w:ascii="Arial" w:hAnsi="Arial" w:hint="default"/>
      </w:rPr>
    </w:lvl>
    <w:lvl w:ilvl="1" w:tplc="F272BDCE" w:tentative="1">
      <w:start w:val="1"/>
      <w:numFmt w:val="bullet"/>
      <w:lvlText w:val="•"/>
      <w:lvlJc w:val="left"/>
      <w:pPr>
        <w:tabs>
          <w:tab w:val="num" w:pos="1440"/>
        </w:tabs>
        <w:ind w:left="1440" w:hanging="360"/>
      </w:pPr>
      <w:rPr>
        <w:rFonts w:ascii="Arial" w:hAnsi="Arial" w:hint="default"/>
      </w:rPr>
    </w:lvl>
    <w:lvl w:ilvl="2" w:tplc="192025FA" w:tentative="1">
      <w:start w:val="1"/>
      <w:numFmt w:val="bullet"/>
      <w:lvlText w:val="•"/>
      <w:lvlJc w:val="left"/>
      <w:pPr>
        <w:tabs>
          <w:tab w:val="num" w:pos="2160"/>
        </w:tabs>
        <w:ind w:left="2160" w:hanging="360"/>
      </w:pPr>
      <w:rPr>
        <w:rFonts w:ascii="Arial" w:hAnsi="Arial" w:hint="default"/>
      </w:rPr>
    </w:lvl>
    <w:lvl w:ilvl="3" w:tplc="66FC50A2" w:tentative="1">
      <w:start w:val="1"/>
      <w:numFmt w:val="bullet"/>
      <w:lvlText w:val="•"/>
      <w:lvlJc w:val="left"/>
      <w:pPr>
        <w:tabs>
          <w:tab w:val="num" w:pos="2880"/>
        </w:tabs>
        <w:ind w:left="2880" w:hanging="360"/>
      </w:pPr>
      <w:rPr>
        <w:rFonts w:ascii="Arial" w:hAnsi="Arial" w:hint="default"/>
      </w:rPr>
    </w:lvl>
    <w:lvl w:ilvl="4" w:tplc="C3A2A164" w:tentative="1">
      <w:start w:val="1"/>
      <w:numFmt w:val="bullet"/>
      <w:lvlText w:val="•"/>
      <w:lvlJc w:val="left"/>
      <w:pPr>
        <w:tabs>
          <w:tab w:val="num" w:pos="3600"/>
        </w:tabs>
        <w:ind w:left="3600" w:hanging="360"/>
      </w:pPr>
      <w:rPr>
        <w:rFonts w:ascii="Arial" w:hAnsi="Arial" w:hint="default"/>
      </w:rPr>
    </w:lvl>
    <w:lvl w:ilvl="5" w:tplc="2C726320" w:tentative="1">
      <w:start w:val="1"/>
      <w:numFmt w:val="bullet"/>
      <w:lvlText w:val="•"/>
      <w:lvlJc w:val="left"/>
      <w:pPr>
        <w:tabs>
          <w:tab w:val="num" w:pos="4320"/>
        </w:tabs>
        <w:ind w:left="4320" w:hanging="360"/>
      </w:pPr>
      <w:rPr>
        <w:rFonts w:ascii="Arial" w:hAnsi="Arial" w:hint="default"/>
      </w:rPr>
    </w:lvl>
    <w:lvl w:ilvl="6" w:tplc="616A9FAA" w:tentative="1">
      <w:start w:val="1"/>
      <w:numFmt w:val="bullet"/>
      <w:lvlText w:val="•"/>
      <w:lvlJc w:val="left"/>
      <w:pPr>
        <w:tabs>
          <w:tab w:val="num" w:pos="5040"/>
        </w:tabs>
        <w:ind w:left="5040" w:hanging="360"/>
      </w:pPr>
      <w:rPr>
        <w:rFonts w:ascii="Arial" w:hAnsi="Arial" w:hint="default"/>
      </w:rPr>
    </w:lvl>
    <w:lvl w:ilvl="7" w:tplc="C7FC9A0C" w:tentative="1">
      <w:start w:val="1"/>
      <w:numFmt w:val="bullet"/>
      <w:lvlText w:val="•"/>
      <w:lvlJc w:val="left"/>
      <w:pPr>
        <w:tabs>
          <w:tab w:val="num" w:pos="5760"/>
        </w:tabs>
        <w:ind w:left="5760" w:hanging="360"/>
      </w:pPr>
      <w:rPr>
        <w:rFonts w:ascii="Arial" w:hAnsi="Arial" w:hint="default"/>
      </w:rPr>
    </w:lvl>
    <w:lvl w:ilvl="8" w:tplc="6748BB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2A6098"/>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11767"/>
    <w:multiLevelType w:val="hybridMultilevel"/>
    <w:tmpl w:val="44E464C4"/>
    <w:lvl w:ilvl="0" w:tplc="CB481F1E">
      <w:start w:val="1"/>
      <w:numFmt w:val="decimal"/>
      <w:lvlText w:val="(%1)"/>
      <w:lvlJc w:val="left"/>
      <w:pPr>
        <w:ind w:left="720" w:hanging="360"/>
      </w:pPr>
      <w:rPr>
        <w:rFonts w:hint="default"/>
        <w:b w:val="0"/>
      </w:rPr>
    </w:lvl>
    <w:lvl w:ilvl="1" w:tplc="FF700BB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F04EF"/>
    <w:multiLevelType w:val="hybridMultilevel"/>
    <w:tmpl w:val="6A64205E"/>
    <w:lvl w:ilvl="0" w:tplc="41561420">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227475"/>
    <w:multiLevelType w:val="hybridMultilevel"/>
    <w:tmpl w:val="FFFFFFFF"/>
    <w:lvl w:ilvl="0" w:tplc="F74E0BFC">
      <w:start w:val="1"/>
      <w:numFmt w:val="bullet"/>
      <w:lvlText w:val="·"/>
      <w:lvlJc w:val="left"/>
      <w:pPr>
        <w:ind w:left="720" w:hanging="360"/>
      </w:pPr>
      <w:rPr>
        <w:rFonts w:ascii="Symbol" w:hAnsi="Symbol" w:hint="default"/>
      </w:rPr>
    </w:lvl>
    <w:lvl w:ilvl="1" w:tplc="44B6458A">
      <w:start w:val="1"/>
      <w:numFmt w:val="bullet"/>
      <w:lvlText w:val="o"/>
      <w:lvlJc w:val="left"/>
      <w:pPr>
        <w:ind w:left="1440" w:hanging="360"/>
      </w:pPr>
      <w:rPr>
        <w:rFonts w:ascii="Courier New" w:hAnsi="Courier New" w:hint="default"/>
      </w:rPr>
    </w:lvl>
    <w:lvl w:ilvl="2" w:tplc="35E4CB84">
      <w:start w:val="1"/>
      <w:numFmt w:val="bullet"/>
      <w:lvlText w:val=""/>
      <w:lvlJc w:val="left"/>
      <w:pPr>
        <w:ind w:left="2160" w:hanging="360"/>
      </w:pPr>
      <w:rPr>
        <w:rFonts w:ascii="Wingdings" w:hAnsi="Wingdings" w:hint="default"/>
      </w:rPr>
    </w:lvl>
    <w:lvl w:ilvl="3" w:tplc="10AE49EA">
      <w:start w:val="1"/>
      <w:numFmt w:val="bullet"/>
      <w:lvlText w:val=""/>
      <w:lvlJc w:val="left"/>
      <w:pPr>
        <w:ind w:left="2880" w:hanging="360"/>
      </w:pPr>
      <w:rPr>
        <w:rFonts w:ascii="Symbol" w:hAnsi="Symbol" w:hint="default"/>
      </w:rPr>
    </w:lvl>
    <w:lvl w:ilvl="4" w:tplc="163097C0">
      <w:start w:val="1"/>
      <w:numFmt w:val="bullet"/>
      <w:lvlText w:val="o"/>
      <w:lvlJc w:val="left"/>
      <w:pPr>
        <w:ind w:left="3600" w:hanging="360"/>
      </w:pPr>
      <w:rPr>
        <w:rFonts w:ascii="Courier New" w:hAnsi="Courier New" w:hint="default"/>
      </w:rPr>
    </w:lvl>
    <w:lvl w:ilvl="5" w:tplc="17BAC1B8">
      <w:start w:val="1"/>
      <w:numFmt w:val="bullet"/>
      <w:lvlText w:val=""/>
      <w:lvlJc w:val="left"/>
      <w:pPr>
        <w:ind w:left="4320" w:hanging="360"/>
      </w:pPr>
      <w:rPr>
        <w:rFonts w:ascii="Wingdings" w:hAnsi="Wingdings" w:hint="default"/>
      </w:rPr>
    </w:lvl>
    <w:lvl w:ilvl="6" w:tplc="3C3658C4">
      <w:start w:val="1"/>
      <w:numFmt w:val="bullet"/>
      <w:lvlText w:val=""/>
      <w:lvlJc w:val="left"/>
      <w:pPr>
        <w:ind w:left="5040" w:hanging="360"/>
      </w:pPr>
      <w:rPr>
        <w:rFonts w:ascii="Symbol" w:hAnsi="Symbol" w:hint="default"/>
      </w:rPr>
    </w:lvl>
    <w:lvl w:ilvl="7" w:tplc="B3FC671A">
      <w:start w:val="1"/>
      <w:numFmt w:val="bullet"/>
      <w:lvlText w:val="o"/>
      <w:lvlJc w:val="left"/>
      <w:pPr>
        <w:ind w:left="5760" w:hanging="360"/>
      </w:pPr>
      <w:rPr>
        <w:rFonts w:ascii="Courier New" w:hAnsi="Courier New" w:hint="default"/>
      </w:rPr>
    </w:lvl>
    <w:lvl w:ilvl="8" w:tplc="A5A2D46E">
      <w:start w:val="1"/>
      <w:numFmt w:val="bullet"/>
      <w:lvlText w:val=""/>
      <w:lvlJc w:val="left"/>
      <w:pPr>
        <w:ind w:left="6480" w:hanging="360"/>
      </w:pPr>
      <w:rPr>
        <w:rFonts w:ascii="Wingdings" w:hAnsi="Wingdings" w:hint="default"/>
      </w:rPr>
    </w:lvl>
  </w:abstractNum>
  <w:abstractNum w:abstractNumId="9" w15:restartNumberingAfterBreak="0">
    <w:nsid w:val="265F4D72"/>
    <w:multiLevelType w:val="hybridMultilevel"/>
    <w:tmpl w:val="A0C2CE36"/>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0A1549A"/>
    <w:multiLevelType w:val="hybridMultilevel"/>
    <w:tmpl w:val="9B06B8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BEA45E7"/>
    <w:multiLevelType w:val="hybridMultilevel"/>
    <w:tmpl w:val="F86E38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09E379B"/>
    <w:multiLevelType w:val="hybridMultilevel"/>
    <w:tmpl w:val="EC32B9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1C145AF"/>
    <w:multiLevelType w:val="multilevel"/>
    <w:tmpl w:val="4B80D392"/>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C63E29"/>
    <w:multiLevelType w:val="hybridMultilevel"/>
    <w:tmpl w:val="CE3EAC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8467995"/>
    <w:multiLevelType w:val="hybridMultilevel"/>
    <w:tmpl w:val="0D6661DA"/>
    <w:lvl w:ilvl="0" w:tplc="D65E52AC">
      <w:start w:val="202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A6C5FBA"/>
    <w:multiLevelType w:val="hybridMultilevel"/>
    <w:tmpl w:val="77429D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D5C78EE"/>
    <w:multiLevelType w:val="multilevel"/>
    <w:tmpl w:val="DFD45DA6"/>
    <w:styleLink w:val="XXXNummerierung"/>
    <w:lvl w:ilvl="0">
      <w:start w:val="1"/>
      <w:numFmt w:val="decimal"/>
      <w:pStyle w:val="textenumeration"/>
      <w:lvlText w:val="(%1)"/>
      <w:lvlJc w:val="left"/>
      <w:pPr>
        <w:ind w:left="357" w:hanging="357"/>
      </w:pPr>
      <w:rPr>
        <w:rFonts w:hint="default"/>
        <w:b w:val="0"/>
        <w:sz w:val="22"/>
      </w:rPr>
    </w:lvl>
    <w:lvl w:ilvl="1">
      <w:start w:val="1"/>
      <w:numFmt w:val="lowerLetter"/>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04121A6"/>
    <w:multiLevelType w:val="hybridMultilevel"/>
    <w:tmpl w:val="D9A2D1F0"/>
    <w:lvl w:ilvl="0" w:tplc="CB481F1E">
      <w:start w:val="1"/>
      <w:numFmt w:val="decimal"/>
      <w:lvlText w:val="(%1)"/>
      <w:lvlJc w:val="left"/>
      <w:pPr>
        <w:ind w:left="360" w:hanging="360"/>
      </w:pPr>
      <w:rPr>
        <w:rFonts w:hint="default"/>
        <w:b w:val="0"/>
      </w:rPr>
    </w:lvl>
    <w:lvl w:ilvl="1" w:tplc="FF700BB4">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316FB1"/>
    <w:multiLevelType w:val="hybridMultilevel"/>
    <w:tmpl w:val="47725BC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0" w15:restartNumberingAfterBreak="0">
    <w:nsid w:val="577D1BC1"/>
    <w:multiLevelType w:val="multilevel"/>
    <w:tmpl w:val="D44E66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5D182342"/>
    <w:multiLevelType w:val="multilevel"/>
    <w:tmpl w:val="85DE3892"/>
    <w:lvl w:ilvl="0">
      <w:start w:val="1"/>
      <w:numFmt w:val="decimal"/>
      <w:lvlText w:val="%1."/>
      <w:lvlJc w:val="left"/>
      <w:pPr>
        <w:ind w:left="720" w:hanging="360"/>
      </w:pPr>
      <w:rPr>
        <w:b/>
        <w:bCs/>
        <w:color w:val="4472C4" w:themeColor="accent1"/>
        <w:sz w:val="28"/>
        <w:szCs w:val="1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44546A" w:themeColor="text2"/>
        <w:sz w:val="28"/>
        <w:u w:color="44546A"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44546A" w:themeColor="text2"/>
        <w:sz w:val="28"/>
        <w:u w:color="44546A" w:themeColor="text2"/>
      </w:rPr>
    </w:lvl>
  </w:abstractNum>
  <w:abstractNum w:abstractNumId="23" w15:restartNumberingAfterBreak="0">
    <w:nsid w:val="60AE359F"/>
    <w:multiLevelType w:val="multilevel"/>
    <w:tmpl w:val="4B80D392"/>
    <w:lvl w:ilvl="0">
      <w:start w:val="1"/>
      <w:numFmt w:val="decimal"/>
      <w:lvlText w:val="%1."/>
      <w:lvlJc w:val="left"/>
      <w:pPr>
        <w:ind w:left="1069" w:hanging="360"/>
      </w:pPr>
      <w:rPr>
        <w:rFonts w:asciiTheme="minorHAnsi" w:hAnsiTheme="minorHAnsi" w:cstheme="minorHAnsi" w:hint="default"/>
        <w:sz w:val="22"/>
        <w:szCs w:val="22"/>
      </w:rPr>
    </w:lvl>
    <w:lvl w:ilvl="1">
      <w:start w:val="1"/>
      <w:numFmt w:val="decimal"/>
      <w:lvlText w:val="%1.%2."/>
      <w:lvlJc w:val="left"/>
      <w:pPr>
        <w:ind w:left="1501" w:hanging="432"/>
      </w:pPr>
    </w:lvl>
    <w:lvl w:ilvl="2">
      <w:start w:val="1"/>
      <w:numFmt w:val="decimal"/>
      <w:lvlText w:val="%1.%2.%3."/>
      <w:lvlJc w:val="left"/>
      <w:pPr>
        <w:ind w:left="1497"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4" w15:restartNumberingAfterBreak="0">
    <w:nsid w:val="61798C0E"/>
    <w:multiLevelType w:val="hybridMultilevel"/>
    <w:tmpl w:val="8EFA74BE"/>
    <w:lvl w:ilvl="0" w:tplc="FCF4E28E">
      <w:start w:val="1"/>
      <w:numFmt w:val="bullet"/>
      <w:lvlText w:val="-"/>
      <w:lvlJc w:val="left"/>
      <w:pPr>
        <w:ind w:left="720" w:hanging="360"/>
      </w:pPr>
      <w:rPr>
        <w:rFonts w:ascii="&quot;Calibri&quot;,sans-serif" w:hAnsi="&quot;Calibri&quot;,sans-serif" w:hint="default"/>
      </w:rPr>
    </w:lvl>
    <w:lvl w:ilvl="1" w:tplc="02FE364A">
      <w:start w:val="1"/>
      <w:numFmt w:val="bullet"/>
      <w:lvlText w:val="o"/>
      <w:lvlJc w:val="left"/>
      <w:pPr>
        <w:ind w:left="1440" w:hanging="360"/>
      </w:pPr>
      <w:rPr>
        <w:rFonts w:ascii="Courier New" w:hAnsi="Courier New" w:hint="default"/>
      </w:rPr>
    </w:lvl>
    <w:lvl w:ilvl="2" w:tplc="0630DB20">
      <w:start w:val="1"/>
      <w:numFmt w:val="bullet"/>
      <w:lvlText w:val=""/>
      <w:lvlJc w:val="left"/>
      <w:pPr>
        <w:ind w:left="2160" w:hanging="360"/>
      </w:pPr>
      <w:rPr>
        <w:rFonts w:ascii="Wingdings" w:hAnsi="Wingdings" w:hint="default"/>
      </w:rPr>
    </w:lvl>
    <w:lvl w:ilvl="3" w:tplc="1AF2F5A8">
      <w:start w:val="1"/>
      <w:numFmt w:val="bullet"/>
      <w:lvlText w:val=""/>
      <w:lvlJc w:val="left"/>
      <w:pPr>
        <w:ind w:left="2880" w:hanging="360"/>
      </w:pPr>
      <w:rPr>
        <w:rFonts w:ascii="Symbol" w:hAnsi="Symbol" w:hint="default"/>
      </w:rPr>
    </w:lvl>
    <w:lvl w:ilvl="4" w:tplc="DFFEA54C">
      <w:start w:val="1"/>
      <w:numFmt w:val="bullet"/>
      <w:lvlText w:val="o"/>
      <w:lvlJc w:val="left"/>
      <w:pPr>
        <w:ind w:left="3600" w:hanging="360"/>
      </w:pPr>
      <w:rPr>
        <w:rFonts w:ascii="Courier New" w:hAnsi="Courier New" w:hint="default"/>
      </w:rPr>
    </w:lvl>
    <w:lvl w:ilvl="5" w:tplc="FD069D3A">
      <w:start w:val="1"/>
      <w:numFmt w:val="bullet"/>
      <w:lvlText w:val=""/>
      <w:lvlJc w:val="left"/>
      <w:pPr>
        <w:ind w:left="4320" w:hanging="360"/>
      </w:pPr>
      <w:rPr>
        <w:rFonts w:ascii="Wingdings" w:hAnsi="Wingdings" w:hint="default"/>
      </w:rPr>
    </w:lvl>
    <w:lvl w:ilvl="6" w:tplc="379EF18C">
      <w:start w:val="1"/>
      <w:numFmt w:val="bullet"/>
      <w:lvlText w:val=""/>
      <w:lvlJc w:val="left"/>
      <w:pPr>
        <w:ind w:left="5040" w:hanging="360"/>
      </w:pPr>
      <w:rPr>
        <w:rFonts w:ascii="Symbol" w:hAnsi="Symbol" w:hint="default"/>
      </w:rPr>
    </w:lvl>
    <w:lvl w:ilvl="7" w:tplc="0764EC2C">
      <w:start w:val="1"/>
      <w:numFmt w:val="bullet"/>
      <w:lvlText w:val="o"/>
      <w:lvlJc w:val="left"/>
      <w:pPr>
        <w:ind w:left="5760" w:hanging="360"/>
      </w:pPr>
      <w:rPr>
        <w:rFonts w:ascii="Courier New" w:hAnsi="Courier New" w:hint="default"/>
      </w:rPr>
    </w:lvl>
    <w:lvl w:ilvl="8" w:tplc="0B18E730">
      <w:start w:val="1"/>
      <w:numFmt w:val="bullet"/>
      <w:lvlText w:val=""/>
      <w:lvlJc w:val="left"/>
      <w:pPr>
        <w:ind w:left="6480" w:hanging="360"/>
      </w:pPr>
      <w:rPr>
        <w:rFonts w:ascii="Wingdings" w:hAnsi="Wingdings" w:hint="default"/>
      </w:rPr>
    </w:lvl>
  </w:abstractNum>
  <w:abstractNum w:abstractNumId="25" w15:restartNumberingAfterBreak="0">
    <w:nsid w:val="62BE632B"/>
    <w:multiLevelType w:val="multilevel"/>
    <w:tmpl w:val="71B6C21E"/>
    <w:lvl w:ilvl="0">
      <w:start w:val="1"/>
      <w:numFmt w:val="decimal"/>
      <w:lvlText w:val="%1"/>
      <w:lvlJc w:val="left"/>
      <w:pPr>
        <w:ind w:left="375" w:hanging="375"/>
      </w:pPr>
      <w:rPr>
        <w:rFonts w:eastAsia="Times New Roman" w:hint="default"/>
        <w:color w:val="0070C0"/>
        <w:sz w:val="28"/>
      </w:rPr>
    </w:lvl>
    <w:lvl w:ilvl="1">
      <w:start w:val="1"/>
      <w:numFmt w:val="decimal"/>
      <w:lvlText w:val="%1.%2"/>
      <w:lvlJc w:val="left"/>
      <w:pPr>
        <w:ind w:left="659" w:hanging="375"/>
      </w:pPr>
      <w:rPr>
        <w:rFonts w:eastAsia="Times New Roman" w:hint="default"/>
        <w:color w:val="0070C0"/>
        <w:sz w:val="28"/>
      </w:rPr>
    </w:lvl>
    <w:lvl w:ilvl="2">
      <w:start w:val="1"/>
      <w:numFmt w:val="decimal"/>
      <w:lvlText w:val="%1.%2.%3"/>
      <w:lvlJc w:val="left"/>
      <w:pPr>
        <w:ind w:left="1440" w:hanging="720"/>
      </w:pPr>
      <w:rPr>
        <w:rFonts w:eastAsia="Times New Roman" w:hint="default"/>
        <w:color w:val="0070C0"/>
        <w:sz w:val="28"/>
      </w:rPr>
    </w:lvl>
    <w:lvl w:ilvl="3">
      <w:start w:val="1"/>
      <w:numFmt w:val="decimal"/>
      <w:lvlText w:val="%1.%2.%3.%4"/>
      <w:lvlJc w:val="left"/>
      <w:pPr>
        <w:ind w:left="1800" w:hanging="720"/>
      </w:pPr>
      <w:rPr>
        <w:rFonts w:eastAsia="Times New Roman" w:hint="default"/>
        <w:color w:val="0070C0"/>
        <w:sz w:val="28"/>
      </w:rPr>
    </w:lvl>
    <w:lvl w:ilvl="4">
      <w:start w:val="1"/>
      <w:numFmt w:val="decimal"/>
      <w:lvlText w:val="%1.%2.%3.%4.%5"/>
      <w:lvlJc w:val="left"/>
      <w:pPr>
        <w:ind w:left="2520" w:hanging="1080"/>
      </w:pPr>
      <w:rPr>
        <w:rFonts w:eastAsia="Times New Roman" w:hint="default"/>
        <w:color w:val="0070C0"/>
        <w:sz w:val="28"/>
      </w:rPr>
    </w:lvl>
    <w:lvl w:ilvl="5">
      <w:start w:val="1"/>
      <w:numFmt w:val="decimal"/>
      <w:lvlText w:val="%1.%2.%3.%4.%5.%6"/>
      <w:lvlJc w:val="left"/>
      <w:pPr>
        <w:ind w:left="2880" w:hanging="1080"/>
      </w:pPr>
      <w:rPr>
        <w:rFonts w:eastAsia="Times New Roman" w:hint="default"/>
        <w:color w:val="0070C0"/>
        <w:sz w:val="28"/>
      </w:rPr>
    </w:lvl>
    <w:lvl w:ilvl="6">
      <w:start w:val="1"/>
      <w:numFmt w:val="decimal"/>
      <w:lvlText w:val="%1.%2.%3.%4.%5.%6.%7"/>
      <w:lvlJc w:val="left"/>
      <w:pPr>
        <w:ind w:left="3600" w:hanging="1440"/>
      </w:pPr>
      <w:rPr>
        <w:rFonts w:eastAsia="Times New Roman" w:hint="default"/>
        <w:color w:val="0070C0"/>
        <w:sz w:val="28"/>
      </w:rPr>
    </w:lvl>
    <w:lvl w:ilvl="7">
      <w:start w:val="1"/>
      <w:numFmt w:val="decimal"/>
      <w:lvlText w:val="%1.%2.%3.%4.%5.%6.%7.%8"/>
      <w:lvlJc w:val="left"/>
      <w:pPr>
        <w:ind w:left="3960" w:hanging="1440"/>
      </w:pPr>
      <w:rPr>
        <w:rFonts w:eastAsia="Times New Roman" w:hint="default"/>
        <w:color w:val="0070C0"/>
        <w:sz w:val="28"/>
      </w:rPr>
    </w:lvl>
    <w:lvl w:ilvl="8">
      <w:start w:val="1"/>
      <w:numFmt w:val="decimal"/>
      <w:lvlText w:val="%1.%2.%3.%4.%5.%6.%7.%8.%9"/>
      <w:lvlJc w:val="left"/>
      <w:pPr>
        <w:ind w:left="4680" w:hanging="1800"/>
      </w:pPr>
      <w:rPr>
        <w:rFonts w:eastAsia="Times New Roman" w:hint="default"/>
        <w:color w:val="0070C0"/>
        <w:sz w:val="28"/>
      </w:rPr>
    </w:lvl>
  </w:abstractNum>
  <w:abstractNum w:abstractNumId="26" w15:restartNumberingAfterBreak="0">
    <w:nsid w:val="642B1B46"/>
    <w:multiLevelType w:val="hybridMultilevel"/>
    <w:tmpl w:val="4E884ADC"/>
    <w:lvl w:ilvl="0" w:tplc="CB481F1E">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4C47FEA"/>
    <w:multiLevelType w:val="hybridMultilevel"/>
    <w:tmpl w:val="A888E1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754518E"/>
    <w:multiLevelType w:val="hybridMultilevel"/>
    <w:tmpl w:val="FC328E00"/>
    <w:lvl w:ilvl="0" w:tplc="CB481F1E">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7D6539F"/>
    <w:multiLevelType w:val="hybridMultilevel"/>
    <w:tmpl w:val="1A6A9436"/>
    <w:lvl w:ilvl="0" w:tplc="F4445D48">
      <w:start w:val="1"/>
      <w:numFmt w:val="bullet"/>
      <w:lvlText w:val="-"/>
      <w:lvlJc w:val="left"/>
      <w:pPr>
        <w:ind w:left="717" w:hanging="360"/>
      </w:pPr>
      <w:rPr>
        <w:rFonts w:ascii="Lato" w:eastAsiaTheme="minorHAnsi" w:hAnsi="Lato" w:cstheme="minorBidi"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30" w15:restartNumberingAfterBreak="0">
    <w:nsid w:val="6C471DF4"/>
    <w:multiLevelType w:val="multilevel"/>
    <w:tmpl w:val="A70E6BB6"/>
    <w:lvl w:ilvl="0">
      <w:start w:val="1"/>
      <w:numFmt w:val="lowerLetter"/>
      <w:lvlText w:val="%1)"/>
      <w:lvlJc w:val="left"/>
      <w:pPr>
        <w:ind w:left="357" w:hanging="357"/>
      </w:pPr>
      <w:rPr>
        <w:rFonts w:hint="default"/>
        <w:b w:val="0"/>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3427D1E"/>
    <w:multiLevelType w:val="hybridMultilevel"/>
    <w:tmpl w:val="A3DA693C"/>
    <w:lvl w:ilvl="0" w:tplc="CB481F1E">
      <w:start w:val="1"/>
      <w:numFmt w:val="decimal"/>
      <w:lvlText w:val="(%1)"/>
      <w:lvlJc w:val="left"/>
      <w:pPr>
        <w:ind w:left="360" w:hanging="360"/>
      </w:pPr>
      <w:rPr>
        <w:rFonts w:hint="default"/>
        <w:b w:val="0"/>
      </w:rPr>
    </w:lvl>
    <w:lvl w:ilvl="1" w:tplc="FF700BB4">
      <w:start w:val="1"/>
      <w:numFmt w:val="lowerLetter"/>
      <w:lvlText w:val="(%2)"/>
      <w:lvlJc w:val="left"/>
      <w:pPr>
        <w:ind w:left="1080" w:hanging="360"/>
      </w:pPr>
      <w:rPr>
        <w:rFonts w:hint="default"/>
        <w:b w:val="0"/>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4565266">
    <w:abstractNumId w:val="24"/>
  </w:num>
  <w:num w:numId="2" w16cid:durableId="1284727922">
    <w:abstractNumId w:val="17"/>
  </w:num>
  <w:num w:numId="3" w16cid:durableId="1688092410">
    <w:abstractNumId w:val="5"/>
  </w:num>
  <w:num w:numId="4" w16cid:durableId="816803723">
    <w:abstractNumId w:val="6"/>
  </w:num>
  <w:num w:numId="5" w16cid:durableId="1932932631">
    <w:abstractNumId w:val="26"/>
  </w:num>
  <w:num w:numId="6" w16cid:durableId="284890053">
    <w:abstractNumId w:val="18"/>
  </w:num>
  <w:num w:numId="7" w16cid:durableId="2036151097">
    <w:abstractNumId w:val="28"/>
  </w:num>
  <w:num w:numId="8" w16cid:durableId="1479032804">
    <w:abstractNumId w:val="31"/>
  </w:num>
  <w:num w:numId="9" w16cid:durableId="90779968">
    <w:abstractNumId w:val="2"/>
  </w:num>
  <w:num w:numId="10" w16cid:durableId="1635600334">
    <w:abstractNumId w:val="19"/>
  </w:num>
  <w:num w:numId="11" w16cid:durableId="1218589245">
    <w:abstractNumId w:val="22"/>
  </w:num>
  <w:num w:numId="12" w16cid:durableId="1687516513">
    <w:abstractNumId w:val="30"/>
  </w:num>
  <w:num w:numId="13" w16cid:durableId="93281856">
    <w:abstractNumId w:val="4"/>
  </w:num>
  <w:num w:numId="14" w16cid:durableId="641235466">
    <w:abstractNumId w:val="17"/>
  </w:num>
  <w:num w:numId="15" w16cid:durableId="23753038">
    <w:abstractNumId w:val="9"/>
  </w:num>
  <w:num w:numId="16" w16cid:durableId="197359548">
    <w:abstractNumId w:val="13"/>
  </w:num>
  <w:num w:numId="17" w16cid:durableId="1774087386">
    <w:abstractNumId w:val="3"/>
  </w:num>
  <w:num w:numId="18" w16cid:durableId="1407652230">
    <w:abstractNumId w:val="27"/>
  </w:num>
  <w:num w:numId="19" w16cid:durableId="1411999266">
    <w:abstractNumId w:val="7"/>
  </w:num>
  <w:num w:numId="20" w16cid:durableId="161118333">
    <w:abstractNumId w:val="11"/>
  </w:num>
  <w:num w:numId="21" w16cid:durableId="1730809518">
    <w:abstractNumId w:val="23"/>
  </w:num>
  <w:num w:numId="22" w16cid:durableId="1836336170">
    <w:abstractNumId w:val="14"/>
  </w:num>
  <w:num w:numId="23" w16cid:durableId="1796290707">
    <w:abstractNumId w:val="16"/>
  </w:num>
  <w:num w:numId="24" w16cid:durableId="1653833252">
    <w:abstractNumId w:val="12"/>
  </w:num>
  <w:num w:numId="25" w16cid:durableId="2139780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6914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75691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3939147">
    <w:abstractNumId w:val="29"/>
  </w:num>
  <w:num w:numId="29" w16cid:durableId="1640374629">
    <w:abstractNumId w:val="25"/>
  </w:num>
  <w:num w:numId="30" w16cid:durableId="888805015">
    <w:abstractNumId w:val="1"/>
  </w:num>
  <w:num w:numId="31" w16cid:durableId="597374837">
    <w:abstractNumId w:val="10"/>
  </w:num>
  <w:num w:numId="32" w16cid:durableId="320087306">
    <w:abstractNumId w:val="15"/>
  </w:num>
  <w:num w:numId="33" w16cid:durableId="20097938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ctiveWritingStyle w:appName="MSWord" w:lang="en-US" w:vendorID="64" w:dllVersion="0" w:nlCheck="1" w:checkStyle="0"/>
  <w:trackRevisions/>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2B"/>
    <w:rsid w:val="00000E49"/>
    <w:rsid w:val="0000174F"/>
    <w:rsid w:val="000017CF"/>
    <w:rsid w:val="00001C8C"/>
    <w:rsid w:val="00001E1C"/>
    <w:rsid w:val="0001474A"/>
    <w:rsid w:val="00014D17"/>
    <w:rsid w:val="00014DEB"/>
    <w:rsid w:val="00021998"/>
    <w:rsid w:val="00023017"/>
    <w:rsid w:val="00024F9C"/>
    <w:rsid w:val="00025FE5"/>
    <w:rsid w:val="000269B0"/>
    <w:rsid w:val="00027544"/>
    <w:rsid w:val="00032961"/>
    <w:rsid w:val="0003640B"/>
    <w:rsid w:val="00037097"/>
    <w:rsid w:val="000412AF"/>
    <w:rsid w:val="000439BF"/>
    <w:rsid w:val="00045DD0"/>
    <w:rsid w:val="00046932"/>
    <w:rsid w:val="00047126"/>
    <w:rsid w:val="00047576"/>
    <w:rsid w:val="00047E43"/>
    <w:rsid w:val="000534CA"/>
    <w:rsid w:val="0005512D"/>
    <w:rsid w:val="00064D19"/>
    <w:rsid w:val="00065EE8"/>
    <w:rsid w:val="00065F19"/>
    <w:rsid w:val="0007278D"/>
    <w:rsid w:val="00075C22"/>
    <w:rsid w:val="00077C5E"/>
    <w:rsid w:val="0008048F"/>
    <w:rsid w:val="00080855"/>
    <w:rsid w:val="00081944"/>
    <w:rsid w:val="000858E5"/>
    <w:rsid w:val="000906FC"/>
    <w:rsid w:val="0009249F"/>
    <w:rsid w:val="00093BAE"/>
    <w:rsid w:val="000940BC"/>
    <w:rsid w:val="00097A81"/>
    <w:rsid w:val="000A31BF"/>
    <w:rsid w:val="000A3B25"/>
    <w:rsid w:val="000A778A"/>
    <w:rsid w:val="000B181E"/>
    <w:rsid w:val="000B3B6F"/>
    <w:rsid w:val="000B404C"/>
    <w:rsid w:val="000B42B1"/>
    <w:rsid w:val="000B4BD8"/>
    <w:rsid w:val="000B690B"/>
    <w:rsid w:val="000B705E"/>
    <w:rsid w:val="000C3E4E"/>
    <w:rsid w:val="000C4583"/>
    <w:rsid w:val="000C4CF4"/>
    <w:rsid w:val="000C568D"/>
    <w:rsid w:val="000C6D5D"/>
    <w:rsid w:val="000C71B9"/>
    <w:rsid w:val="000D184D"/>
    <w:rsid w:val="000D1A39"/>
    <w:rsid w:val="000D1EA0"/>
    <w:rsid w:val="000D5E4C"/>
    <w:rsid w:val="000E257E"/>
    <w:rsid w:val="000E3479"/>
    <w:rsid w:val="000E5519"/>
    <w:rsid w:val="000E5ADE"/>
    <w:rsid w:val="000F0EE2"/>
    <w:rsid w:val="000F229B"/>
    <w:rsid w:val="000F42FF"/>
    <w:rsid w:val="000F6915"/>
    <w:rsid w:val="00101389"/>
    <w:rsid w:val="00102A45"/>
    <w:rsid w:val="00102DDC"/>
    <w:rsid w:val="00103931"/>
    <w:rsid w:val="00105DFA"/>
    <w:rsid w:val="00105F1A"/>
    <w:rsid w:val="001061D2"/>
    <w:rsid w:val="00107714"/>
    <w:rsid w:val="001104E3"/>
    <w:rsid w:val="00115CD8"/>
    <w:rsid w:val="001207D8"/>
    <w:rsid w:val="0012162B"/>
    <w:rsid w:val="00124581"/>
    <w:rsid w:val="00125336"/>
    <w:rsid w:val="00130086"/>
    <w:rsid w:val="00133B13"/>
    <w:rsid w:val="001356D2"/>
    <w:rsid w:val="001364A4"/>
    <w:rsid w:val="00137009"/>
    <w:rsid w:val="00137C39"/>
    <w:rsid w:val="00140439"/>
    <w:rsid w:val="001404D2"/>
    <w:rsid w:val="00141F81"/>
    <w:rsid w:val="00144450"/>
    <w:rsid w:val="00152E50"/>
    <w:rsid w:val="00154E92"/>
    <w:rsid w:val="00155189"/>
    <w:rsid w:val="001574A2"/>
    <w:rsid w:val="00161817"/>
    <w:rsid w:val="001655AF"/>
    <w:rsid w:val="00165E15"/>
    <w:rsid w:val="00171443"/>
    <w:rsid w:val="00172826"/>
    <w:rsid w:val="00172963"/>
    <w:rsid w:val="0017799A"/>
    <w:rsid w:val="00181826"/>
    <w:rsid w:val="001819FD"/>
    <w:rsid w:val="0018267F"/>
    <w:rsid w:val="001933BA"/>
    <w:rsid w:val="00196FF3"/>
    <w:rsid w:val="00197631"/>
    <w:rsid w:val="001A0632"/>
    <w:rsid w:val="001A0A8E"/>
    <w:rsid w:val="001A1D64"/>
    <w:rsid w:val="001A252A"/>
    <w:rsid w:val="001A2F61"/>
    <w:rsid w:val="001A32EF"/>
    <w:rsid w:val="001A3848"/>
    <w:rsid w:val="001A4681"/>
    <w:rsid w:val="001A69AE"/>
    <w:rsid w:val="001B2DA0"/>
    <w:rsid w:val="001B343B"/>
    <w:rsid w:val="001B458B"/>
    <w:rsid w:val="001C0437"/>
    <w:rsid w:val="001C32CA"/>
    <w:rsid w:val="001C3C0F"/>
    <w:rsid w:val="001C4BB5"/>
    <w:rsid w:val="001C660A"/>
    <w:rsid w:val="001D0104"/>
    <w:rsid w:val="001D13ED"/>
    <w:rsid w:val="001D33C7"/>
    <w:rsid w:val="001D33E2"/>
    <w:rsid w:val="001D3DDE"/>
    <w:rsid w:val="001D767B"/>
    <w:rsid w:val="001E16C6"/>
    <w:rsid w:val="001E2437"/>
    <w:rsid w:val="001E3419"/>
    <w:rsid w:val="001E3BEF"/>
    <w:rsid w:val="001E6743"/>
    <w:rsid w:val="001E6AA3"/>
    <w:rsid w:val="001F762B"/>
    <w:rsid w:val="00202928"/>
    <w:rsid w:val="002045B4"/>
    <w:rsid w:val="00204E4B"/>
    <w:rsid w:val="0021110D"/>
    <w:rsid w:val="0021182F"/>
    <w:rsid w:val="002133FB"/>
    <w:rsid w:val="00220736"/>
    <w:rsid w:val="00226B8F"/>
    <w:rsid w:val="0023298A"/>
    <w:rsid w:val="00235CAB"/>
    <w:rsid w:val="00237B13"/>
    <w:rsid w:val="00241AFF"/>
    <w:rsid w:val="00241C69"/>
    <w:rsid w:val="0024246D"/>
    <w:rsid w:val="00243747"/>
    <w:rsid w:val="0024702B"/>
    <w:rsid w:val="002470CD"/>
    <w:rsid w:val="00247151"/>
    <w:rsid w:val="002471EB"/>
    <w:rsid w:val="00247892"/>
    <w:rsid w:val="0025045A"/>
    <w:rsid w:val="00255E7A"/>
    <w:rsid w:val="002607B4"/>
    <w:rsid w:val="00265318"/>
    <w:rsid w:val="00266884"/>
    <w:rsid w:val="0027045C"/>
    <w:rsid w:val="00273E82"/>
    <w:rsid w:val="002768A7"/>
    <w:rsid w:val="00280649"/>
    <w:rsid w:val="00282113"/>
    <w:rsid w:val="002826B3"/>
    <w:rsid w:val="0028338E"/>
    <w:rsid w:val="002857EA"/>
    <w:rsid w:val="00290721"/>
    <w:rsid w:val="00291184"/>
    <w:rsid w:val="002915A8"/>
    <w:rsid w:val="00291730"/>
    <w:rsid w:val="002922C6"/>
    <w:rsid w:val="002948AC"/>
    <w:rsid w:val="00295ED2"/>
    <w:rsid w:val="00296E2B"/>
    <w:rsid w:val="002A5E88"/>
    <w:rsid w:val="002A7A28"/>
    <w:rsid w:val="002B340E"/>
    <w:rsid w:val="002B56C9"/>
    <w:rsid w:val="002B6A1A"/>
    <w:rsid w:val="002B7733"/>
    <w:rsid w:val="002C0D20"/>
    <w:rsid w:val="002C184C"/>
    <w:rsid w:val="002C187D"/>
    <w:rsid w:val="002C29C1"/>
    <w:rsid w:val="002C3C01"/>
    <w:rsid w:val="002C436A"/>
    <w:rsid w:val="002C500A"/>
    <w:rsid w:val="002C6407"/>
    <w:rsid w:val="002C70BA"/>
    <w:rsid w:val="002D0B93"/>
    <w:rsid w:val="002D119C"/>
    <w:rsid w:val="002D25E6"/>
    <w:rsid w:val="002D26FB"/>
    <w:rsid w:val="002E1107"/>
    <w:rsid w:val="002E1428"/>
    <w:rsid w:val="002E3799"/>
    <w:rsid w:val="002E5232"/>
    <w:rsid w:val="002E757A"/>
    <w:rsid w:val="002F018E"/>
    <w:rsid w:val="003013A2"/>
    <w:rsid w:val="0030239E"/>
    <w:rsid w:val="00302DBD"/>
    <w:rsid w:val="00303E4A"/>
    <w:rsid w:val="00304020"/>
    <w:rsid w:val="00304CC3"/>
    <w:rsid w:val="00306019"/>
    <w:rsid w:val="00307722"/>
    <w:rsid w:val="003116B2"/>
    <w:rsid w:val="00313F0F"/>
    <w:rsid w:val="003156B1"/>
    <w:rsid w:val="00315DA2"/>
    <w:rsid w:val="0031626A"/>
    <w:rsid w:val="00317823"/>
    <w:rsid w:val="00321ED7"/>
    <w:rsid w:val="00323BD9"/>
    <w:rsid w:val="00325203"/>
    <w:rsid w:val="00326F62"/>
    <w:rsid w:val="00327461"/>
    <w:rsid w:val="0033002D"/>
    <w:rsid w:val="00330F0A"/>
    <w:rsid w:val="0033191B"/>
    <w:rsid w:val="003324C4"/>
    <w:rsid w:val="003327D1"/>
    <w:rsid w:val="0033317F"/>
    <w:rsid w:val="00333450"/>
    <w:rsid w:val="00335A10"/>
    <w:rsid w:val="003374A2"/>
    <w:rsid w:val="003419D8"/>
    <w:rsid w:val="003446E3"/>
    <w:rsid w:val="0034478F"/>
    <w:rsid w:val="0034694B"/>
    <w:rsid w:val="00347635"/>
    <w:rsid w:val="00347EEA"/>
    <w:rsid w:val="00350167"/>
    <w:rsid w:val="00351AF4"/>
    <w:rsid w:val="00351F8B"/>
    <w:rsid w:val="00354328"/>
    <w:rsid w:val="00360FD8"/>
    <w:rsid w:val="003622A8"/>
    <w:rsid w:val="003637D0"/>
    <w:rsid w:val="00363914"/>
    <w:rsid w:val="003642E6"/>
    <w:rsid w:val="00365674"/>
    <w:rsid w:val="00371B6F"/>
    <w:rsid w:val="003767F8"/>
    <w:rsid w:val="0037790C"/>
    <w:rsid w:val="00377B05"/>
    <w:rsid w:val="003800D5"/>
    <w:rsid w:val="00381753"/>
    <w:rsid w:val="00382416"/>
    <w:rsid w:val="00383227"/>
    <w:rsid w:val="0038429D"/>
    <w:rsid w:val="00386869"/>
    <w:rsid w:val="003926C0"/>
    <w:rsid w:val="00394D40"/>
    <w:rsid w:val="00395576"/>
    <w:rsid w:val="00396E33"/>
    <w:rsid w:val="003A2991"/>
    <w:rsid w:val="003A7715"/>
    <w:rsid w:val="003B2324"/>
    <w:rsid w:val="003B2813"/>
    <w:rsid w:val="003B2B5E"/>
    <w:rsid w:val="003B36F1"/>
    <w:rsid w:val="003B42D8"/>
    <w:rsid w:val="003B4619"/>
    <w:rsid w:val="003B54F8"/>
    <w:rsid w:val="003B6550"/>
    <w:rsid w:val="003B7F4D"/>
    <w:rsid w:val="003C12C8"/>
    <w:rsid w:val="003C1371"/>
    <w:rsid w:val="003C1B41"/>
    <w:rsid w:val="003C332B"/>
    <w:rsid w:val="003C42F8"/>
    <w:rsid w:val="003C6317"/>
    <w:rsid w:val="003C728D"/>
    <w:rsid w:val="003D0B73"/>
    <w:rsid w:val="003D434F"/>
    <w:rsid w:val="003D60D5"/>
    <w:rsid w:val="003D6453"/>
    <w:rsid w:val="003D6454"/>
    <w:rsid w:val="003E4851"/>
    <w:rsid w:val="003E4DB0"/>
    <w:rsid w:val="003E4F91"/>
    <w:rsid w:val="003E55AD"/>
    <w:rsid w:val="003E5DC2"/>
    <w:rsid w:val="003E644B"/>
    <w:rsid w:val="003E6C71"/>
    <w:rsid w:val="003E7C4F"/>
    <w:rsid w:val="003F0572"/>
    <w:rsid w:val="003F0B32"/>
    <w:rsid w:val="003F2793"/>
    <w:rsid w:val="003F56CB"/>
    <w:rsid w:val="003F68B9"/>
    <w:rsid w:val="003F68EB"/>
    <w:rsid w:val="0040076D"/>
    <w:rsid w:val="00400AA6"/>
    <w:rsid w:val="00401234"/>
    <w:rsid w:val="00404849"/>
    <w:rsid w:val="0040691B"/>
    <w:rsid w:val="004069A9"/>
    <w:rsid w:val="00411550"/>
    <w:rsid w:val="00412D71"/>
    <w:rsid w:val="00413C4D"/>
    <w:rsid w:val="00414103"/>
    <w:rsid w:val="00416D11"/>
    <w:rsid w:val="00423385"/>
    <w:rsid w:val="004260C0"/>
    <w:rsid w:val="00427E12"/>
    <w:rsid w:val="004312DD"/>
    <w:rsid w:val="00434D10"/>
    <w:rsid w:val="00442A32"/>
    <w:rsid w:val="0044609D"/>
    <w:rsid w:val="00446315"/>
    <w:rsid w:val="0045057A"/>
    <w:rsid w:val="0045109E"/>
    <w:rsid w:val="00452D86"/>
    <w:rsid w:val="00453882"/>
    <w:rsid w:val="00453B27"/>
    <w:rsid w:val="00454F58"/>
    <w:rsid w:val="004554EE"/>
    <w:rsid w:val="00456558"/>
    <w:rsid w:val="00460179"/>
    <w:rsid w:val="00460C14"/>
    <w:rsid w:val="004628F5"/>
    <w:rsid w:val="00463375"/>
    <w:rsid w:val="00463A20"/>
    <w:rsid w:val="00463BF1"/>
    <w:rsid w:val="00463CF1"/>
    <w:rsid w:val="0046563A"/>
    <w:rsid w:val="0047063D"/>
    <w:rsid w:val="004708DC"/>
    <w:rsid w:val="0047122A"/>
    <w:rsid w:val="00477AFE"/>
    <w:rsid w:val="0048316B"/>
    <w:rsid w:val="00485FAE"/>
    <w:rsid w:val="0048625E"/>
    <w:rsid w:val="00486F88"/>
    <w:rsid w:val="004917AB"/>
    <w:rsid w:val="00493151"/>
    <w:rsid w:val="0049412C"/>
    <w:rsid w:val="00494407"/>
    <w:rsid w:val="004947B7"/>
    <w:rsid w:val="0049548F"/>
    <w:rsid w:val="004A05C5"/>
    <w:rsid w:val="004A1F18"/>
    <w:rsid w:val="004A3ABD"/>
    <w:rsid w:val="004A3FEA"/>
    <w:rsid w:val="004A5E1C"/>
    <w:rsid w:val="004A5E43"/>
    <w:rsid w:val="004B0455"/>
    <w:rsid w:val="004B11B8"/>
    <w:rsid w:val="004B4339"/>
    <w:rsid w:val="004B536F"/>
    <w:rsid w:val="004B5882"/>
    <w:rsid w:val="004B77EC"/>
    <w:rsid w:val="004B79DC"/>
    <w:rsid w:val="004C189E"/>
    <w:rsid w:val="004C261B"/>
    <w:rsid w:val="004C470F"/>
    <w:rsid w:val="004D15C3"/>
    <w:rsid w:val="004D2331"/>
    <w:rsid w:val="004D50EC"/>
    <w:rsid w:val="004D6F80"/>
    <w:rsid w:val="004E1B0B"/>
    <w:rsid w:val="004E261E"/>
    <w:rsid w:val="004E37D6"/>
    <w:rsid w:val="004E6B7A"/>
    <w:rsid w:val="004E7943"/>
    <w:rsid w:val="004F027F"/>
    <w:rsid w:val="004F4B5C"/>
    <w:rsid w:val="004F586E"/>
    <w:rsid w:val="004F6587"/>
    <w:rsid w:val="004F6698"/>
    <w:rsid w:val="004F7DCC"/>
    <w:rsid w:val="00500997"/>
    <w:rsid w:val="00500DC5"/>
    <w:rsid w:val="00501274"/>
    <w:rsid w:val="00501BB2"/>
    <w:rsid w:val="0050233F"/>
    <w:rsid w:val="00503435"/>
    <w:rsid w:val="005053A2"/>
    <w:rsid w:val="00505812"/>
    <w:rsid w:val="00505E69"/>
    <w:rsid w:val="005107F3"/>
    <w:rsid w:val="00510DD6"/>
    <w:rsid w:val="005112ED"/>
    <w:rsid w:val="00511A65"/>
    <w:rsid w:val="00513EB3"/>
    <w:rsid w:val="00521909"/>
    <w:rsid w:val="00527508"/>
    <w:rsid w:val="00532ABA"/>
    <w:rsid w:val="00534D9A"/>
    <w:rsid w:val="00535B35"/>
    <w:rsid w:val="00536A6F"/>
    <w:rsid w:val="00541246"/>
    <w:rsid w:val="00543680"/>
    <w:rsid w:val="00545922"/>
    <w:rsid w:val="00546770"/>
    <w:rsid w:val="005500E3"/>
    <w:rsid w:val="005523BD"/>
    <w:rsid w:val="00554B48"/>
    <w:rsid w:val="00554CD0"/>
    <w:rsid w:val="005555BC"/>
    <w:rsid w:val="0055730C"/>
    <w:rsid w:val="00562C1B"/>
    <w:rsid w:val="00563F63"/>
    <w:rsid w:val="00564F01"/>
    <w:rsid w:val="00565455"/>
    <w:rsid w:val="00566D9F"/>
    <w:rsid w:val="00566F12"/>
    <w:rsid w:val="00567EEB"/>
    <w:rsid w:val="00567FDF"/>
    <w:rsid w:val="00570D6C"/>
    <w:rsid w:val="00572A80"/>
    <w:rsid w:val="00574FA2"/>
    <w:rsid w:val="00581099"/>
    <w:rsid w:val="005817AC"/>
    <w:rsid w:val="005832CF"/>
    <w:rsid w:val="0058353D"/>
    <w:rsid w:val="005844EE"/>
    <w:rsid w:val="00586AD8"/>
    <w:rsid w:val="00586D04"/>
    <w:rsid w:val="00586F7B"/>
    <w:rsid w:val="00591D74"/>
    <w:rsid w:val="005937C0"/>
    <w:rsid w:val="005A1432"/>
    <w:rsid w:val="005A3458"/>
    <w:rsid w:val="005A377F"/>
    <w:rsid w:val="005A6424"/>
    <w:rsid w:val="005A6857"/>
    <w:rsid w:val="005A7456"/>
    <w:rsid w:val="005A74B8"/>
    <w:rsid w:val="005A7E44"/>
    <w:rsid w:val="005B2287"/>
    <w:rsid w:val="005B25E3"/>
    <w:rsid w:val="005B2AD0"/>
    <w:rsid w:val="005B617F"/>
    <w:rsid w:val="005B66E5"/>
    <w:rsid w:val="005C0B1E"/>
    <w:rsid w:val="005C1A22"/>
    <w:rsid w:val="005C5489"/>
    <w:rsid w:val="005C604B"/>
    <w:rsid w:val="005C6C93"/>
    <w:rsid w:val="005D0E90"/>
    <w:rsid w:val="005D7E18"/>
    <w:rsid w:val="005E0D17"/>
    <w:rsid w:val="005E12EC"/>
    <w:rsid w:val="005E1E9D"/>
    <w:rsid w:val="005E39C4"/>
    <w:rsid w:val="005F3E7A"/>
    <w:rsid w:val="005F5215"/>
    <w:rsid w:val="005F6B81"/>
    <w:rsid w:val="0060181C"/>
    <w:rsid w:val="00605E05"/>
    <w:rsid w:val="00610F87"/>
    <w:rsid w:val="00614122"/>
    <w:rsid w:val="0061588A"/>
    <w:rsid w:val="00620344"/>
    <w:rsid w:val="00624848"/>
    <w:rsid w:val="00625345"/>
    <w:rsid w:val="00627B6D"/>
    <w:rsid w:val="00631258"/>
    <w:rsid w:val="006356BF"/>
    <w:rsid w:val="00635E29"/>
    <w:rsid w:val="0063702B"/>
    <w:rsid w:val="006371C3"/>
    <w:rsid w:val="00637616"/>
    <w:rsid w:val="006429E1"/>
    <w:rsid w:val="00643AE1"/>
    <w:rsid w:val="00644342"/>
    <w:rsid w:val="0064502C"/>
    <w:rsid w:val="00646AB6"/>
    <w:rsid w:val="00653F37"/>
    <w:rsid w:val="006548CC"/>
    <w:rsid w:val="006564E8"/>
    <w:rsid w:val="00656D94"/>
    <w:rsid w:val="00656F0A"/>
    <w:rsid w:val="00657A35"/>
    <w:rsid w:val="0066098A"/>
    <w:rsid w:val="00664641"/>
    <w:rsid w:val="006656AA"/>
    <w:rsid w:val="006662E4"/>
    <w:rsid w:val="00670B06"/>
    <w:rsid w:val="00671E97"/>
    <w:rsid w:val="00673C06"/>
    <w:rsid w:val="006801E6"/>
    <w:rsid w:val="00680C96"/>
    <w:rsid w:val="00681797"/>
    <w:rsid w:val="00682541"/>
    <w:rsid w:val="006825A9"/>
    <w:rsid w:val="00684DE2"/>
    <w:rsid w:val="00684DFB"/>
    <w:rsid w:val="00685E0F"/>
    <w:rsid w:val="0068631C"/>
    <w:rsid w:val="00687199"/>
    <w:rsid w:val="00690563"/>
    <w:rsid w:val="00691F31"/>
    <w:rsid w:val="00692412"/>
    <w:rsid w:val="00693E9B"/>
    <w:rsid w:val="00697F37"/>
    <w:rsid w:val="006A0F83"/>
    <w:rsid w:val="006A11B1"/>
    <w:rsid w:val="006A5BF8"/>
    <w:rsid w:val="006A6DAE"/>
    <w:rsid w:val="006A7BF8"/>
    <w:rsid w:val="006B0740"/>
    <w:rsid w:val="006B0896"/>
    <w:rsid w:val="006B15A1"/>
    <w:rsid w:val="006B2CE1"/>
    <w:rsid w:val="006B431F"/>
    <w:rsid w:val="006B458A"/>
    <w:rsid w:val="006B75AB"/>
    <w:rsid w:val="006C048D"/>
    <w:rsid w:val="006C425D"/>
    <w:rsid w:val="006C5F69"/>
    <w:rsid w:val="006C7211"/>
    <w:rsid w:val="006D335B"/>
    <w:rsid w:val="006D3704"/>
    <w:rsid w:val="006D3C8E"/>
    <w:rsid w:val="006D563F"/>
    <w:rsid w:val="006D65A9"/>
    <w:rsid w:val="006E35A2"/>
    <w:rsid w:val="006F0E03"/>
    <w:rsid w:val="006F1420"/>
    <w:rsid w:val="006F242B"/>
    <w:rsid w:val="006F26B5"/>
    <w:rsid w:val="006F333A"/>
    <w:rsid w:val="006F5702"/>
    <w:rsid w:val="006F615A"/>
    <w:rsid w:val="006F7EE3"/>
    <w:rsid w:val="00706DE7"/>
    <w:rsid w:val="00710FCD"/>
    <w:rsid w:val="007111FB"/>
    <w:rsid w:val="00711436"/>
    <w:rsid w:val="007149B4"/>
    <w:rsid w:val="00716B93"/>
    <w:rsid w:val="007224C7"/>
    <w:rsid w:val="00722FAC"/>
    <w:rsid w:val="00725A78"/>
    <w:rsid w:val="007267CA"/>
    <w:rsid w:val="00727F4E"/>
    <w:rsid w:val="00731844"/>
    <w:rsid w:val="00733DF4"/>
    <w:rsid w:val="00734D2F"/>
    <w:rsid w:val="007351F5"/>
    <w:rsid w:val="00737AD9"/>
    <w:rsid w:val="00740A54"/>
    <w:rsid w:val="00741889"/>
    <w:rsid w:val="00741C50"/>
    <w:rsid w:val="00745FAC"/>
    <w:rsid w:val="0075100D"/>
    <w:rsid w:val="00752841"/>
    <w:rsid w:val="007548C2"/>
    <w:rsid w:val="0075499A"/>
    <w:rsid w:val="007556EE"/>
    <w:rsid w:val="007565FD"/>
    <w:rsid w:val="00756873"/>
    <w:rsid w:val="00756B2A"/>
    <w:rsid w:val="0075791C"/>
    <w:rsid w:val="00761974"/>
    <w:rsid w:val="00762838"/>
    <w:rsid w:val="007629C3"/>
    <w:rsid w:val="00764C6E"/>
    <w:rsid w:val="0077041A"/>
    <w:rsid w:val="007756C4"/>
    <w:rsid w:val="00775DC7"/>
    <w:rsid w:val="00777CAF"/>
    <w:rsid w:val="007807D2"/>
    <w:rsid w:val="0078194F"/>
    <w:rsid w:val="00783338"/>
    <w:rsid w:val="00783633"/>
    <w:rsid w:val="00784200"/>
    <w:rsid w:val="007857D5"/>
    <w:rsid w:val="00785C17"/>
    <w:rsid w:val="00786309"/>
    <w:rsid w:val="00791932"/>
    <w:rsid w:val="00792795"/>
    <w:rsid w:val="00793055"/>
    <w:rsid w:val="00793855"/>
    <w:rsid w:val="007951CA"/>
    <w:rsid w:val="007958AE"/>
    <w:rsid w:val="007964BB"/>
    <w:rsid w:val="0079694A"/>
    <w:rsid w:val="00796BCC"/>
    <w:rsid w:val="00797400"/>
    <w:rsid w:val="007A3205"/>
    <w:rsid w:val="007A6CF1"/>
    <w:rsid w:val="007A71E1"/>
    <w:rsid w:val="007A7ED8"/>
    <w:rsid w:val="007B0D95"/>
    <w:rsid w:val="007B1C2A"/>
    <w:rsid w:val="007B2F4A"/>
    <w:rsid w:val="007B39ED"/>
    <w:rsid w:val="007B4411"/>
    <w:rsid w:val="007B45B6"/>
    <w:rsid w:val="007C0A77"/>
    <w:rsid w:val="007C4C49"/>
    <w:rsid w:val="007D087A"/>
    <w:rsid w:val="007D2BC2"/>
    <w:rsid w:val="007D307F"/>
    <w:rsid w:val="007D583A"/>
    <w:rsid w:val="007D6576"/>
    <w:rsid w:val="007D6B32"/>
    <w:rsid w:val="007D73A0"/>
    <w:rsid w:val="007E04D7"/>
    <w:rsid w:val="007E213D"/>
    <w:rsid w:val="007E3188"/>
    <w:rsid w:val="007E339D"/>
    <w:rsid w:val="007E722D"/>
    <w:rsid w:val="007F0385"/>
    <w:rsid w:val="007F1039"/>
    <w:rsid w:val="007F6381"/>
    <w:rsid w:val="007F7BF1"/>
    <w:rsid w:val="007F7C8F"/>
    <w:rsid w:val="007F7F70"/>
    <w:rsid w:val="008004EE"/>
    <w:rsid w:val="00800922"/>
    <w:rsid w:val="00801792"/>
    <w:rsid w:val="00801ABE"/>
    <w:rsid w:val="008025F3"/>
    <w:rsid w:val="008034A5"/>
    <w:rsid w:val="00803882"/>
    <w:rsid w:val="00805CE6"/>
    <w:rsid w:val="00806219"/>
    <w:rsid w:val="00811B14"/>
    <w:rsid w:val="00813C4C"/>
    <w:rsid w:val="00821A8F"/>
    <w:rsid w:val="00821FE7"/>
    <w:rsid w:val="00824CF6"/>
    <w:rsid w:val="00826A70"/>
    <w:rsid w:val="00826C3C"/>
    <w:rsid w:val="00826D1E"/>
    <w:rsid w:val="00827483"/>
    <w:rsid w:val="00827911"/>
    <w:rsid w:val="008318D2"/>
    <w:rsid w:val="00832457"/>
    <w:rsid w:val="00832846"/>
    <w:rsid w:val="00833F88"/>
    <w:rsid w:val="00834310"/>
    <w:rsid w:val="008405FD"/>
    <w:rsid w:val="008428AE"/>
    <w:rsid w:val="00844D47"/>
    <w:rsid w:val="00846511"/>
    <w:rsid w:val="0084727B"/>
    <w:rsid w:val="008537D7"/>
    <w:rsid w:val="00853F43"/>
    <w:rsid w:val="008549FC"/>
    <w:rsid w:val="00854D67"/>
    <w:rsid w:val="00857FD2"/>
    <w:rsid w:val="00860501"/>
    <w:rsid w:val="008606F8"/>
    <w:rsid w:val="00861745"/>
    <w:rsid w:val="00862298"/>
    <w:rsid w:val="00863B13"/>
    <w:rsid w:val="008647FC"/>
    <w:rsid w:val="00870FA7"/>
    <w:rsid w:val="00873EB6"/>
    <w:rsid w:val="00876632"/>
    <w:rsid w:val="00882182"/>
    <w:rsid w:val="0088229A"/>
    <w:rsid w:val="00883B5B"/>
    <w:rsid w:val="00887C6D"/>
    <w:rsid w:val="00890712"/>
    <w:rsid w:val="0089494C"/>
    <w:rsid w:val="00894C8E"/>
    <w:rsid w:val="00895313"/>
    <w:rsid w:val="008A16EA"/>
    <w:rsid w:val="008A20A0"/>
    <w:rsid w:val="008A4F84"/>
    <w:rsid w:val="008A5497"/>
    <w:rsid w:val="008B5976"/>
    <w:rsid w:val="008B5A94"/>
    <w:rsid w:val="008B60DD"/>
    <w:rsid w:val="008C0E90"/>
    <w:rsid w:val="008C1311"/>
    <w:rsid w:val="008C1661"/>
    <w:rsid w:val="008C2EC0"/>
    <w:rsid w:val="008C5531"/>
    <w:rsid w:val="008C6FE2"/>
    <w:rsid w:val="008D0BAA"/>
    <w:rsid w:val="008D49A2"/>
    <w:rsid w:val="008D5E9E"/>
    <w:rsid w:val="008D7ACD"/>
    <w:rsid w:val="008E29F8"/>
    <w:rsid w:val="008E4623"/>
    <w:rsid w:val="008E60F2"/>
    <w:rsid w:val="008E68D2"/>
    <w:rsid w:val="008F07A6"/>
    <w:rsid w:val="008F0948"/>
    <w:rsid w:val="008F1702"/>
    <w:rsid w:val="008F586B"/>
    <w:rsid w:val="008F724D"/>
    <w:rsid w:val="009005CF"/>
    <w:rsid w:val="00901F2B"/>
    <w:rsid w:val="009124DE"/>
    <w:rsid w:val="009144C3"/>
    <w:rsid w:val="00917061"/>
    <w:rsid w:val="00917344"/>
    <w:rsid w:val="00917871"/>
    <w:rsid w:val="00917BDB"/>
    <w:rsid w:val="00920E42"/>
    <w:rsid w:val="0092162B"/>
    <w:rsid w:val="00930B60"/>
    <w:rsid w:val="00932A27"/>
    <w:rsid w:val="0093587D"/>
    <w:rsid w:val="00935C58"/>
    <w:rsid w:val="009451CF"/>
    <w:rsid w:val="00950A15"/>
    <w:rsid w:val="00950F8B"/>
    <w:rsid w:val="00953DE9"/>
    <w:rsid w:val="00954474"/>
    <w:rsid w:val="00955E12"/>
    <w:rsid w:val="0095782A"/>
    <w:rsid w:val="00962C3C"/>
    <w:rsid w:val="00962ED6"/>
    <w:rsid w:val="00963F05"/>
    <w:rsid w:val="00966AFA"/>
    <w:rsid w:val="00966B4E"/>
    <w:rsid w:val="0097305B"/>
    <w:rsid w:val="009749DE"/>
    <w:rsid w:val="00977C88"/>
    <w:rsid w:val="00980561"/>
    <w:rsid w:val="0098444B"/>
    <w:rsid w:val="009851FB"/>
    <w:rsid w:val="00987B2C"/>
    <w:rsid w:val="0099702A"/>
    <w:rsid w:val="0099729A"/>
    <w:rsid w:val="009A075B"/>
    <w:rsid w:val="009A0977"/>
    <w:rsid w:val="009A2127"/>
    <w:rsid w:val="009A2958"/>
    <w:rsid w:val="009A42E2"/>
    <w:rsid w:val="009A5D8A"/>
    <w:rsid w:val="009A6E69"/>
    <w:rsid w:val="009B0BA1"/>
    <w:rsid w:val="009B180A"/>
    <w:rsid w:val="009B33F4"/>
    <w:rsid w:val="009B345A"/>
    <w:rsid w:val="009B37E8"/>
    <w:rsid w:val="009B3BC8"/>
    <w:rsid w:val="009B6D48"/>
    <w:rsid w:val="009C086D"/>
    <w:rsid w:val="009C0D30"/>
    <w:rsid w:val="009C0F74"/>
    <w:rsid w:val="009C15C6"/>
    <w:rsid w:val="009C3025"/>
    <w:rsid w:val="009C4293"/>
    <w:rsid w:val="009C4D47"/>
    <w:rsid w:val="009C68B6"/>
    <w:rsid w:val="009C7FC7"/>
    <w:rsid w:val="009D0AB2"/>
    <w:rsid w:val="009D2136"/>
    <w:rsid w:val="009D34E8"/>
    <w:rsid w:val="009D378F"/>
    <w:rsid w:val="009D3E0F"/>
    <w:rsid w:val="009D6363"/>
    <w:rsid w:val="009D6689"/>
    <w:rsid w:val="009E08C0"/>
    <w:rsid w:val="009E0AF8"/>
    <w:rsid w:val="009E2FFB"/>
    <w:rsid w:val="009E4140"/>
    <w:rsid w:val="009E50BC"/>
    <w:rsid w:val="009E6608"/>
    <w:rsid w:val="009F0D73"/>
    <w:rsid w:val="009F1B68"/>
    <w:rsid w:val="009F383F"/>
    <w:rsid w:val="009F6638"/>
    <w:rsid w:val="009F68A0"/>
    <w:rsid w:val="009F773F"/>
    <w:rsid w:val="00A001FA"/>
    <w:rsid w:val="00A00651"/>
    <w:rsid w:val="00A0129C"/>
    <w:rsid w:val="00A05B1C"/>
    <w:rsid w:val="00A10E24"/>
    <w:rsid w:val="00A11429"/>
    <w:rsid w:val="00A128CF"/>
    <w:rsid w:val="00A13539"/>
    <w:rsid w:val="00A146BC"/>
    <w:rsid w:val="00A14A7D"/>
    <w:rsid w:val="00A170E3"/>
    <w:rsid w:val="00A24AD4"/>
    <w:rsid w:val="00A25732"/>
    <w:rsid w:val="00A2693C"/>
    <w:rsid w:val="00A26B7B"/>
    <w:rsid w:val="00A26EFD"/>
    <w:rsid w:val="00A301A4"/>
    <w:rsid w:val="00A30684"/>
    <w:rsid w:val="00A334D2"/>
    <w:rsid w:val="00A336AA"/>
    <w:rsid w:val="00A403EA"/>
    <w:rsid w:val="00A40806"/>
    <w:rsid w:val="00A45A88"/>
    <w:rsid w:val="00A5093C"/>
    <w:rsid w:val="00A50E31"/>
    <w:rsid w:val="00A52B35"/>
    <w:rsid w:val="00A53AD2"/>
    <w:rsid w:val="00A557F7"/>
    <w:rsid w:val="00A63A48"/>
    <w:rsid w:val="00A63EFB"/>
    <w:rsid w:val="00A7035B"/>
    <w:rsid w:val="00A725C3"/>
    <w:rsid w:val="00A754B3"/>
    <w:rsid w:val="00A75E4C"/>
    <w:rsid w:val="00A77A5A"/>
    <w:rsid w:val="00A81072"/>
    <w:rsid w:val="00A83CA8"/>
    <w:rsid w:val="00A87E9F"/>
    <w:rsid w:val="00A91485"/>
    <w:rsid w:val="00A94D32"/>
    <w:rsid w:val="00AA158E"/>
    <w:rsid w:val="00AA19FA"/>
    <w:rsid w:val="00AA1B17"/>
    <w:rsid w:val="00AA3F50"/>
    <w:rsid w:val="00AB045D"/>
    <w:rsid w:val="00AB100A"/>
    <w:rsid w:val="00AB5037"/>
    <w:rsid w:val="00AB55A1"/>
    <w:rsid w:val="00AB6A83"/>
    <w:rsid w:val="00AC3636"/>
    <w:rsid w:val="00AC5162"/>
    <w:rsid w:val="00AC69C2"/>
    <w:rsid w:val="00AC6B8A"/>
    <w:rsid w:val="00AD15A7"/>
    <w:rsid w:val="00AD3A90"/>
    <w:rsid w:val="00AD7985"/>
    <w:rsid w:val="00AE3737"/>
    <w:rsid w:val="00AE5389"/>
    <w:rsid w:val="00AE63FB"/>
    <w:rsid w:val="00AF0BF2"/>
    <w:rsid w:val="00AF0DE3"/>
    <w:rsid w:val="00AF5703"/>
    <w:rsid w:val="00B01D81"/>
    <w:rsid w:val="00B0328E"/>
    <w:rsid w:val="00B0363F"/>
    <w:rsid w:val="00B039D3"/>
    <w:rsid w:val="00B06117"/>
    <w:rsid w:val="00B10D82"/>
    <w:rsid w:val="00B11292"/>
    <w:rsid w:val="00B11DF3"/>
    <w:rsid w:val="00B12D15"/>
    <w:rsid w:val="00B15723"/>
    <w:rsid w:val="00B176A5"/>
    <w:rsid w:val="00B2086C"/>
    <w:rsid w:val="00B232F6"/>
    <w:rsid w:val="00B23481"/>
    <w:rsid w:val="00B262E6"/>
    <w:rsid w:val="00B27A53"/>
    <w:rsid w:val="00B27FEA"/>
    <w:rsid w:val="00B30064"/>
    <w:rsid w:val="00B32644"/>
    <w:rsid w:val="00B33DB0"/>
    <w:rsid w:val="00B33FEE"/>
    <w:rsid w:val="00B34581"/>
    <w:rsid w:val="00B356BE"/>
    <w:rsid w:val="00B3727C"/>
    <w:rsid w:val="00B37EB6"/>
    <w:rsid w:val="00B37F4C"/>
    <w:rsid w:val="00B40013"/>
    <w:rsid w:val="00B44CB6"/>
    <w:rsid w:val="00B44D7D"/>
    <w:rsid w:val="00B4562A"/>
    <w:rsid w:val="00B46710"/>
    <w:rsid w:val="00B52893"/>
    <w:rsid w:val="00B52A2E"/>
    <w:rsid w:val="00B53B72"/>
    <w:rsid w:val="00B56B4A"/>
    <w:rsid w:val="00B6182A"/>
    <w:rsid w:val="00B61B23"/>
    <w:rsid w:val="00B64C92"/>
    <w:rsid w:val="00B70590"/>
    <w:rsid w:val="00B7322E"/>
    <w:rsid w:val="00B74A21"/>
    <w:rsid w:val="00B76D58"/>
    <w:rsid w:val="00B77044"/>
    <w:rsid w:val="00B81DD8"/>
    <w:rsid w:val="00B85474"/>
    <w:rsid w:val="00B8767E"/>
    <w:rsid w:val="00B91A7A"/>
    <w:rsid w:val="00B94278"/>
    <w:rsid w:val="00B94F03"/>
    <w:rsid w:val="00B9713E"/>
    <w:rsid w:val="00BA204A"/>
    <w:rsid w:val="00BA63C5"/>
    <w:rsid w:val="00BA773F"/>
    <w:rsid w:val="00BB2F5D"/>
    <w:rsid w:val="00BB49CB"/>
    <w:rsid w:val="00BB6DD9"/>
    <w:rsid w:val="00BB6EB8"/>
    <w:rsid w:val="00BC0A92"/>
    <w:rsid w:val="00BC21C8"/>
    <w:rsid w:val="00BC4983"/>
    <w:rsid w:val="00BC4BDF"/>
    <w:rsid w:val="00BC7A3E"/>
    <w:rsid w:val="00BD2CC8"/>
    <w:rsid w:val="00BD3AC3"/>
    <w:rsid w:val="00BD51F9"/>
    <w:rsid w:val="00BD5BDF"/>
    <w:rsid w:val="00BD7561"/>
    <w:rsid w:val="00BE0B9E"/>
    <w:rsid w:val="00BE0DC3"/>
    <w:rsid w:val="00BE1F77"/>
    <w:rsid w:val="00BE284E"/>
    <w:rsid w:val="00BE45B3"/>
    <w:rsid w:val="00BE63C5"/>
    <w:rsid w:val="00BE6495"/>
    <w:rsid w:val="00BE68A1"/>
    <w:rsid w:val="00BE780B"/>
    <w:rsid w:val="00BF1304"/>
    <w:rsid w:val="00BF1573"/>
    <w:rsid w:val="00BF1B6C"/>
    <w:rsid w:val="00BF24E5"/>
    <w:rsid w:val="00BF332A"/>
    <w:rsid w:val="00BF5DC0"/>
    <w:rsid w:val="00C01AA2"/>
    <w:rsid w:val="00C02E1E"/>
    <w:rsid w:val="00C038CA"/>
    <w:rsid w:val="00C03AE1"/>
    <w:rsid w:val="00C05E22"/>
    <w:rsid w:val="00C072D5"/>
    <w:rsid w:val="00C11F11"/>
    <w:rsid w:val="00C12AE8"/>
    <w:rsid w:val="00C131A1"/>
    <w:rsid w:val="00C13D9B"/>
    <w:rsid w:val="00C16497"/>
    <w:rsid w:val="00C217F3"/>
    <w:rsid w:val="00C24CCF"/>
    <w:rsid w:val="00C27ABD"/>
    <w:rsid w:val="00C27E5E"/>
    <w:rsid w:val="00C30020"/>
    <w:rsid w:val="00C316AC"/>
    <w:rsid w:val="00C32516"/>
    <w:rsid w:val="00C32EFC"/>
    <w:rsid w:val="00C35249"/>
    <w:rsid w:val="00C3581D"/>
    <w:rsid w:val="00C35F65"/>
    <w:rsid w:val="00C371AD"/>
    <w:rsid w:val="00C3FA4F"/>
    <w:rsid w:val="00C4036F"/>
    <w:rsid w:val="00C4212A"/>
    <w:rsid w:val="00C43280"/>
    <w:rsid w:val="00C461B3"/>
    <w:rsid w:val="00C46F88"/>
    <w:rsid w:val="00C50212"/>
    <w:rsid w:val="00C50507"/>
    <w:rsid w:val="00C50B39"/>
    <w:rsid w:val="00C51AD3"/>
    <w:rsid w:val="00C51B2E"/>
    <w:rsid w:val="00C56536"/>
    <w:rsid w:val="00C6038F"/>
    <w:rsid w:val="00C60784"/>
    <w:rsid w:val="00C6330B"/>
    <w:rsid w:val="00C645D8"/>
    <w:rsid w:val="00C64740"/>
    <w:rsid w:val="00C651B3"/>
    <w:rsid w:val="00C652CF"/>
    <w:rsid w:val="00C6616E"/>
    <w:rsid w:val="00C664AC"/>
    <w:rsid w:val="00C67A33"/>
    <w:rsid w:val="00C749A1"/>
    <w:rsid w:val="00C75E10"/>
    <w:rsid w:val="00C764AC"/>
    <w:rsid w:val="00C77E25"/>
    <w:rsid w:val="00C82FFC"/>
    <w:rsid w:val="00C835A5"/>
    <w:rsid w:val="00C837AF"/>
    <w:rsid w:val="00C9425D"/>
    <w:rsid w:val="00C946E5"/>
    <w:rsid w:val="00C95E19"/>
    <w:rsid w:val="00CA1967"/>
    <w:rsid w:val="00CA40FC"/>
    <w:rsid w:val="00CA452C"/>
    <w:rsid w:val="00CA63BD"/>
    <w:rsid w:val="00CB0791"/>
    <w:rsid w:val="00CB0E8D"/>
    <w:rsid w:val="00CB162A"/>
    <w:rsid w:val="00CB171E"/>
    <w:rsid w:val="00CB1C03"/>
    <w:rsid w:val="00CB38B9"/>
    <w:rsid w:val="00CB3F77"/>
    <w:rsid w:val="00CB410E"/>
    <w:rsid w:val="00CB4293"/>
    <w:rsid w:val="00CB6F3B"/>
    <w:rsid w:val="00CB7607"/>
    <w:rsid w:val="00CB7A26"/>
    <w:rsid w:val="00CB7BB2"/>
    <w:rsid w:val="00CC1A2D"/>
    <w:rsid w:val="00CC1D79"/>
    <w:rsid w:val="00CC286B"/>
    <w:rsid w:val="00CC29C5"/>
    <w:rsid w:val="00CC3B51"/>
    <w:rsid w:val="00CC7DAF"/>
    <w:rsid w:val="00CD17F9"/>
    <w:rsid w:val="00CD63A2"/>
    <w:rsid w:val="00CE28B7"/>
    <w:rsid w:val="00CE37AC"/>
    <w:rsid w:val="00CE53C3"/>
    <w:rsid w:val="00CF0329"/>
    <w:rsid w:val="00CF0DB7"/>
    <w:rsid w:val="00CF23BA"/>
    <w:rsid w:val="00CF31E8"/>
    <w:rsid w:val="00CF33DB"/>
    <w:rsid w:val="00CF35A7"/>
    <w:rsid w:val="00CF3A1D"/>
    <w:rsid w:val="00CF3B9D"/>
    <w:rsid w:val="00CF45EF"/>
    <w:rsid w:val="00CF73BB"/>
    <w:rsid w:val="00D019C2"/>
    <w:rsid w:val="00D03E29"/>
    <w:rsid w:val="00D04B96"/>
    <w:rsid w:val="00D13281"/>
    <w:rsid w:val="00D17568"/>
    <w:rsid w:val="00D17687"/>
    <w:rsid w:val="00D20165"/>
    <w:rsid w:val="00D2067D"/>
    <w:rsid w:val="00D21677"/>
    <w:rsid w:val="00D23467"/>
    <w:rsid w:val="00D23978"/>
    <w:rsid w:val="00D23F4D"/>
    <w:rsid w:val="00D2653C"/>
    <w:rsid w:val="00D2667C"/>
    <w:rsid w:val="00D26801"/>
    <w:rsid w:val="00D33917"/>
    <w:rsid w:val="00D33E2E"/>
    <w:rsid w:val="00D372B2"/>
    <w:rsid w:val="00D37F30"/>
    <w:rsid w:val="00D406FA"/>
    <w:rsid w:val="00D40D7D"/>
    <w:rsid w:val="00D4108B"/>
    <w:rsid w:val="00D41183"/>
    <w:rsid w:val="00D42207"/>
    <w:rsid w:val="00D424E0"/>
    <w:rsid w:val="00D4350F"/>
    <w:rsid w:val="00D435CE"/>
    <w:rsid w:val="00D45A52"/>
    <w:rsid w:val="00D47B75"/>
    <w:rsid w:val="00D514CF"/>
    <w:rsid w:val="00D60389"/>
    <w:rsid w:val="00D60B91"/>
    <w:rsid w:val="00D6281C"/>
    <w:rsid w:val="00D652E4"/>
    <w:rsid w:val="00D70121"/>
    <w:rsid w:val="00D74823"/>
    <w:rsid w:val="00D76CD8"/>
    <w:rsid w:val="00D8043F"/>
    <w:rsid w:val="00D81034"/>
    <w:rsid w:val="00D82B42"/>
    <w:rsid w:val="00D90D97"/>
    <w:rsid w:val="00D9486D"/>
    <w:rsid w:val="00D94E70"/>
    <w:rsid w:val="00D95E44"/>
    <w:rsid w:val="00D9601C"/>
    <w:rsid w:val="00D97FEE"/>
    <w:rsid w:val="00DA0D0E"/>
    <w:rsid w:val="00DA0F6D"/>
    <w:rsid w:val="00DA11A8"/>
    <w:rsid w:val="00DA2A2C"/>
    <w:rsid w:val="00DA50FA"/>
    <w:rsid w:val="00DB342C"/>
    <w:rsid w:val="00DB74C0"/>
    <w:rsid w:val="00DC0AAA"/>
    <w:rsid w:val="00DC0CBC"/>
    <w:rsid w:val="00DC1A18"/>
    <w:rsid w:val="00DC1AA8"/>
    <w:rsid w:val="00DC2470"/>
    <w:rsid w:val="00DC4A7F"/>
    <w:rsid w:val="00DD13F5"/>
    <w:rsid w:val="00DD6178"/>
    <w:rsid w:val="00DD763C"/>
    <w:rsid w:val="00DE0BE8"/>
    <w:rsid w:val="00DE10F4"/>
    <w:rsid w:val="00DE24D7"/>
    <w:rsid w:val="00DE4761"/>
    <w:rsid w:val="00DE6B7F"/>
    <w:rsid w:val="00DF0996"/>
    <w:rsid w:val="00DF09FF"/>
    <w:rsid w:val="00DF0E2F"/>
    <w:rsid w:val="00DF1169"/>
    <w:rsid w:val="00DF1326"/>
    <w:rsid w:val="00DF18F4"/>
    <w:rsid w:val="00DF1D36"/>
    <w:rsid w:val="00DF2CF6"/>
    <w:rsid w:val="00DF3969"/>
    <w:rsid w:val="00E01AEF"/>
    <w:rsid w:val="00E05498"/>
    <w:rsid w:val="00E059A9"/>
    <w:rsid w:val="00E11799"/>
    <w:rsid w:val="00E162DE"/>
    <w:rsid w:val="00E2003A"/>
    <w:rsid w:val="00E21410"/>
    <w:rsid w:val="00E22AD8"/>
    <w:rsid w:val="00E24D60"/>
    <w:rsid w:val="00E33050"/>
    <w:rsid w:val="00E3626E"/>
    <w:rsid w:val="00E3769C"/>
    <w:rsid w:val="00E40003"/>
    <w:rsid w:val="00E40727"/>
    <w:rsid w:val="00E427D8"/>
    <w:rsid w:val="00E43EC3"/>
    <w:rsid w:val="00E50EDC"/>
    <w:rsid w:val="00E54085"/>
    <w:rsid w:val="00E549AA"/>
    <w:rsid w:val="00E60A60"/>
    <w:rsid w:val="00E61BF9"/>
    <w:rsid w:val="00E65957"/>
    <w:rsid w:val="00E71F04"/>
    <w:rsid w:val="00E7372D"/>
    <w:rsid w:val="00E74B17"/>
    <w:rsid w:val="00E75C9B"/>
    <w:rsid w:val="00E764E5"/>
    <w:rsid w:val="00E82136"/>
    <w:rsid w:val="00E85284"/>
    <w:rsid w:val="00E853CC"/>
    <w:rsid w:val="00E86ADC"/>
    <w:rsid w:val="00E904E4"/>
    <w:rsid w:val="00E90D2C"/>
    <w:rsid w:val="00E93382"/>
    <w:rsid w:val="00E95E5D"/>
    <w:rsid w:val="00EA00ED"/>
    <w:rsid w:val="00EA19C7"/>
    <w:rsid w:val="00EA1D2D"/>
    <w:rsid w:val="00EA37CF"/>
    <w:rsid w:val="00EA429E"/>
    <w:rsid w:val="00EB0192"/>
    <w:rsid w:val="00EB0212"/>
    <w:rsid w:val="00EB0403"/>
    <w:rsid w:val="00EB0483"/>
    <w:rsid w:val="00EB1403"/>
    <w:rsid w:val="00EB1984"/>
    <w:rsid w:val="00EB26E2"/>
    <w:rsid w:val="00EB5255"/>
    <w:rsid w:val="00EC0191"/>
    <w:rsid w:val="00EC0804"/>
    <w:rsid w:val="00EC4068"/>
    <w:rsid w:val="00EC48D6"/>
    <w:rsid w:val="00EC691E"/>
    <w:rsid w:val="00EC6B37"/>
    <w:rsid w:val="00EC7CC0"/>
    <w:rsid w:val="00ED1131"/>
    <w:rsid w:val="00ED2862"/>
    <w:rsid w:val="00ED2F20"/>
    <w:rsid w:val="00ED3721"/>
    <w:rsid w:val="00ED5C9A"/>
    <w:rsid w:val="00ED75C1"/>
    <w:rsid w:val="00EE0DDA"/>
    <w:rsid w:val="00EE139F"/>
    <w:rsid w:val="00EE3326"/>
    <w:rsid w:val="00EE3C93"/>
    <w:rsid w:val="00EE43D0"/>
    <w:rsid w:val="00EE4D49"/>
    <w:rsid w:val="00EE6AA2"/>
    <w:rsid w:val="00EF18A4"/>
    <w:rsid w:val="00EF1CF7"/>
    <w:rsid w:val="00EF2A74"/>
    <w:rsid w:val="00F00201"/>
    <w:rsid w:val="00F00E61"/>
    <w:rsid w:val="00F01818"/>
    <w:rsid w:val="00F0184E"/>
    <w:rsid w:val="00F03072"/>
    <w:rsid w:val="00F0338F"/>
    <w:rsid w:val="00F050F0"/>
    <w:rsid w:val="00F06852"/>
    <w:rsid w:val="00F06F2B"/>
    <w:rsid w:val="00F108FE"/>
    <w:rsid w:val="00F10B96"/>
    <w:rsid w:val="00F13407"/>
    <w:rsid w:val="00F13AAC"/>
    <w:rsid w:val="00F14CB0"/>
    <w:rsid w:val="00F14D05"/>
    <w:rsid w:val="00F172AD"/>
    <w:rsid w:val="00F1768C"/>
    <w:rsid w:val="00F21B6F"/>
    <w:rsid w:val="00F220A1"/>
    <w:rsid w:val="00F2342B"/>
    <w:rsid w:val="00F236EE"/>
    <w:rsid w:val="00F23CC5"/>
    <w:rsid w:val="00F24911"/>
    <w:rsid w:val="00F26667"/>
    <w:rsid w:val="00F26BE7"/>
    <w:rsid w:val="00F26E8D"/>
    <w:rsid w:val="00F315FC"/>
    <w:rsid w:val="00F31C32"/>
    <w:rsid w:val="00F33E99"/>
    <w:rsid w:val="00F40E65"/>
    <w:rsid w:val="00F42846"/>
    <w:rsid w:val="00F458FB"/>
    <w:rsid w:val="00F51F26"/>
    <w:rsid w:val="00F543D0"/>
    <w:rsid w:val="00F5651D"/>
    <w:rsid w:val="00F56A66"/>
    <w:rsid w:val="00F5782F"/>
    <w:rsid w:val="00F60B90"/>
    <w:rsid w:val="00F6155E"/>
    <w:rsid w:val="00F616A2"/>
    <w:rsid w:val="00F61A52"/>
    <w:rsid w:val="00F6444A"/>
    <w:rsid w:val="00F65922"/>
    <w:rsid w:val="00F6738E"/>
    <w:rsid w:val="00F67753"/>
    <w:rsid w:val="00F677B0"/>
    <w:rsid w:val="00F71671"/>
    <w:rsid w:val="00F74969"/>
    <w:rsid w:val="00F756CD"/>
    <w:rsid w:val="00F759BF"/>
    <w:rsid w:val="00F80250"/>
    <w:rsid w:val="00F8274B"/>
    <w:rsid w:val="00F82772"/>
    <w:rsid w:val="00F84FD3"/>
    <w:rsid w:val="00F86418"/>
    <w:rsid w:val="00F86BF1"/>
    <w:rsid w:val="00F87114"/>
    <w:rsid w:val="00F92081"/>
    <w:rsid w:val="00F929EC"/>
    <w:rsid w:val="00F9502D"/>
    <w:rsid w:val="00FA0BFD"/>
    <w:rsid w:val="00FA4233"/>
    <w:rsid w:val="00FA45DF"/>
    <w:rsid w:val="00FA4FEB"/>
    <w:rsid w:val="00FB28C3"/>
    <w:rsid w:val="00FB2F89"/>
    <w:rsid w:val="00FB3F23"/>
    <w:rsid w:val="00FB49FC"/>
    <w:rsid w:val="00FC113D"/>
    <w:rsid w:val="00FC162F"/>
    <w:rsid w:val="00FC49B2"/>
    <w:rsid w:val="00FC6685"/>
    <w:rsid w:val="00FC701B"/>
    <w:rsid w:val="00FD2949"/>
    <w:rsid w:val="00FD408B"/>
    <w:rsid w:val="00FD7343"/>
    <w:rsid w:val="00FE06AB"/>
    <w:rsid w:val="00FE0E45"/>
    <w:rsid w:val="00FE1334"/>
    <w:rsid w:val="00FE232E"/>
    <w:rsid w:val="00FE60E1"/>
    <w:rsid w:val="00FE79B3"/>
    <w:rsid w:val="015CBB26"/>
    <w:rsid w:val="019D34B9"/>
    <w:rsid w:val="01CC9CA1"/>
    <w:rsid w:val="022CAC16"/>
    <w:rsid w:val="0244DD80"/>
    <w:rsid w:val="035F1C7D"/>
    <w:rsid w:val="03899CA2"/>
    <w:rsid w:val="03A11FF9"/>
    <w:rsid w:val="03EB852C"/>
    <w:rsid w:val="04F7DB1F"/>
    <w:rsid w:val="0535DF55"/>
    <w:rsid w:val="0561166F"/>
    <w:rsid w:val="0592B11A"/>
    <w:rsid w:val="05A22DF5"/>
    <w:rsid w:val="05BF82FE"/>
    <w:rsid w:val="05F41EFF"/>
    <w:rsid w:val="06657051"/>
    <w:rsid w:val="066AD850"/>
    <w:rsid w:val="068C04A9"/>
    <w:rsid w:val="06CB4609"/>
    <w:rsid w:val="0723EF17"/>
    <w:rsid w:val="073A78A3"/>
    <w:rsid w:val="07BAE974"/>
    <w:rsid w:val="07F34DB3"/>
    <w:rsid w:val="0817E920"/>
    <w:rsid w:val="08726244"/>
    <w:rsid w:val="089532E4"/>
    <w:rsid w:val="09DE9BFE"/>
    <w:rsid w:val="0A54F025"/>
    <w:rsid w:val="0A9AE76A"/>
    <w:rsid w:val="0AC8864C"/>
    <w:rsid w:val="0B6C578D"/>
    <w:rsid w:val="0B703BC8"/>
    <w:rsid w:val="0BBFC6CC"/>
    <w:rsid w:val="0BEF19C5"/>
    <w:rsid w:val="0BF66929"/>
    <w:rsid w:val="0C5166F6"/>
    <w:rsid w:val="0CB45975"/>
    <w:rsid w:val="0CF452A5"/>
    <w:rsid w:val="0CFDA40D"/>
    <w:rsid w:val="0CFEDDA3"/>
    <w:rsid w:val="0D0E1259"/>
    <w:rsid w:val="0D27CCFD"/>
    <w:rsid w:val="0EC39D5E"/>
    <w:rsid w:val="0EE21AFB"/>
    <w:rsid w:val="0FA7C15B"/>
    <w:rsid w:val="1018FEF6"/>
    <w:rsid w:val="104265FB"/>
    <w:rsid w:val="108F70B3"/>
    <w:rsid w:val="10C414B0"/>
    <w:rsid w:val="111ACA21"/>
    <w:rsid w:val="11468F11"/>
    <w:rsid w:val="11602E4D"/>
    <w:rsid w:val="11AAD453"/>
    <w:rsid w:val="1216F52B"/>
    <w:rsid w:val="126803A4"/>
    <w:rsid w:val="12694797"/>
    <w:rsid w:val="12E1D5D3"/>
    <w:rsid w:val="130AEC05"/>
    <w:rsid w:val="134D1EA0"/>
    <w:rsid w:val="13A32098"/>
    <w:rsid w:val="13D5D969"/>
    <w:rsid w:val="142B4535"/>
    <w:rsid w:val="149CE6AE"/>
    <w:rsid w:val="14F01424"/>
    <w:rsid w:val="151FB4B7"/>
    <w:rsid w:val="15F8D521"/>
    <w:rsid w:val="166D2DC0"/>
    <w:rsid w:val="167367E0"/>
    <w:rsid w:val="16AF8C95"/>
    <w:rsid w:val="16C801EF"/>
    <w:rsid w:val="16D793FF"/>
    <w:rsid w:val="16DE1FC4"/>
    <w:rsid w:val="16F0D2F5"/>
    <w:rsid w:val="170410FD"/>
    <w:rsid w:val="174ACC63"/>
    <w:rsid w:val="1768183A"/>
    <w:rsid w:val="179B6418"/>
    <w:rsid w:val="17F98269"/>
    <w:rsid w:val="180CBDF9"/>
    <w:rsid w:val="181619FE"/>
    <w:rsid w:val="1866CEEC"/>
    <w:rsid w:val="18DD3EC8"/>
    <w:rsid w:val="19C12CC2"/>
    <w:rsid w:val="1A0B4EDD"/>
    <w:rsid w:val="1AE857BD"/>
    <w:rsid w:val="1B011FDD"/>
    <w:rsid w:val="1B115C1E"/>
    <w:rsid w:val="1C0727BE"/>
    <w:rsid w:val="1C0D4935"/>
    <w:rsid w:val="1C2A2717"/>
    <w:rsid w:val="1C5ED03C"/>
    <w:rsid w:val="1C81E4F8"/>
    <w:rsid w:val="1C8D554D"/>
    <w:rsid w:val="1CCE6A7D"/>
    <w:rsid w:val="1CD38AE4"/>
    <w:rsid w:val="1CDB6DCA"/>
    <w:rsid w:val="1D098021"/>
    <w:rsid w:val="1D2C6CC7"/>
    <w:rsid w:val="1D5510A2"/>
    <w:rsid w:val="1DF9DA04"/>
    <w:rsid w:val="1DFD0B9D"/>
    <w:rsid w:val="1E4610C4"/>
    <w:rsid w:val="1EC97F08"/>
    <w:rsid w:val="1F266DE3"/>
    <w:rsid w:val="1F56C564"/>
    <w:rsid w:val="1FFA52F6"/>
    <w:rsid w:val="202A1457"/>
    <w:rsid w:val="20FACB1A"/>
    <w:rsid w:val="2173F6B5"/>
    <w:rsid w:val="22DFDD27"/>
    <w:rsid w:val="233185FE"/>
    <w:rsid w:val="23ADA70B"/>
    <w:rsid w:val="24216A51"/>
    <w:rsid w:val="24285721"/>
    <w:rsid w:val="24937424"/>
    <w:rsid w:val="255AD0C4"/>
    <w:rsid w:val="2579F1FF"/>
    <w:rsid w:val="25E40361"/>
    <w:rsid w:val="25E6DE91"/>
    <w:rsid w:val="2643BD7E"/>
    <w:rsid w:val="2663971A"/>
    <w:rsid w:val="27A1B4DF"/>
    <w:rsid w:val="283B101E"/>
    <w:rsid w:val="2873A58F"/>
    <w:rsid w:val="291E931B"/>
    <w:rsid w:val="292FD292"/>
    <w:rsid w:val="2A03795A"/>
    <w:rsid w:val="2A308EF5"/>
    <w:rsid w:val="2ABE508D"/>
    <w:rsid w:val="2B70C95D"/>
    <w:rsid w:val="2B9692E7"/>
    <w:rsid w:val="2C789AA9"/>
    <w:rsid w:val="2CAD135C"/>
    <w:rsid w:val="2CFF3FA3"/>
    <w:rsid w:val="2D1652EA"/>
    <w:rsid w:val="2DA6491B"/>
    <w:rsid w:val="2DD47DD1"/>
    <w:rsid w:val="2E3FC842"/>
    <w:rsid w:val="2E679B71"/>
    <w:rsid w:val="2E683B05"/>
    <w:rsid w:val="2E694553"/>
    <w:rsid w:val="2E7663B4"/>
    <w:rsid w:val="2EBE96D4"/>
    <w:rsid w:val="2EC4A0C6"/>
    <w:rsid w:val="2EED5BB4"/>
    <w:rsid w:val="2EFC3398"/>
    <w:rsid w:val="2F57A93C"/>
    <w:rsid w:val="2F864DF9"/>
    <w:rsid w:val="2F95C363"/>
    <w:rsid w:val="2FA6DB64"/>
    <w:rsid w:val="2FDEF2CF"/>
    <w:rsid w:val="300FEDF9"/>
    <w:rsid w:val="30265112"/>
    <w:rsid w:val="307F80EF"/>
    <w:rsid w:val="318321E3"/>
    <w:rsid w:val="31BA9746"/>
    <w:rsid w:val="31CF90EC"/>
    <w:rsid w:val="32002D71"/>
    <w:rsid w:val="32165CE8"/>
    <w:rsid w:val="32262005"/>
    <w:rsid w:val="32836BA4"/>
    <w:rsid w:val="329E27B1"/>
    <w:rsid w:val="32C2B418"/>
    <w:rsid w:val="33069CC9"/>
    <w:rsid w:val="330BBCA8"/>
    <w:rsid w:val="332A8657"/>
    <w:rsid w:val="33727391"/>
    <w:rsid w:val="33E186BA"/>
    <w:rsid w:val="33E92359"/>
    <w:rsid w:val="3404AAD7"/>
    <w:rsid w:val="340DA4F0"/>
    <w:rsid w:val="3449166E"/>
    <w:rsid w:val="3458D77A"/>
    <w:rsid w:val="345C1CFC"/>
    <w:rsid w:val="34628F99"/>
    <w:rsid w:val="3483D2D9"/>
    <w:rsid w:val="3541E149"/>
    <w:rsid w:val="35A07B38"/>
    <w:rsid w:val="35D1C12D"/>
    <w:rsid w:val="36430876"/>
    <w:rsid w:val="36475FF7"/>
    <w:rsid w:val="37162C23"/>
    <w:rsid w:val="374DC042"/>
    <w:rsid w:val="37940132"/>
    <w:rsid w:val="379E7768"/>
    <w:rsid w:val="37A3826D"/>
    <w:rsid w:val="38125A79"/>
    <w:rsid w:val="38453F38"/>
    <w:rsid w:val="386CA8E0"/>
    <w:rsid w:val="38F8C4FF"/>
    <w:rsid w:val="394D05E0"/>
    <w:rsid w:val="39631766"/>
    <w:rsid w:val="39DBA39C"/>
    <w:rsid w:val="3A6ED2CB"/>
    <w:rsid w:val="3AAA16C7"/>
    <w:rsid w:val="3AD0AFF2"/>
    <w:rsid w:val="3B12D678"/>
    <w:rsid w:val="3B3500C4"/>
    <w:rsid w:val="3B825497"/>
    <w:rsid w:val="3B8A2EA1"/>
    <w:rsid w:val="3C17D16A"/>
    <w:rsid w:val="3C182AF0"/>
    <w:rsid w:val="3C2E201C"/>
    <w:rsid w:val="3C8A19B2"/>
    <w:rsid w:val="3D4A804B"/>
    <w:rsid w:val="3D597436"/>
    <w:rsid w:val="3DB1A838"/>
    <w:rsid w:val="3E0E1D93"/>
    <w:rsid w:val="3E4CC077"/>
    <w:rsid w:val="3E4DE43B"/>
    <w:rsid w:val="3E5D0F49"/>
    <w:rsid w:val="3E751027"/>
    <w:rsid w:val="3EB3B850"/>
    <w:rsid w:val="3F526600"/>
    <w:rsid w:val="3FA7BD46"/>
    <w:rsid w:val="3FE6DD19"/>
    <w:rsid w:val="3FE890D8"/>
    <w:rsid w:val="40264906"/>
    <w:rsid w:val="4036E62D"/>
    <w:rsid w:val="403BFF4E"/>
    <w:rsid w:val="412F267A"/>
    <w:rsid w:val="4134E825"/>
    <w:rsid w:val="41FB3D1C"/>
    <w:rsid w:val="4233FD35"/>
    <w:rsid w:val="42750B43"/>
    <w:rsid w:val="428103C1"/>
    <w:rsid w:val="42BA63B2"/>
    <w:rsid w:val="4332CB27"/>
    <w:rsid w:val="43B6F202"/>
    <w:rsid w:val="43D123C4"/>
    <w:rsid w:val="43F3A52F"/>
    <w:rsid w:val="446FCBEF"/>
    <w:rsid w:val="45168FFB"/>
    <w:rsid w:val="4544C6C8"/>
    <w:rsid w:val="4554FAB8"/>
    <w:rsid w:val="45F986E9"/>
    <w:rsid w:val="45FC5AB2"/>
    <w:rsid w:val="46065348"/>
    <w:rsid w:val="46F52C98"/>
    <w:rsid w:val="46F7BB85"/>
    <w:rsid w:val="473E8113"/>
    <w:rsid w:val="477E4F4A"/>
    <w:rsid w:val="47ADF390"/>
    <w:rsid w:val="47BA9111"/>
    <w:rsid w:val="4803089E"/>
    <w:rsid w:val="48417778"/>
    <w:rsid w:val="48847C1E"/>
    <w:rsid w:val="490B5731"/>
    <w:rsid w:val="49765CCC"/>
    <w:rsid w:val="497764EB"/>
    <w:rsid w:val="49C0BAFE"/>
    <w:rsid w:val="49CF1354"/>
    <w:rsid w:val="49CF3E66"/>
    <w:rsid w:val="49EB44A4"/>
    <w:rsid w:val="49EB6365"/>
    <w:rsid w:val="4A5D0644"/>
    <w:rsid w:val="4AB8FA81"/>
    <w:rsid w:val="4B1D49A0"/>
    <w:rsid w:val="4B5C8B5F"/>
    <w:rsid w:val="4BC51B88"/>
    <w:rsid w:val="4C239415"/>
    <w:rsid w:val="4CD95CE1"/>
    <w:rsid w:val="4D255210"/>
    <w:rsid w:val="4D7F3E4A"/>
    <w:rsid w:val="4DC000D7"/>
    <w:rsid w:val="4E458916"/>
    <w:rsid w:val="4E5042C0"/>
    <w:rsid w:val="4EAF2B5A"/>
    <w:rsid w:val="4F36A837"/>
    <w:rsid w:val="4FA14D84"/>
    <w:rsid w:val="4FE651A5"/>
    <w:rsid w:val="4FF823F4"/>
    <w:rsid w:val="5043F8A7"/>
    <w:rsid w:val="505FA6BC"/>
    <w:rsid w:val="5072ECA8"/>
    <w:rsid w:val="507434E9"/>
    <w:rsid w:val="507573F2"/>
    <w:rsid w:val="50975135"/>
    <w:rsid w:val="50E05C1D"/>
    <w:rsid w:val="51011DCD"/>
    <w:rsid w:val="512F6B32"/>
    <w:rsid w:val="5147FFDF"/>
    <w:rsid w:val="514C13A1"/>
    <w:rsid w:val="5173DB8C"/>
    <w:rsid w:val="51816B13"/>
    <w:rsid w:val="52134B12"/>
    <w:rsid w:val="526EF11C"/>
    <w:rsid w:val="52D425E7"/>
    <w:rsid w:val="533E2033"/>
    <w:rsid w:val="5349463B"/>
    <w:rsid w:val="5354F498"/>
    <w:rsid w:val="5456DE1F"/>
    <w:rsid w:val="548BE59B"/>
    <w:rsid w:val="55465DCB"/>
    <w:rsid w:val="557E2A7A"/>
    <w:rsid w:val="5630347F"/>
    <w:rsid w:val="5640A417"/>
    <w:rsid w:val="56592926"/>
    <w:rsid w:val="5689665C"/>
    <w:rsid w:val="56F5AA2B"/>
    <w:rsid w:val="572A227B"/>
    <w:rsid w:val="57339CC1"/>
    <w:rsid w:val="5767DA53"/>
    <w:rsid w:val="57BCF6FA"/>
    <w:rsid w:val="57CBB675"/>
    <w:rsid w:val="57F439C8"/>
    <w:rsid w:val="58082E07"/>
    <w:rsid w:val="581641B0"/>
    <w:rsid w:val="58A09E88"/>
    <w:rsid w:val="58BFE7E0"/>
    <w:rsid w:val="590DC412"/>
    <w:rsid w:val="5923D734"/>
    <w:rsid w:val="5967D541"/>
    <w:rsid w:val="598229FE"/>
    <w:rsid w:val="5A692F47"/>
    <w:rsid w:val="5A69AAE2"/>
    <w:rsid w:val="5AE5D3C5"/>
    <w:rsid w:val="5B7AB8FB"/>
    <w:rsid w:val="5BD652B2"/>
    <w:rsid w:val="5C65FF41"/>
    <w:rsid w:val="5C8A5F04"/>
    <w:rsid w:val="5CDC91A4"/>
    <w:rsid w:val="5CFC3C67"/>
    <w:rsid w:val="5D278685"/>
    <w:rsid w:val="5DA6347E"/>
    <w:rsid w:val="5DDA57B7"/>
    <w:rsid w:val="5E3B4664"/>
    <w:rsid w:val="5F1BC3A0"/>
    <w:rsid w:val="5F57BE2A"/>
    <w:rsid w:val="5F5B65B4"/>
    <w:rsid w:val="5F60509B"/>
    <w:rsid w:val="5F9124E8"/>
    <w:rsid w:val="5FE31C2F"/>
    <w:rsid w:val="60736FAB"/>
    <w:rsid w:val="60A94903"/>
    <w:rsid w:val="60AC21B5"/>
    <w:rsid w:val="60C6CE81"/>
    <w:rsid w:val="60E1279F"/>
    <w:rsid w:val="611DAE26"/>
    <w:rsid w:val="61757F3D"/>
    <w:rsid w:val="61A536AF"/>
    <w:rsid w:val="61BA0829"/>
    <w:rsid w:val="62203A75"/>
    <w:rsid w:val="62AF2B19"/>
    <w:rsid w:val="62CBA801"/>
    <w:rsid w:val="62E34F62"/>
    <w:rsid w:val="632F1C87"/>
    <w:rsid w:val="642BF9BD"/>
    <w:rsid w:val="6431D418"/>
    <w:rsid w:val="64EFFE20"/>
    <w:rsid w:val="65824A93"/>
    <w:rsid w:val="65BF0869"/>
    <w:rsid w:val="65E347A6"/>
    <w:rsid w:val="65F52166"/>
    <w:rsid w:val="660FC2B6"/>
    <w:rsid w:val="66481DB6"/>
    <w:rsid w:val="664C0DE1"/>
    <w:rsid w:val="6774B4EC"/>
    <w:rsid w:val="67D97330"/>
    <w:rsid w:val="688FF18F"/>
    <w:rsid w:val="68D96B16"/>
    <w:rsid w:val="692509A4"/>
    <w:rsid w:val="69584D00"/>
    <w:rsid w:val="698377BA"/>
    <w:rsid w:val="6A5E734E"/>
    <w:rsid w:val="6A9D0EF5"/>
    <w:rsid w:val="6AC975C8"/>
    <w:rsid w:val="6B1FDDB6"/>
    <w:rsid w:val="6B21B501"/>
    <w:rsid w:val="6B90518E"/>
    <w:rsid w:val="6BCA983F"/>
    <w:rsid w:val="6BE50A75"/>
    <w:rsid w:val="6C32573E"/>
    <w:rsid w:val="6C3AEB4B"/>
    <w:rsid w:val="6C6D0901"/>
    <w:rsid w:val="6D5345DC"/>
    <w:rsid w:val="6DB848AE"/>
    <w:rsid w:val="6DC589EE"/>
    <w:rsid w:val="6DE229BC"/>
    <w:rsid w:val="6DE72D35"/>
    <w:rsid w:val="6E01168A"/>
    <w:rsid w:val="6ED437C0"/>
    <w:rsid w:val="6F17318F"/>
    <w:rsid w:val="6F343057"/>
    <w:rsid w:val="6FC734BD"/>
    <w:rsid w:val="701E8973"/>
    <w:rsid w:val="706DC3F6"/>
    <w:rsid w:val="708BFEF3"/>
    <w:rsid w:val="70A2338D"/>
    <w:rsid w:val="70AAFF67"/>
    <w:rsid w:val="70ADD71E"/>
    <w:rsid w:val="70B60FF1"/>
    <w:rsid w:val="70CBA85C"/>
    <w:rsid w:val="70EE181A"/>
    <w:rsid w:val="70F5839B"/>
    <w:rsid w:val="7102D72A"/>
    <w:rsid w:val="713E8045"/>
    <w:rsid w:val="7160A675"/>
    <w:rsid w:val="719B107D"/>
    <w:rsid w:val="71A91C24"/>
    <w:rsid w:val="7213570B"/>
    <w:rsid w:val="724133AB"/>
    <w:rsid w:val="72656F45"/>
    <w:rsid w:val="726697A1"/>
    <w:rsid w:val="7266FE8A"/>
    <w:rsid w:val="7273A0E0"/>
    <w:rsid w:val="72CC6788"/>
    <w:rsid w:val="72FC76D6"/>
    <w:rsid w:val="730874D2"/>
    <w:rsid w:val="730B7F25"/>
    <w:rsid w:val="732EE68F"/>
    <w:rsid w:val="7332633F"/>
    <w:rsid w:val="737DAD6D"/>
    <w:rsid w:val="7380F5B0"/>
    <w:rsid w:val="73F5C836"/>
    <w:rsid w:val="748D0672"/>
    <w:rsid w:val="74CCD1F5"/>
    <w:rsid w:val="751D6FB8"/>
    <w:rsid w:val="75C75336"/>
    <w:rsid w:val="75DA48A7"/>
    <w:rsid w:val="76141A6F"/>
    <w:rsid w:val="7690363A"/>
    <w:rsid w:val="76BA199D"/>
    <w:rsid w:val="7725AC58"/>
    <w:rsid w:val="77C82DA0"/>
    <w:rsid w:val="782E597C"/>
    <w:rsid w:val="785F3362"/>
    <w:rsid w:val="78C69AB5"/>
    <w:rsid w:val="7906BE04"/>
    <w:rsid w:val="7992BA1E"/>
    <w:rsid w:val="79B62D13"/>
    <w:rsid w:val="79C1D6D9"/>
    <w:rsid w:val="79C3D082"/>
    <w:rsid w:val="79DF8895"/>
    <w:rsid w:val="7A242FE0"/>
    <w:rsid w:val="7A85B2C8"/>
    <w:rsid w:val="7AE5AE78"/>
    <w:rsid w:val="7BAB80B9"/>
    <w:rsid w:val="7BB44FC1"/>
    <w:rsid w:val="7BBFB86D"/>
    <w:rsid w:val="7C1C97AE"/>
    <w:rsid w:val="7CA4809B"/>
    <w:rsid w:val="7DDAF970"/>
    <w:rsid w:val="7E006F0E"/>
    <w:rsid w:val="7E1F59B0"/>
    <w:rsid w:val="7EDD7CB4"/>
    <w:rsid w:val="7F7F3101"/>
    <w:rsid w:val="7F9FD6BC"/>
    <w:rsid w:val="7FA85462"/>
    <w:rsid w:val="7FDD89D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B8236"/>
  <w15:chartTrackingRefBased/>
  <w15:docId w15:val="{78008B20-4080-43D8-B557-B27983F4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3F4"/>
    <w:pPr>
      <w:spacing w:after="0" w:line="240" w:lineRule="auto"/>
    </w:pPr>
    <w:rPr>
      <w:lang w:val="en-GB"/>
    </w:rPr>
  </w:style>
  <w:style w:type="paragraph" w:styleId="Heading2">
    <w:name w:val="heading 2"/>
    <w:basedOn w:val="Normal"/>
    <w:next w:val="Normal"/>
    <w:link w:val="Heading2Char"/>
    <w:uiPriority w:val="9"/>
    <w:unhideWhenUsed/>
    <w:qFormat/>
    <w:rsid w:val="00DD13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3F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9B33F4"/>
    <w:pPr>
      <w:spacing w:after="120"/>
    </w:pPr>
  </w:style>
  <w:style w:type="paragraph" w:styleId="Header">
    <w:name w:val="header"/>
    <w:basedOn w:val="Normal"/>
    <w:link w:val="HeaderChar"/>
    <w:uiPriority w:val="99"/>
    <w:unhideWhenUsed/>
    <w:rsid w:val="009B33F4"/>
    <w:pPr>
      <w:tabs>
        <w:tab w:val="center" w:pos="4536"/>
        <w:tab w:val="right" w:pos="9072"/>
      </w:tabs>
    </w:pPr>
  </w:style>
  <w:style w:type="character" w:customStyle="1" w:styleId="HeaderChar">
    <w:name w:val="Header Char"/>
    <w:basedOn w:val="DefaultParagraphFont"/>
    <w:link w:val="Header"/>
    <w:uiPriority w:val="99"/>
    <w:rsid w:val="009B33F4"/>
    <w:rPr>
      <w:lang w:val="en-GB"/>
    </w:rPr>
  </w:style>
  <w:style w:type="paragraph" w:styleId="Footer">
    <w:name w:val="footer"/>
    <w:basedOn w:val="Normal"/>
    <w:link w:val="FooterChar"/>
    <w:uiPriority w:val="99"/>
    <w:rsid w:val="009B33F4"/>
    <w:pPr>
      <w:tabs>
        <w:tab w:val="center" w:pos="4536"/>
        <w:tab w:val="right" w:pos="9072"/>
      </w:tabs>
    </w:pPr>
  </w:style>
  <w:style w:type="character" w:customStyle="1" w:styleId="FooterChar">
    <w:name w:val="Footer Char"/>
    <w:basedOn w:val="DefaultParagraphFont"/>
    <w:link w:val="Footer"/>
    <w:uiPriority w:val="99"/>
    <w:rsid w:val="009B33F4"/>
    <w:rPr>
      <w:lang w:val="en-GB"/>
    </w:rPr>
  </w:style>
  <w:style w:type="paragraph" w:customStyle="1" w:styleId="headlineheader">
    <w:name w:val="headline header"/>
    <w:basedOn w:val="textregular"/>
    <w:uiPriority w:val="1"/>
    <w:qFormat/>
    <w:rsid w:val="009B33F4"/>
    <w:pPr>
      <w:spacing w:after="280" w:line="600" w:lineRule="exact"/>
    </w:pPr>
    <w:rPr>
      <w:rFonts w:asciiTheme="majorHAnsi" w:hAnsiTheme="majorHAnsi" w:cstheme="majorHAnsi"/>
      <w:b/>
      <w:color w:val="44546A" w:themeColor="text2"/>
      <w:sz w:val="57"/>
      <w:szCs w:val="57"/>
    </w:rPr>
  </w:style>
  <w:style w:type="paragraph" w:customStyle="1" w:styleId="textheader">
    <w:name w:val="text header"/>
    <w:basedOn w:val="textregular"/>
    <w:uiPriority w:val="1"/>
    <w:qFormat/>
    <w:rsid w:val="009B33F4"/>
    <w:pPr>
      <w:spacing w:after="400" w:line="500" w:lineRule="exact"/>
    </w:pPr>
    <w:rPr>
      <w:rFonts w:asciiTheme="majorHAnsi" w:hAnsiTheme="majorHAnsi" w:cstheme="majorHAnsi"/>
      <w:color w:val="44546A" w:themeColor="text2"/>
      <w:sz w:val="40"/>
      <w:szCs w:val="40"/>
      <w:lang w:val="en-US"/>
    </w:rPr>
  </w:style>
  <w:style w:type="paragraph" w:customStyle="1" w:styleId="time">
    <w:name w:val="time"/>
    <w:basedOn w:val="textregular"/>
    <w:uiPriority w:val="1"/>
    <w:qFormat/>
    <w:rsid w:val="009B33F4"/>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Hyperlink">
    <w:name w:val="Hyperlink"/>
    <w:basedOn w:val="DefaultParagraphFont"/>
    <w:uiPriority w:val="99"/>
    <w:rsid w:val="009B33F4"/>
    <w:rPr>
      <w:color w:val="0563C1" w:themeColor="hyperlink"/>
      <w:u w:val="single"/>
    </w:rPr>
  </w:style>
  <w:style w:type="numbering" w:customStyle="1" w:styleId="XXXNummerierung">
    <w:name w:val="XXX_Nummerierung"/>
    <w:basedOn w:val="NoList"/>
    <w:uiPriority w:val="99"/>
    <w:rsid w:val="009B33F4"/>
    <w:pPr>
      <w:numPr>
        <w:numId w:val="2"/>
      </w:numPr>
    </w:pPr>
  </w:style>
  <w:style w:type="paragraph" w:customStyle="1" w:styleId="textenumeration">
    <w:name w:val="text enumeration"/>
    <w:basedOn w:val="textregular"/>
    <w:uiPriority w:val="4"/>
    <w:qFormat/>
    <w:rsid w:val="009B33F4"/>
    <w:pPr>
      <w:numPr>
        <w:numId w:val="2"/>
      </w:numPr>
      <w:tabs>
        <w:tab w:val="num" w:pos="360"/>
      </w:tabs>
      <w:contextualSpacing/>
      <w:jc w:val="both"/>
    </w:pPr>
  </w:style>
  <w:style w:type="paragraph" w:customStyle="1" w:styleId="headline2">
    <w:name w:val="headline 2"/>
    <w:basedOn w:val="textregular"/>
    <w:link w:val="headline2Char"/>
    <w:uiPriority w:val="2"/>
    <w:qFormat/>
    <w:rsid w:val="00C05E22"/>
    <w:pPr>
      <w:keepNext/>
      <w:keepLines/>
      <w:spacing w:line="260" w:lineRule="exact"/>
      <w:jc w:val="center"/>
      <w:outlineLvl w:val="1"/>
    </w:pPr>
    <w:rPr>
      <w:rFonts w:ascii="Calibri" w:hAnsi="Calibri" w:cstheme="majorHAnsi"/>
      <w:b/>
      <w:color w:val="44546A" w:themeColor="text2"/>
      <w:sz w:val="24"/>
      <w:szCs w:val="24"/>
    </w:rPr>
  </w:style>
  <w:style w:type="paragraph" w:styleId="TOC2">
    <w:name w:val="toc 2"/>
    <w:basedOn w:val="Normal"/>
    <w:next w:val="Normal"/>
    <w:autoRedefine/>
    <w:uiPriority w:val="39"/>
    <w:unhideWhenUsed/>
    <w:rsid w:val="009B33F4"/>
    <w:pPr>
      <w:spacing w:after="100"/>
      <w:ind w:left="220"/>
    </w:pPr>
  </w:style>
  <w:style w:type="paragraph" w:styleId="ListParagraph">
    <w:name w:val="List Paragraph"/>
    <w:aliases w:val="H&amp;P List Paragraph,2,F List Paragraph"/>
    <w:basedOn w:val="Normal"/>
    <w:link w:val="ListParagraphChar"/>
    <w:uiPriority w:val="34"/>
    <w:qFormat/>
    <w:rsid w:val="009B33F4"/>
    <w:pPr>
      <w:spacing w:after="160" w:line="259" w:lineRule="auto"/>
      <w:ind w:left="720"/>
      <w:contextualSpacing/>
      <w:jc w:val="both"/>
    </w:pPr>
    <w:rPr>
      <w:lang w:val="fi-FI"/>
    </w:rPr>
  </w:style>
  <w:style w:type="character" w:customStyle="1" w:styleId="textregularZchn">
    <w:name w:val="text regular Zchn"/>
    <w:basedOn w:val="DefaultParagraphFont"/>
    <w:link w:val="textregular"/>
    <w:locked/>
    <w:rsid w:val="009B33F4"/>
    <w:rPr>
      <w:lang w:val="en-GB"/>
    </w:rPr>
  </w:style>
  <w:style w:type="character" w:customStyle="1" w:styleId="ListParagraphChar">
    <w:name w:val="List Paragraph Char"/>
    <w:aliases w:val="H&amp;P List Paragraph Char,2 Char,F List Paragraph Char"/>
    <w:link w:val="ListParagraph"/>
    <w:uiPriority w:val="34"/>
    <w:qFormat/>
    <w:locked/>
    <w:rsid w:val="009B33F4"/>
    <w:rPr>
      <w:lang w:val="fi-FI"/>
    </w:rPr>
  </w:style>
  <w:style w:type="character" w:styleId="PlaceholderText">
    <w:name w:val="Placeholder Text"/>
    <w:basedOn w:val="DefaultParagraphFont"/>
    <w:uiPriority w:val="99"/>
    <w:semiHidden/>
    <w:rsid w:val="009B33F4"/>
    <w:rPr>
      <w:color w:val="808080"/>
    </w:rPr>
  </w:style>
  <w:style w:type="numbering" w:customStyle="1" w:styleId="XXXList">
    <w:name w:val="XXX_List"/>
    <w:basedOn w:val="NoList"/>
    <w:uiPriority w:val="99"/>
    <w:rsid w:val="009B33F4"/>
    <w:pPr>
      <w:numPr>
        <w:numId w:val="11"/>
      </w:numPr>
    </w:pPr>
  </w:style>
  <w:style w:type="character" w:customStyle="1" w:styleId="Heading2Char">
    <w:name w:val="Heading 2 Char"/>
    <w:basedOn w:val="DefaultParagraphFont"/>
    <w:link w:val="Heading2"/>
    <w:uiPriority w:val="9"/>
    <w:rsid w:val="00DD13F5"/>
    <w:rPr>
      <w:rFonts w:asciiTheme="majorHAnsi" w:eastAsiaTheme="majorEastAsia" w:hAnsiTheme="majorHAnsi" w:cstheme="majorBidi"/>
      <w:color w:val="2F5496" w:themeColor="accent1" w:themeShade="BF"/>
      <w:sz w:val="26"/>
      <w:szCs w:val="26"/>
      <w:lang w:val="en-GB"/>
    </w:rPr>
  </w:style>
  <w:style w:type="character" w:styleId="CommentReference">
    <w:name w:val="annotation reference"/>
    <w:basedOn w:val="DefaultParagraphFont"/>
    <w:uiPriority w:val="99"/>
    <w:semiHidden/>
    <w:unhideWhenUsed/>
    <w:rsid w:val="00D23F4D"/>
    <w:rPr>
      <w:sz w:val="16"/>
      <w:szCs w:val="16"/>
    </w:rPr>
  </w:style>
  <w:style w:type="paragraph" w:styleId="CommentText">
    <w:name w:val="annotation text"/>
    <w:basedOn w:val="Normal"/>
    <w:link w:val="CommentTextChar"/>
    <w:uiPriority w:val="99"/>
    <w:unhideWhenUsed/>
    <w:rsid w:val="00D23F4D"/>
    <w:rPr>
      <w:sz w:val="20"/>
      <w:szCs w:val="20"/>
    </w:rPr>
  </w:style>
  <w:style w:type="character" w:customStyle="1" w:styleId="CommentTextChar">
    <w:name w:val="Comment Text Char"/>
    <w:basedOn w:val="DefaultParagraphFont"/>
    <w:link w:val="CommentText"/>
    <w:uiPriority w:val="99"/>
    <w:rsid w:val="00D23F4D"/>
    <w:rPr>
      <w:sz w:val="20"/>
      <w:szCs w:val="20"/>
      <w:lang w:val="en-GB"/>
    </w:rPr>
  </w:style>
  <w:style w:type="paragraph" w:styleId="CommentSubject">
    <w:name w:val="annotation subject"/>
    <w:basedOn w:val="CommentText"/>
    <w:next w:val="CommentText"/>
    <w:link w:val="CommentSubjectChar"/>
    <w:uiPriority w:val="99"/>
    <w:semiHidden/>
    <w:unhideWhenUsed/>
    <w:rsid w:val="00D23F4D"/>
    <w:rPr>
      <w:b/>
      <w:bCs/>
    </w:rPr>
  </w:style>
  <w:style w:type="character" w:customStyle="1" w:styleId="CommentSubjectChar">
    <w:name w:val="Comment Subject Char"/>
    <w:basedOn w:val="CommentTextChar"/>
    <w:link w:val="CommentSubject"/>
    <w:uiPriority w:val="99"/>
    <w:semiHidden/>
    <w:rsid w:val="00D23F4D"/>
    <w:rPr>
      <w:b/>
      <w:bCs/>
      <w:sz w:val="20"/>
      <w:szCs w:val="20"/>
      <w:lang w:val="en-GB"/>
    </w:rPr>
  </w:style>
  <w:style w:type="paragraph" w:styleId="BalloonText">
    <w:name w:val="Balloon Text"/>
    <w:basedOn w:val="Normal"/>
    <w:link w:val="BalloonTextChar"/>
    <w:uiPriority w:val="99"/>
    <w:semiHidden/>
    <w:unhideWhenUsed/>
    <w:rsid w:val="00D23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4D"/>
    <w:rPr>
      <w:rFonts w:ascii="Segoe UI" w:hAnsi="Segoe UI" w:cs="Segoe UI"/>
      <w:sz w:val="18"/>
      <w:szCs w:val="18"/>
      <w:lang w:val="en-GB"/>
    </w:rPr>
  </w:style>
  <w:style w:type="paragraph" w:styleId="Revision">
    <w:name w:val="Revision"/>
    <w:hidden/>
    <w:uiPriority w:val="99"/>
    <w:semiHidden/>
    <w:rsid w:val="007D583A"/>
    <w:pPr>
      <w:spacing w:after="0" w:line="240" w:lineRule="auto"/>
    </w:pPr>
    <w:rPr>
      <w:lang w:val="en-GB"/>
    </w:rPr>
  </w:style>
  <w:style w:type="character" w:customStyle="1" w:styleId="FootnoteTextChar">
    <w:name w:val="Footnote Text Char"/>
    <w:aliases w:val="footnotes Char"/>
    <w:basedOn w:val="DefaultParagraphFont"/>
    <w:link w:val="FootnoteText"/>
    <w:uiPriority w:val="99"/>
    <w:semiHidden/>
    <w:locked/>
    <w:rsid w:val="00A77A5A"/>
    <w:rPr>
      <w:rFonts w:ascii="Lato" w:hAnsi="Lato"/>
      <w:i/>
      <w:sz w:val="19"/>
      <w:szCs w:val="20"/>
    </w:rPr>
  </w:style>
  <w:style w:type="paragraph" w:styleId="FootnoteText">
    <w:name w:val="footnote text"/>
    <w:aliases w:val="footnotes"/>
    <w:basedOn w:val="Normal"/>
    <w:link w:val="FootnoteTextChar"/>
    <w:uiPriority w:val="99"/>
    <w:semiHidden/>
    <w:unhideWhenUsed/>
    <w:rsid w:val="00A77A5A"/>
    <w:pPr>
      <w:jc w:val="both"/>
    </w:pPr>
    <w:rPr>
      <w:rFonts w:ascii="Lato" w:hAnsi="Lato"/>
      <w:i/>
      <w:sz w:val="19"/>
      <w:szCs w:val="20"/>
      <w:lang w:val="lt-LT"/>
    </w:rPr>
  </w:style>
  <w:style w:type="character" w:customStyle="1" w:styleId="FootnoteTextChar1">
    <w:name w:val="Footnote Text Char1"/>
    <w:basedOn w:val="DefaultParagraphFont"/>
    <w:uiPriority w:val="99"/>
    <w:semiHidden/>
    <w:rsid w:val="00A77A5A"/>
    <w:rPr>
      <w:sz w:val="20"/>
      <w:szCs w:val="20"/>
      <w:lang w:val="en-GB"/>
    </w:rPr>
  </w:style>
  <w:style w:type="character" w:customStyle="1" w:styleId="headline1Char">
    <w:name w:val="headline 1 Char"/>
    <w:basedOn w:val="DefaultParagraphFont"/>
    <w:link w:val="headline1"/>
    <w:uiPriority w:val="2"/>
    <w:locked/>
    <w:rsid w:val="00B44CB6"/>
    <w:rPr>
      <w:rFonts w:asciiTheme="majorHAnsi" w:eastAsia="Times New Roman" w:hAnsiTheme="majorHAnsi" w:cs="Times New Roman"/>
      <w:caps/>
      <w:color w:val="44546A" w:themeColor="text2"/>
      <w:sz w:val="24"/>
      <w:szCs w:val="28"/>
      <w:lang w:eastAsia="de-DE"/>
    </w:rPr>
  </w:style>
  <w:style w:type="paragraph" w:customStyle="1" w:styleId="headline1">
    <w:name w:val="headline 1"/>
    <w:next w:val="Normal"/>
    <w:link w:val="headline1Char"/>
    <w:uiPriority w:val="2"/>
    <w:qFormat/>
    <w:rsid w:val="00B44CB6"/>
    <w:pPr>
      <w:keepNext/>
      <w:widowControl w:val="0"/>
      <w:spacing w:after="360" w:line="240" w:lineRule="auto"/>
      <w:outlineLvl w:val="0"/>
    </w:pPr>
    <w:rPr>
      <w:rFonts w:asciiTheme="majorHAnsi" w:eastAsia="Times New Roman" w:hAnsiTheme="majorHAnsi" w:cs="Times New Roman"/>
      <w:caps/>
      <w:color w:val="44546A" w:themeColor="text2"/>
      <w:sz w:val="24"/>
      <w:szCs w:val="28"/>
      <w:lang w:eastAsia="de-DE"/>
    </w:rPr>
  </w:style>
  <w:style w:type="character" w:customStyle="1" w:styleId="headline2Char">
    <w:name w:val="headline 2 Char"/>
    <w:basedOn w:val="DefaultParagraphFont"/>
    <w:link w:val="headline2"/>
    <w:uiPriority w:val="2"/>
    <w:locked/>
    <w:rsid w:val="00A77A5A"/>
    <w:rPr>
      <w:rFonts w:ascii="Calibri" w:hAnsi="Calibri" w:cstheme="majorHAnsi"/>
      <w:b/>
      <w:color w:val="44546A" w:themeColor="text2"/>
      <w:sz w:val="24"/>
      <w:szCs w:val="24"/>
      <w:lang w:val="en-GB"/>
    </w:rPr>
  </w:style>
  <w:style w:type="character" w:styleId="FootnoteReference">
    <w:name w:val="footnote reference"/>
    <w:basedOn w:val="DefaultParagraphFont"/>
    <w:uiPriority w:val="99"/>
    <w:semiHidden/>
    <w:unhideWhenUsed/>
    <w:rsid w:val="00A77A5A"/>
    <w:rPr>
      <w:vertAlign w:val="superscript"/>
    </w:rPr>
  </w:style>
  <w:style w:type="table" w:styleId="GridTable6Colorful-Accent1">
    <w:name w:val="Grid Table 6 Colorful Accent 1"/>
    <w:basedOn w:val="TableNormal"/>
    <w:uiPriority w:val="51"/>
    <w:rsid w:val="00A77A5A"/>
    <w:pPr>
      <w:spacing w:after="0" w:line="240" w:lineRule="auto"/>
    </w:pPr>
    <w:rPr>
      <w:color w:val="2F5496" w:themeColor="accent1" w:themeShade="BF"/>
      <w:lang w:val="en-GB"/>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1">
    <w:name w:val="toc 1"/>
    <w:basedOn w:val="Normal"/>
    <w:next w:val="Normal"/>
    <w:autoRedefine/>
    <w:uiPriority w:val="39"/>
    <w:unhideWhenUsed/>
    <w:rsid w:val="00F84FD3"/>
    <w:pPr>
      <w:spacing w:after="100"/>
    </w:pPr>
  </w:style>
  <w:style w:type="character" w:styleId="UnresolvedMention">
    <w:name w:val="Unresolved Mention"/>
    <w:basedOn w:val="DefaultParagraphFont"/>
    <w:uiPriority w:val="99"/>
    <w:unhideWhenUsed/>
    <w:rsid w:val="00E43EC3"/>
    <w:rPr>
      <w:color w:val="605E5C"/>
      <w:shd w:val="clear" w:color="auto" w:fill="E1DFDD"/>
    </w:rPr>
  </w:style>
  <w:style w:type="character" w:styleId="Mention">
    <w:name w:val="Mention"/>
    <w:basedOn w:val="DefaultParagraphFont"/>
    <w:uiPriority w:val="99"/>
    <w:unhideWhenUsed/>
    <w:rsid w:val="00E43EC3"/>
    <w:rPr>
      <w:color w:val="2B579A"/>
      <w:shd w:val="clear" w:color="auto" w:fill="E1DFDD"/>
    </w:rPr>
  </w:style>
  <w:style w:type="character" w:styleId="FollowedHyperlink">
    <w:name w:val="FollowedHyperlink"/>
    <w:basedOn w:val="DefaultParagraphFont"/>
    <w:uiPriority w:val="99"/>
    <w:semiHidden/>
    <w:unhideWhenUsed/>
    <w:rsid w:val="00F827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45132">
      <w:bodyDiv w:val="1"/>
      <w:marLeft w:val="0"/>
      <w:marRight w:val="0"/>
      <w:marTop w:val="0"/>
      <w:marBottom w:val="0"/>
      <w:divBdr>
        <w:top w:val="none" w:sz="0" w:space="0" w:color="auto"/>
        <w:left w:val="none" w:sz="0" w:space="0" w:color="auto"/>
        <w:bottom w:val="none" w:sz="0" w:space="0" w:color="auto"/>
        <w:right w:val="none" w:sz="0" w:space="0" w:color="auto"/>
      </w:divBdr>
    </w:div>
    <w:div w:id="452939836">
      <w:bodyDiv w:val="1"/>
      <w:marLeft w:val="0"/>
      <w:marRight w:val="0"/>
      <w:marTop w:val="0"/>
      <w:marBottom w:val="0"/>
      <w:divBdr>
        <w:top w:val="none" w:sz="0" w:space="0" w:color="auto"/>
        <w:left w:val="none" w:sz="0" w:space="0" w:color="auto"/>
        <w:bottom w:val="none" w:sz="0" w:space="0" w:color="auto"/>
        <w:right w:val="none" w:sz="0" w:space="0" w:color="auto"/>
      </w:divBdr>
    </w:div>
    <w:div w:id="538013006">
      <w:bodyDiv w:val="1"/>
      <w:marLeft w:val="0"/>
      <w:marRight w:val="0"/>
      <w:marTop w:val="0"/>
      <w:marBottom w:val="0"/>
      <w:divBdr>
        <w:top w:val="none" w:sz="0" w:space="0" w:color="auto"/>
        <w:left w:val="none" w:sz="0" w:space="0" w:color="auto"/>
        <w:bottom w:val="none" w:sz="0" w:space="0" w:color="auto"/>
        <w:right w:val="none" w:sz="0" w:space="0" w:color="auto"/>
      </w:divBdr>
    </w:div>
    <w:div w:id="581523235">
      <w:bodyDiv w:val="1"/>
      <w:marLeft w:val="0"/>
      <w:marRight w:val="0"/>
      <w:marTop w:val="0"/>
      <w:marBottom w:val="0"/>
      <w:divBdr>
        <w:top w:val="none" w:sz="0" w:space="0" w:color="auto"/>
        <w:left w:val="none" w:sz="0" w:space="0" w:color="auto"/>
        <w:bottom w:val="none" w:sz="0" w:space="0" w:color="auto"/>
        <w:right w:val="none" w:sz="0" w:space="0" w:color="auto"/>
      </w:divBdr>
      <w:divsChild>
        <w:div w:id="340856203">
          <w:marLeft w:val="446"/>
          <w:marRight w:val="0"/>
          <w:marTop w:val="0"/>
          <w:marBottom w:val="0"/>
          <w:divBdr>
            <w:top w:val="none" w:sz="0" w:space="0" w:color="auto"/>
            <w:left w:val="none" w:sz="0" w:space="0" w:color="auto"/>
            <w:bottom w:val="none" w:sz="0" w:space="0" w:color="auto"/>
            <w:right w:val="none" w:sz="0" w:space="0" w:color="auto"/>
          </w:divBdr>
        </w:div>
      </w:divsChild>
    </w:div>
    <w:div w:id="908687871">
      <w:bodyDiv w:val="1"/>
      <w:marLeft w:val="0"/>
      <w:marRight w:val="0"/>
      <w:marTop w:val="0"/>
      <w:marBottom w:val="0"/>
      <w:divBdr>
        <w:top w:val="none" w:sz="0" w:space="0" w:color="auto"/>
        <w:left w:val="none" w:sz="0" w:space="0" w:color="auto"/>
        <w:bottom w:val="none" w:sz="0" w:space="0" w:color="auto"/>
        <w:right w:val="none" w:sz="0" w:space="0" w:color="auto"/>
      </w:divBdr>
    </w:div>
    <w:div w:id="977763448">
      <w:bodyDiv w:val="1"/>
      <w:marLeft w:val="0"/>
      <w:marRight w:val="0"/>
      <w:marTop w:val="0"/>
      <w:marBottom w:val="0"/>
      <w:divBdr>
        <w:top w:val="none" w:sz="0" w:space="0" w:color="auto"/>
        <w:left w:val="none" w:sz="0" w:space="0" w:color="auto"/>
        <w:bottom w:val="none" w:sz="0" w:space="0" w:color="auto"/>
        <w:right w:val="none" w:sz="0" w:space="0" w:color="auto"/>
      </w:divBdr>
    </w:div>
    <w:div w:id="12741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ring.ee/en/rules-methodologies" TargetMode="External"/><Relationship Id="rId18" Type="http://schemas.openxmlformats.org/officeDocument/2006/relationships/hyperlink" Target="https://elering.ee/en/balancing-agreemen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st.lv/en/content/tso-report-balancing" TargetMode="External"/><Relationship Id="rId17" Type="http://schemas.openxmlformats.org/officeDocument/2006/relationships/hyperlink" Target="https://www.ast.lv/en/content/balance-responsibility-and-imbala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st.lv/en/content/balancing-and-other-ancillary-services" TargetMode="External"/><Relationship Id="rId20" Type="http://schemas.openxmlformats.org/officeDocument/2006/relationships/hyperlink" Target="https://www.litgrid.eu/index.php/services/trade-in-balancing-energy/5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tgrid.eu/index.php/elektros-rinka-ir-pletra/balansavimo-rinka/31281"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itgrid.eu/index.php/services/trade-in-imbalance-energy/572"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lering.ee/en/balance-agre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grid.eu/index.php/services/trade-in-balancing-energy/573"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E1244F690FE41F5872109A7ED323A2C"/>
        <w:category>
          <w:name w:val="General"/>
          <w:gallery w:val="placeholder"/>
        </w:category>
        <w:types>
          <w:type w:val="bbPlcHdr"/>
        </w:types>
        <w:behaviors>
          <w:behavior w:val="content"/>
        </w:behaviors>
        <w:guid w:val="{A828D18E-6F14-4DD7-93A8-9D7FC7B2A4C4}"/>
      </w:docPartPr>
      <w:docPartBody>
        <w:p w:rsidR="000C208C" w:rsidRDefault="002C436A" w:rsidP="002C436A">
          <w:pPr>
            <w:pStyle w:val="FE1244F690FE41F5872109A7ED323A2C"/>
          </w:pPr>
          <w:r w:rsidRPr="000C30E5">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alibri&quot;,sans-serif">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6A"/>
    <w:rsid w:val="000C208C"/>
    <w:rsid w:val="000C2181"/>
    <w:rsid w:val="000F30D1"/>
    <w:rsid w:val="00155189"/>
    <w:rsid w:val="001B00C9"/>
    <w:rsid w:val="0024644C"/>
    <w:rsid w:val="002874AA"/>
    <w:rsid w:val="002C436A"/>
    <w:rsid w:val="003223B3"/>
    <w:rsid w:val="00337F61"/>
    <w:rsid w:val="00357331"/>
    <w:rsid w:val="003E4081"/>
    <w:rsid w:val="0049540A"/>
    <w:rsid w:val="0050510F"/>
    <w:rsid w:val="00541B0C"/>
    <w:rsid w:val="00592B57"/>
    <w:rsid w:val="00682BBE"/>
    <w:rsid w:val="00705FEE"/>
    <w:rsid w:val="007717AF"/>
    <w:rsid w:val="007B1C2A"/>
    <w:rsid w:val="008833F3"/>
    <w:rsid w:val="008C2EC0"/>
    <w:rsid w:val="00992F64"/>
    <w:rsid w:val="009A559A"/>
    <w:rsid w:val="009E08C0"/>
    <w:rsid w:val="00A171BB"/>
    <w:rsid w:val="00A25154"/>
    <w:rsid w:val="00A447A3"/>
    <w:rsid w:val="00BD657B"/>
    <w:rsid w:val="00BF1F36"/>
    <w:rsid w:val="00C2530E"/>
    <w:rsid w:val="00C35F65"/>
    <w:rsid w:val="00C6616E"/>
    <w:rsid w:val="00C91FEF"/>
    <w:rsid w:val="00CB7966"/>
    <w:rsid w:val="00CC683D"/>
    <w:rsid w:val="00CE1E5C"/>
    <w:rsid w:val="00CF0DB7"/>
    <w:rsid w:val="00D1333F"/>
    <w:rsid w:val="00D42207"/>
    <w:rsid w:val="00DC604C"/>
    <w:rsid w:val="00DD6995"/>
    <w:rsid w:val="00E63124"/>
    <w:rsid w:val="00F8532D"/>
    <w:rsid w:val="00FB024E"/>
    <w:rsid w:val="00FB42F4"/>
    <w:rsid w:val="00FC2C65"/>
    <w:rsid w:val="00FF795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6A"/>
    <w:rPr>
      <w:color w:val="808080"/>
    </w:rPr>
  </w:style>
  <w:style w:type="paragraph" w:customStyle="1" w:styleId="FE1244F690FE41F5872109A7ED323A2C">
    <w:name w:val="FE1244F690FE41F5872109A7ED323A2C"/>
    <w:rsid w:val="002C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windows-1257"/>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949307610B34E4FA6A7A4EDB45D803F" ma:contentTypeVersion="8" ma:contentTypeDescription="Kurkite naują dokumentą." ma:contentTypeScope="" ma:versionID="d1b5e42f209d8b7e3d4d8f9dd3de9219">
  <xsd:schema xmlns:xsd="http://www.w3.org/2001/XMLSchema" xmlns:xs="http://www.w3.org/2001/XMLSchema" xmlns:p="http://schemas.microsoft.com/office/2006/metadata/properties" xmlns:ns2="ea738680-df66-4c15-8544-c2096a60734a" xmlns:ns3="4a24d479-58f9-44f8-90f9-339fc6aacae3" targetNamespace="http://schemas.microsoft.com/office/2006/metadata/properties" ma:root="true" ma:fieldsID="5ee26aaf981e05ef8c80961a80bf1bca" ns2:_="" ns3:_="">
    <xsd:import namespace="ea738680-df66-4c15-8544-c2096a60734a"/>
    <xsd:import namespace="4a24d479-58f9-44f8-90f9-339fc6aac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38680-df66-4c15-8544-c2096a60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4d479-58f9-44f8-90f9-339fc6aacae3"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2623E-A747-45F5-A45B-C3D1688AB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38680-df66-4c15-8544-c2096a60734a"/>
    <ds:schemaRef ds:uri="4a24d479-58f9-44f8-90f9-339fc6aa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EB164-5DCA-4F18-B454-7A03BDC12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7B5EC2-6797-4A12-A563-D8D996F79683}">
  <ds:schemaRefs>
    <ds:schemaRef ds:uri="http://schemas.microsoft.com/sharepoint/v3/contenttype/forms"/>
  </ds:schemaRefs>
</ds:datastoreItem>
</file>

<file path=customXml/itemProps4.xml><?xml version="1.0" encoding="utf-8"?>
<ds:datastoreItem xmlns:ds="http://schemas.openxmlformats.org/officeDocument/2006/customXml" ds:itemID="{0C07B5E3-C2B0-4F88-AB59-4D5F428C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4426</Words>
  <Characters>25231</Characters>
  <Application>Microsoft Office Word</Application>
  <DocSecurity>4</DocSecurity>
  <Lines>210</Lines>
  <Paragraphs>59</Paragraphs>
  <ScaleCrop>false</ScaleCrop>
  <Company/>
  <LinksUpToDate>false</LinksUpToDate>
  <CharactersWithSpaces>29598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Baltic TSOs’ report on balancing in accordance with the Article 60(1) of Commission Regulation (EU) 2017/2195 of 23 November 2017 establishing a guideline on electricity balancing</dc:title>
  <dc:subject/>
  <dc:creator>Benas Makauskas</dc:creator>
  <cp:keywords/>
  <dc:description/>
  <cp:lastModifiedBy>Gunārs Cingels</cp:lastModifiedBy>
  <cp:revision>6</cp:revision>
  <cp:lastPrinted>2019-10-29T12:00:00Z</cp:lastPrinted>
  <dcterms:created xsi:type="dcterms:W3CDTF">2024-04-17T05:53:00Z</dcterms:created>
  <dcterms:modified xsi:type="dcterms:W3CDTF">2024-04-22T07:28:00Z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0x0101005949307610B34E4FA6A7A4EDB45D803F</vt:lpwstr>
  </property>
  <property fmtid="{D5CDD505-2E9C-101B-9397-08002B2CF9AE}" pid="3" name="MSIP_Label_32ae7b5d-0aac-474b-ae2b-02c331ef2874_Enabled">
    <vt:lpwstr>true</vt:lpwstr>
  </property>
  <property fmtid="{D5CDD505-2E9C-101B-9397-08002B2CF9AE}" pid="4" name="MSIP_Label_32ae7b5d-0aac-474b-ae2b-02c331ef2874_SetDate">
    <vt:lpwstr>2022-04-28T04:35:05Z</vt:lpwstr>
  </property>
  <property fmtid="{D5CDD505-2E9C-101B-9397-08002B2CF9AE}" pid="5" name="MSIP_Label_32ae7b5d-0aac-474b-ae2b-02c331ef2874_Method">
    <vt:lpwstr>Privileged</vt:lpwstr>
  </property>
  <property fmtid="{D5CDD505-2E9C-101B-9397-08002B2CF9AE}" pid="6" name="MSIP_Label_32ae7b5d-0aac-474b-ae2b-02c331ef2874_Name">
    <vt:lpwstr>VIDINĖ</vt:lpwstr>
  </property>
  <property fmtid="{D5CDD505-2E9C-101B-9397-08002B2CF9AE}" pid="7" name="MSIP_Label_32ae7b5d-0aac-474b-ae2b-02c331ef2874_SiteId">
    <vt:lpwstr>86bcf768-7bcf-4cd6-b041-b219988b7a9c</vt:lpwstr>
  </property>
  <property fmtid="{D5CDD505-2E9C-101B-9397-08002B2CF9AE}" pid="8" name="MSIP_Label_32ae7b5d-0aac-474b-ae2b-02c331ef2874_ActionId">
    <vt:lpwstr>2f742fe6-3d65-4556-834f-f6138f41e1ba</vt:lpwstr>
  </property>
  <property fmtid="{D5CDD505-2E9C-101B-9397-08002B2CF9AE}" pid="9" name="MSIP_Label_32ae7b5d-0aac-474b-ae2b-02c331ef2874_ContentBits">
    <vt:lpwstr>0</vt:lpwstr>
  </property>
  <property fmtid="{D5CDD505-2E9C-101B-9397-08002B2CF9AE}" pid="10" name="MSIP_Label_66cffd26-8a8e-4271-ae8c-0448cc98c6fa_Enabled">
    <vt:lpwstr>true</vt:lpwstr>
  </property>
  <property fmtid="{D5CDD505-2E9C-101B-9397-08002B2CF9AE}" pid="11" name="MSIP_Label_66cffd26-8a8e-4271-ae8c-0448cc98c6fa_SetDate">
    <vt:lpwstr>2022-04-29T09:52:39Z</vt:lpwstr>
  </property>
  <property fmtid="{D5CDD505-2E9C-101B-9397-08002B2CF9AE}" pid="12" name="MSIP_Label_66cffd26-8a8e-4271-ae8c-0448cc98c6fa_Method">
    <vt:lpwstr>Standard</vt:lpwstr>
  </property>
  <property fmtid="{D5CDD505-2E9C-101B-9397-08002B2CF9AE}" pid="13" name="MSIP_Label_66cffd26-8a8e-4271-ae8c-0448cc98c6fa_Name">
    <vt:lpwstr>AST dokumenti</vt:lpwstr>
  </property>
  <property fmtid="{D5CDD505-2E9C-101B-9397-08002B2CF9AE}" pid="14" name="MSIP_Label_66cffd26-8a8e-4271-ae8c-0448cc98c6fa_SiteId">
    <vt:lpwstr>c4c0dd7c-1dfb-4088-9303-96b608da35b3</vt:lpwstr>
  </property>
  <property fmtid="{D5CDD505-2E9C-101B-9397-08002B2CF9AE}" pid="15" name="MSIP_Label_66cffd26-8a8e-4271-ae8c-0448cc98c6fa_ActionId">
    <vt:lpwstr>5c895ca2-31f2-4b26-a856-24eff2e3cc82</vt:lpwstr>
  </property>
  <property fmtid="{D5CDD505-2E9C-101B-9397-08002B2CF9AE}" pid="16" name="MSIP_Label_66cffd26-8a8e-4271-ae8c-0448cc98c6fa_ContentBits">
    <vt:lpwstr>0</vt:lpwstr>
  </property>
</Properties>
</file>