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835604" w:rsidRPr="00733F7F" w:rsidP="00835604" w14:paraId="0060606A" w14:textId="77777777">
      <w:pPr>
        <w:rPr>
          <w:b/>
          <w:bCs/>
          <w:color w:val="002060"/>
          <w:sz w:val="40"/>
          <w:szCs w:val="40"/>
        </w:rPr>
      </w:pPr>
    </w:p>
    <w:p w:rsidR="00835604" w:rsidRPr="006C64F3" w:rsidP="00835604" w14:paraId="0C5F8306" w14:textId="77777777">
      <w:pPr>
        <w:rPr>
          <w:rFonts w:cstheme="minorHAnsi"/>
          <w:b/>
          <w:bCs/>
          <w:color w:val="002060"/>
          <w:sz w:val="40"/>
          <w:szCs w:val="40"/>
        </w:rPr>
      </w:pPr>
    </w:p>
    <w:p w:rsidR="00835604" w:rsidRPr="006C64F3" w:rsidP="00835604" w14:paraId="47323FB8" w14:textId="77777777">
      <w:pPr>
        <w:rPr>
          <w:rFonts w:cstheme="minorHAnsi"/>
          <w:b/>
          <w:bCs/>
          <w:color w:val="002060"/>
          <w:sz w:val="40"/>
          <w:szCs w:val="40"/>
        </w:rPr>
      </w:pPr>
    </w:p>
    <w:p w:rsidR="00835604" w:rsidRPr="006C64F3" w:rsidP="00835604" w14:paraId="6DC34315" w14:textId="77777777">
      <w:pPr>
        <w:rPr>
          <w:rFonts w:cstheme="minorHAnsi"/>
          <w:b/>
          <w:bCs/>
          <w:color w:val="002060"/>
          <w:sz w:val="40"/>
          <w:szCs w:val="40"/>
        </w:rPr>
      </w:pPr>
    </w:p>
    <w:p w:rsidR="00835604" w:rsidRPr="006C64F3" w:rsidP="00835604" w14:paraId="76F177F5" w14:textId="77777777">
      <w:pPr>
        <w:rPr>
          <w:rFonts w:cstheme="minorHAnsi"/>
          <w:b/>
          <w:bCs/>
          <w:color w:val="002060"/>
          <w:sz w:val="40"/>
          <w:szCs w:val="40"/>
        </w:rPr>
      </w:pPr>
    </w:p>
    <w:p w:rsidR="00835604" w:rsidRPr="006C64F3" w:rsidP="00835604" w14:paraId="2893F19C" w14:textId="77777777">
      <w:pPr>
        <w:rPr>
          <w:rFonts w:cstheme="minorHAnsi"/>
          <w:b/>
          <w:bCs/>
          <w:color w:val="002060"/>
          <w:sz w:val="40"/>
          <w:szCs w:val="40"/>
        </w:rPr>
      </w:pPr>
    </w:p>
    <w:p w:rsidR="00835604" w:rsidRPr="006C64F3" w:rsidP="00835604" w14:paraId="4EA8AE09" w14:textId="77777777">
      <w:pPr>
        <w:rPr>
          <w:rFonts w:cstheme="minorHAnsi"/>
          <w:b/>
          <w:bCs/>
          <w:color w:val="002060"/>
          <w:sz w:val="40"/>
          <w:szCs w:val="40"/>
        </w:rPr>
      </w:pPr>
    </w:p>
    <w:p w:rsidR="00835604" w:rsidRPr="00762113" w:rsidP="00835604" w14:paraId="38296A3C" w14:textId="3B1B41AA">
      <w:pPr>
        <w:jc w:val="center"/>
        <w:rPr>
          <w:rFonts w:cstheme="minorHAnsi"/>
          <w:b/>
          <w:bCs/>
          <w:color w:val="002060"/>
          <w:sz w:val="40"/>
          <w:szCs w:val="40"/>
        </w:rPr>
      </w:pPr>
      <w:r w:rsidRPr="00762113">
        <w:rPr>
          <w:rFonts w:cstheme="minorHAnsi"/>
          <w:b/>
          <w:bCs/>
          <w:color w:val="002060"/>
          <w:sz w:val="40"/>
          <w:szCs w:val="40"/>
        </w:rPr>
        <w:t xml:space="preserve">Explanatory document to </w:t>
      </w:r>
      <w:r w:rsidRPr="00762113" w:rsidR="00A210D3">
        <w:rPr>
          <w:rFonts w:cstheme="minorHAnsi"/>
          <w:b/>
          <w:bCs/>
          <w:color w:val="002060"/>
          <w:sz w:val="40"/>
          <w:szCs w:val="40"/>
        </w:rPr>
        <w:t xml:space="preserve">Baltic CCR TSOs </w:t>
      </w:r>
      <w:r w:rsidRPr="00762113">
        <w:rPr>
          <w:rFonts w:cstheme="minorHAnsi"/>
          <w:b/>
          <w:bCs/>
          <w:color w:val="002060"/>
          <w:sz w:val="40"/>
          <w:szCs w:val="40"/>
        </w:rPr>
        <w:t>proposal in accordance with Article 41(1) of the Commission Regulation (EU) 2017/2195 of 23 November 2017 establishing a guideline on electricity balancing</w:t>
      </w:r>
    </w:p>
    <w:p w:rsidR="00835604" w:rsidRPr="00762113" w:rsidP="00835604" w14:paraId="27DD46E8" w14:textId="77777777">
      <w:pPr>
        <w:rPr>
          <w:rFonts w:cstheme="minorHAnsi"/>
          <w:color w:val="000000" w:themeColor="text1"/>
          <w:sz w:val="36"/>
          <w:szCs w:val="36"/>
        </w:rPr>
      </w:pPr>
      <w:r w:rsidRPr="00762113">
        <w:rPr>
          <w:rFonts w:cstheme="minorHAnsi"/>
          <w:color w:val="000000" w:themeColor="text1"/>
          <w:sz w:val="36"/>
          <w:szCs w:val="36"/>
        </w:rPr>
        <w:br w:type="page"/>
      </w:r>
    </w:p>
    <w:p w:rsidR="00835604" w:rsidRPr="00762113" w:rsidP="00835604" w14:paraId="6EF5F437" w14:textId="77777777">
      <w:pPr>
        <w:pStyle w:val="textregular"/>
        <w:spacing w:line="276" w:lineRule="auto"/>
        <w:rPr>
          <w:rFonts w:cstheme="minorHAnsi"/>
          <w:color w:val="000000" w:themeColor="text1"/>
        </w:rPr>
      </w:pPr>
    </w:p>
    <w:sdt>
      <w:sdtPr>
        <w:rPr>
          <w:rFonts w:asciiTheme="minorHAnsi" w:eastAsiaTheme="minorHAnsi" w:hAnsiTheme="minorHAnsi" w:cstheme="minorBidi"/>
          <w:b w:val="0"/>
          <w:bCs w:val="0"/>
          <w:color w:val="auto"/>
          <w:sz w:val="22"/>
          <w:szCs w:val="22"/>
        </w:rPr>
        <w:id w:val="-1245174805"/>
        <w:docPartObj>
          <w:docPartGallery w:val="Table of Contents"/>
          <w:docPartUnique/>
        </w:docPartObj>
      </w:sdtPr>
      <w:sdtContent>
        <w:p w:rsidR="00835604" w:rsidRPr="00762113" w:rsidP="00835604" w14:paraId="6CA6DC30" w14:textId="77777777">
          <w:pPr>
            <w:pStyle w:val="TOCHeading"/>
            <w:rPr>
              <w:rFonts w:asciiTheme="minorHAnsi" w:hAnsiTheme="minorHAnsi" w:cstheme="minorHAnsi"/>
            </w:rPr>
          </w:pPr>
          <w:r w:rsidRPr="00762113">
            <w:rPr>
              <w:rFonts w:asciiTheme="minorHAnsi" w:hAnsiTheme="minorHAnsi" w:cstheme="minorHAnsi"/>
            </w:rPr>
            <w:t>Table of Contents</w:t>
          </w:r>
        </w:p>
        <w:p w:rsidR="00DF660D" w:rsidRPr="00762113" w14:paraId="3C472D24" w14:textId="07EA50BB">
          <w:pPr>
            <w:pStyle w:val="TOC1"/>
            <w:rPr>
              <w:rFonts w:asciiTheme="minorHAnsi" w:eastAsiaTheme="minorEastAsia" w:hAnsiTheme="minorHAnsi"/>
              <w:noProof/>
              <w:lang w:val="et-EE" w:eastAsia="et-EE"/>
            </w:rPr>
          </w:pPr>
          <w:r w:rsidRPr="00762113">
            <w:rPr>
              <w:rFonts w:cstheme="minorHAnsi"/>
            </w:rPr>
            <w:fldChar w:fldCharType="begin"/>
          </w:r>
          <w:r w:rsidRPr="00762113">
            <w:rPr>
              <w:rFonts w:cstheme="minorHAnsi"/>
            </w:rPr>
            <w:instrText xml:space="preserve"> TOC \o "1-3" \h \z \u </w:instrText>
          </w:r>
          <w:r w:rsidRPr="00762113">
            <w:rPr>
              <w:rFonts w:cstheme="minorHAnsi"/>
            </w:rPr>
            <w:fldChar w:fldCharType="separate"/>
          </w:r>
          <w:hyperlink w:anchor="_Toc113284199" w:history="1">
            <w:r w:rsidRPr="00762113">
              <w:rPr>
                <w:rStyle w:val="Hyperlink"/>
                <w:noProof/>
              </w:rPr>
              <w:t>1.</w:t>
            </w:r>
            <w:r w:rsidRPr="00762113">
              <w:rPr>
                <w:rFonts w:asciiTheme="minorHAnsi" w:eastAsiaTheme="minorEastAsia" w:hAnsiTheme="minorHAnsi"/>
                <w:noProof/>
                <w:lang w:val="et-EE" w:eastAsia="et-EE"/>
              </w:rPr>
              <w:tab/>
            </w:r>
            <w:r w:rsidRPr="00762113">
              <w:rPr>
                <w:rStyle w:val="Hyperlink"/>
                <w:noProof/>
              </w:rPr>
              <w:t>Definitions</w:t>
            </w:r>
            <w:r w:rsidRPr="00762113">
              <w:rPr>
                <w:noProof/>
                <w:webHidden/>
              </w:rPr>
              <w:tab/>
            </w:r>
            <w:r w:rsidRPr="00762113">
              <w:rPr>
                <w:noProof/>
                <w:webHidden/>
              </w:rPr>
              <w:fldChar w:fldCharType="begin"/>
            </w:r>
            <w:r w:rsidRPr="00762113">
              <w:rPr>
                <w:noProof/>
                <w:webHidden/>
              </w:rPr>
              <w:instrText xml:space="preserve"> PAGEREF _Toc113284199 \h </w:instrText>
            </w:r>
            <w:r w:rsidRPr="00762113">
              <w:rPr>
                <w:noProof/>
                <w:webHidden/>
              </w:rPr>
              <w:fldChar w:fldCharType="separate"/>
            </w:r>
            <w:r w:rsidRPr="00762113">
              <w:rPr>
                <w:noProof/>
                <w:webHidden/>
              </w:rPr>
              <w:t>4</w:t>
            </w:r>
            <w:r w:rsidRPr="00762113">
              <w:rPr>
                <w:noProof/>
                <w:webHidden/>
              </w:rPr>
              <w:fldChar w:fldCharType="end"/>
            </w:r>
          </w:hyperlink>
        </w:p>
        <w:p w:rsidR="00DF660D" w:rsidRPr="00762113" w14:paraId="119B8470" w14:textId="67471FBF">
          <w:pPr>
            <w:pStyle w:val="TOC1"/>
            <w:rPr>
              <w:rFonts w:asciiTheme="minorHAnsi" w:eastAsiaTheme="minorEastAsia" w:hAnsiTheme="minorHAnsi"/>
              <w:noProof/>
              <w:lang w:val="et-EE" w:eastAsia="et-EE"/>
            </w:rPr>
          </w:pPr>
          <w:hyperlink w:anchor="_Toc113284200" w:history="1">
            <w:r w:rsidRPr="00762113">
              <w:rPr>
                <w:rStyle w:val="Hyperlink"/>
                <w:rFonts w:eastAsia="Calibri"/>
                <w:noProof/>
              </w:rPr>
              <w:t>2.</w:t>
            </w:r>
            <w:r w:rsidRPr="00762113">
              <w:rPr>
                <w:rFonts w:asciiTheme="minorHAnsi" w:eastAsiaTheme="minorEastAsia" w:hAnsiTheme="minorHAnsi"/>
                <w:noProof/>
                <w:lang w:val="et-EE" w:eastAsia="et-EE"/>
              </w:rPr>
              <w:tab/>
            </w:r>
            <w:r w:rsidRPr="00762113">
              <w:rPr>
                <w:rStyle w:val="Hyperlink"/>
                <w:rFonts w:eastAsia="Calibri"/>
                <w:noProof/>
              </w:rPr>
              <w:t>Introduction</w:t>
            </w:r>
            <w:r w:rsidRPr="00762113">
              <w:rPr>
                <w:noProof/>
                <w:webHidden/>
              </w:rPr>
              <w:tab/>
            </w:r>
            <w:r w:rsidRPr="00762113">
              <w:rPr>
                <w:noProof/>
                <w:webHidden/>
              </w:rPr>
              <w:fldChar w:fldCharType="begin"/>
            </w:r>
            <w:r w:rsidRPr="00762113">
              <w:rPr>
                <w:noProof/>
                <w:webHidden/>
              </w:rPr>
              <w:instrText xml:space="preserve"> PAGEREF _Toc113284200 \h </w:instrText>
            </w:r>
            <w:r w:rsidRPr="00762113">
              <w:rPr>
                <w:noProof/>
                <w:webHidden/>
              </w:rPr>
              <w:fldChar w:fldCharType="separate"/>
            </w:r>
            <w:r w:rsidRPr="00762113">
              <w:rPr>
                <w:noProof/>
                <w:webHidden/>
              </w:rPr>
              <w:t>5</w:t>
            </w:r>
            <w:r w:rsidRPr="00762113">
              <w:rPr>
                <w:noProof/>
                <w:webHidden/>
              </w:rPr>
              <w:fldChar w:fldCharType="end"/>
            </w:r>
          </w:hyperlink>
        </w:p>
        <w:p w:rsidR="00DF660D" w:rsidRPr="00762113" w14:paraId="163485AC" w14:textId="5F09DE5F">
          <w:pPr>
            <w:pStyle w:val="TOC2"/>
            <w:rPr>
              <w:rFonts w:eastAsiaTheme="minorEastAsia"/>
              <w:noProof/>
              <w:lang w:val="et-EE" w:eastAsia="et-EE"/>
            </w:rPr>
          </w:pPr>
          <w:hyperlink w:anchor="_Toc113284201" w:history="1">
            <w:r w:rsidRPr="00762113">
              <w:rPr>
                <w:rStyle w:val="Hyperlink"/>
                <w:noProof/>
              </w:rPr>
              <w:t>2.1.</w:t>
            </w:r>
            <w:r w:rsidRPr="00762113">
              <w:rPr>
                <w:rFonts w:eastAsiaTheme="minorEastAsia"/>
                <w:noProof/>
                <w:lang w:val="et-EE" w:eastAsia="et-EE"/>
              </w:rPr>
              <w:tab/>
            </w:r>
            <w:r w:rsidRPr="00762113">
              <w:rPr>
                <w:rStyle w:val="Hyperlink"/>
                <w:noProof/>
              </w:rPr>
              <w:t>Background</w:t>
            </w:r>
            <w:r w:rsidRPr="00762113">
              <w:rPr>
                <w:noProof/>
                <w:webHidden/>
              </w:rPr>
              <w:tab/>
            </w:r>
            <w:r w:rsidRPr="00762113">
              <w:rPr>
                <w:noProof/>
                <w:webHidden/>
              </w:rPr>
              <w:fldChar w:fldCharType="begin"/>
            </w:r>
            <w:r w:rsidRPr="00762113">
              <w:rPr>
                <w:noProof/>
                <w:webHidden/>
              </w:rPr>
              <w:instrText xml:space="preserve"> PAGEREF _Toc113284201 \h </w:instrText>
            </w:r>
            <w:r w:rsidRPr="00762113">
              <w:rPr>
                <w:noProof/>
                <w:webHidden/>
              </w:rPr>
              <w:fldChar w:fldCharType="separate"/>
            </w:r>
            <w:r w:rsidRPr="00762113">
              <w:rPr>
                <w:noProof/>
                <w:webHidden/>
              </w:rPr>
              <w:t>5</w:t>
            </w:r>
            <w:r w:rsidRPr="00762113">
              <w:rPr>
                <w:noProof/>
                <w:webHidden/>
              </w:rPr>
              <w:fldChar w:fldCharType="end"/>
            </w:r>
          </w:hyperlink>
        </w:p>
        <w:p w:rsidR="00DF660D" w:rsidRPr="00762113" w14:paraId="77F8C7CF" w14:textId="07866492">
          <w:pPr>
            <w:pStyle w:val="TOC2"/>
            <w:rPr>
              <w:rFonts w:eastAsiaTheme="minorEastAsia"/>
              <w:noProof/>
              <w:lang w:val="et-EE" w:eastAsia="et-EE"/>
            </w:rPr>
          </w:pPr>
          <w:hyperlink w:anchor="_Toc113284202" w:history="1">
            <w:r w:rsidRPr="00762113">
              <w:rPr>
                <w:rStyle w:val="Hyperlink"/>
                <w:noProof/>
              </w:rPr>
              <w:t>2.2.</w:t>
            </w:r>
            <w:r w:rsidRPr="00762113">
              <w:rPr>
                <w:rFonts w:eastAsiaTheme="minorEastAsia"/>
                <w:noProof/>
                <w:lang w:val="et-EE" w:eastAsia="et-EE"/>
              </w:rPr>
              <w:tab/>
            </w:r>
            <w:r w:rsidRPr="00762113">
              <w:rPr>
                <w:rStyle w:val="Hyperlink"/>
                <w:noProof/>
              </w:rPr>
              <w:t>The CZC studies</w:t>
            </w:r>
            <w:r w:rsidRPr="00762113">
              <w:rPr>
                <w:noProof/>
                <w:webHidden/>
              </w:rPr>
              <w:tab/>
            </w:r>
            <w:r w:rsidRPr="00762113">
              <w:rPr>
                <w:noProof/>
                <w:webHidden/>
              </w:rPr>
              <w:fldChar w:fldCharType="begin"/>
            </w:r>
            <w:r w:rsidRPr="00762113">
              <w:rPr>
                <w:noProof/>
                <w:webHidden/>
              </w:rPr>
              <w:instrText xml:space="preserve"> PAGEREF _Toc113284202 \h </w:instrText>
            </w:r>
            <w:r w:rsidRPr="00762113">
              <w:rPr>
                <w:noProof/>
                <w:webHidden/>
              </w:rPr>
              <w:fldChar w:fldCharType="separate"/>
            </w:r>
            <w:r w:rsidRPr="00762113">
              <w:rPr>
                <w:noProof/>
                <w:webHidden/>
              </w:rPr>
              <w:t>5</w:t>
            </w:r>
            <w:r w:rsidRPr="00762113">
              <w:rPr>
                <w:noProof/>
                <w:webHidden/>
              </w:rPr>
              <w:fldChar w:fldCharType="end"/>
            </w:r>
          </w:hyperlink>
        </w:p>
        <w:p w:rsidR="00DF660D" w:rsidRPr="00762113" w14:paraId="1E165679" w14:textId="56BB8DB5">
          <w:pPr>
            <w:pStyle w:val="TOC1"/>
            <w:rPr>
              <w:rFonts w:asciiTheme="minorHAnsi" w:eastAsiaTheme="minorEastAsia" w:hAnsiTheme="minorHAnsi"/>
              <w:noProof/>
              <w:lang w:val="et-EE" w:eastAsia="et-EE"/>
            </w:rPr>
          </w:pPr>
          <w:hyperlink w:anchor="_Toc113284203" w:history="1">
            <w:r w:rsidRPr="00762113">
              <w:rPr>
                <w:rStyle w:val="Hyperlink"/>
                <w:rFonts w:eastAsia="Calibri"/>
                <w:noProof/>
              </w:rPr>
              <w:t>3.</w:t>
            </w:r>
            <w:r w:rsidRPr="00762113">
              <w:rPr>
                <w:rFonts w:asciiTheme="minorHAnsi" w:eastAsiaTheme="minorEastAsia" w:hAnsiTheme="minorHAnsi"/>
                <w:noProof/>
                <w:lang w:val="et-EE" w:eastAsia="et-EE"/>
              </w:rPr>
              <w:tab/>
            </w:r>
            <w:r w:rsidRPr="00762113">
              <w:rPr>
                <w:rStyle w:val="Hyperlink"/>
                <w:rFonts w:eastAsia="Calibri"/>
                <w:noProof/>
              </w:rPr>
              <w:t>Formulating the CZC value forecast for the day-ahead market in the procurement optimization function</w:t>
            </w:r>
            <w:r w:rsidRPr="00762113">
              <w:rPr>
                <w:noProof/>
                <w:webHidden/>
              </w:rPr>
              <w:tab/>
            </w:r>
            <w:r w:rsidRPr="00762113">
              <w:rPr>
                <w:noProof/>
                <w:webHidden/>
              </w:rPr>
              <w:fldChar w:fldCharType="begin"/>
            </w:r>
            <w:r w:rsidRPr="00762113">
              <w:rPr>
                <w:noProof/>
                <w:webHidden/>
              </w:rPr>
              <w:instrText xml:space="preserve"> PAGEREF _Toc113284203 \h </w:instrText>
            </w:r>
            <w:r w:rsidRPr="00762113">
              <w:rPr>
                <w:noProof/>
                <w:webHidden/>
              </w:rPr>
              <w:fldChar w:fldCharType="separate"/>
            </w:r>
            <w:r w:rsidRPr="00762113">
              <w:rPr>
                <w:noProof/>
                <w:webHidden/>
              </w:rPr>
              <w:t>7</w:t>
            </w:r>
            <w:r w:rsidRPr="00762113">
              <w:rPr>
                <w:noProof/>
                <w:webHidden/>
              </w:rPr>
              <w:fldChar w:fldCharType="end"/>
            </w:r>
          </w:hyperlink>
        </w:p>
        <w:p w:rsidR="00DF660D" w:rsidRPr="00762113" w14:paraId="5A00269D" w14:textId="2D892568">
          <w:pPr>
            <w:pStyle w:val="TOC2"/>
            <w:rPr>
              <w:rFonts w:eastAsiaTheme="minorEastAsia"/>
              <w:noProof/>
              <w:lang w:val="et-EE" w:eastAsia="et-EE"/>
            </w:rPr>
          </w:pPr>
          <w:hyperlink w:anchor="_Toc113284204" w:history="1">
            <w:r w:rsidRPr="00762113">
              <w:rPr>
                <w:rStyle w:val="Hyperlink"/>
                <w:rFonts w:eastAsia="Calibri"/>
                <w:noProof/>
              </w:rPr>
              <w:t>3.1.</w:t>
            </w:r>
            <w:r w:rsidRPr="00762113">
              <w:rPr>
                <w:rFonts w:eastAsiaTheme="minorEastAsia"/>
                <w:noProof/>
                <w:lang w:val="et-EE" w:eastAsia="et-EE"/>
              </w:rPr>
              <w:tab/>
            </w:r>
            <w:r w:rsidRPr="00762113">
              <w:rPr>
                <w:rStyle w:val="Hyperlink"/>
                <w:rFonts w:eastAsia="Calibri"/>
                <w:noProof/>
              </w:rPr>
              <w:t>The day-ahead forecast proxy</w:t>
            </w:r>
            <w:r w:rsidRPr="00762113">
              <w:rPr>
                <w:noProof/>
                <w:webHidden/>
              </w:rPr>
              <w:tab/>
            </w:r>
            <w:r w:rsidRPr="00762113">
              <w:rPr>
                <w:noProof/>
                <w:webHidden/>
              </w:rPr>
              <w:fldChar w:fldCharType="begin"/>
            </w:r>
            <w:r w:rsidRPr="00762113">
              <w:rPr>
                <w:noProof/>
                <w:webHidden/>
              </w:rPr>
              <w:instrText xml:space="preserve"> PAGEREF _Toc113284204 \h </w:instrText>
            </w:r>
            <w:r w:rsidRPr="00762113">
              <w:rPr>
                <w:noProof/>
                <w:webHidden/>
              </w:rPr>
              <w:fldChar w:fldCharType="separate"/>
            </w:r>
            <w:r w:rsidRPr="00762113">
              <w:rPr>
                <w:noProof/>
                <w:webHidden/>
              </w:rPr>
              <w:t>7</w:t>
            </w:r>
            <w:r w:rsidRPr="00762113">
              <w:rPr>
                <w:noProof/>
                <w:webHidden/>
              </w:rPr>
              <w:fldChar w:fldCharType="end"/>
            </w:r>
          </w:hyperlink>
        </w:p>
        <w:p w:rsidR="00DF660D" w:rsidRPr="00762113" w:rsidP="00DF660D" w14:paraId="52D639E3" w14:textId="4612268A">
          <w:pPr>
            <w:pStyle w:val="TOC3"/>
            <w:rPr>
              <w:rFonts w:eastAsiaTheme="minorEastAsia"/>
              <w:noProof/>
              <w:lang w:val="et-EE" w:eastAsia="et-EE"/>
            </w:rPr>
          </w:pPr>
          <w:hyperlink w:anchor="_Toc113284205" w:history="1">
            <w:r w:rsidRPr="00762113">
              <w:rPr>
                <w:rStyle w:val="Hyperlink"/>
                <w:noProof/>
              </w:rPr>
              <w:t>3.1.1.</w:t>
            </w:r>
            <w:r w:rsidRPr="00762113">
              <w:rPr>
                <w:rFonts w:eastAsiaTheme="minorEastAsia"/>
                <w:noProof/>
                <w:lang w:val="et-EE" w:eastAsia="et-EE"/>
              </w:rPr>
              <w:tab/>
            </w:r>
            <w:r w:rsidRPr="00762113">
              <w:rPr>
                <w:rStyle w:val="Hyperlink"/>
                <w:noProof/>
              </w:rPr>
              <w:t>Statistical approximation of the supply curves</w:t>
            </w:r>
            <w:r w:rsidRPr="00762113">
              <w:rPr>
                <w:noProof/>
                <w:webHidden/>
              </w:rPr>
              <w:tab/>
            </w:r>
            <w:r w:rsidRPr="00762113">
              <w:rPr>
                <w:noProof/>
                <w:webHidden/>
              </w:rPr>
              <w:fldChar w:fldCharType="begin"/>
            </w:r>
            <w:r w:rsidRPr="00762113">
              <w:rPr>
                <w:noProof/>
                <w:webHidden/>
              </w:rPr>
              <w:instrText xml:space="preserve"> PAGEREF _Toc113284205 \h </w:instrText>
            </w:r>
            <w:r w:rsidRPr="00762113">
              <w:rPr>
                <w:noProof/>
                <w:webHidden/>
              </w:rPr>
              <w:fldChar w:fldCharType="separate"/>
            </w:r>
            <w:r w:rsidRPr="00762113">
              <w:rPr>
                <w:noProof/>
                <w:webHidden/>
              </w:rPr>
              <w:t>7</w:t>
            </w:r>
            <w:r w:rsidRPr="00762113">
              <w:rPr>
                <w:noProof/>
                <w:webHidden/>
              </w:rPr>
              <w:fldChar w:fldCharType="end"/>
            </w:r>
          </w:hyperlink>
        </w:p>
        <w:p w:rsidR="00DF660D" w:rsidRPr="00762113" w:rsidP="00DF660D" w14:paraId="7F77A608" w14:textId="3786AE43">
          <w:pPr>
            <w:pStyle w:val="TOC3"/>
            <w:rPr>
              <w:rFonts w:eastAsiaTheme="minorEastAsia"/>
              <w:noProof/>
              <w:lang w:val="et-EE" w:eastAsia="et-EE"/>
            </w:rPr>
          </w:pPr>
          <w:hyperlink w:anchor="_Toc113284206" w:history="1">
            <w:r w:rsidRPr="00762113">
              <w:rPr>
                <w:rStyle w:val="Hyperlink"/>
                <w:rFonts w:eastAsia="Calibri"/>
                <w:noProof/>
              </w:rPr>
              <w:t>3.1.2.</w:t>
            </w:r>
            <w:r w:rsidRPr="00762113">
              <w:rPr>
                <w:rFonts w:eastAsiaTheme="minorEastAsia"/>
                <w:noProof/>
                <w:lang w:val="et-EE" w:eastAsia="et-EE"/>
              </w:rPr>
              <w:tab/>
            </w:r>
            <w:r w:rsidRPr="00762113">
              <w:rPr>
                <w:rStyle w:val="Hyperlink"/>
                <w:rFonts w:eastAsia="Calibri"/>
                <w:noProof/>
              </w:rPr>
              <w:t>Building the day-ahead forecast proxy</w:t>
            </w:r>
            <w:r w:rsidRPr="00762113">
              <w:rPr>
                <w:noProof/>
                <w:webHidden/>
              </w:rPr>
              <w:tab/>
            </w:r>
            <w:r w:rsidRPr="00762113">
              <w:rPr>
                <w:noProof/>
                <w:webHidden/>
              </w:rPr>
              <w:fldChar w:fldCharType="begin"/>
            </w:r>
            <w:r w:rsidRPr="00762113">
              <w:rPr>
                <w:noProof/>
                <w:webHidden/>
              </w:rPr>
              <w:instrText xml:space="preserve"> PAGEREF _Toc113284206 \h </w:instrText>
            </w:r>
            <w:r w:rsidRPr="00762113">
              <w:rPr>
                <w:noProof/>
                <w:webHidden/>
              </w:rPr>
              <w:fldChar w:fldCharType="separate"/>
            </w:r>
            <w:r w:rsidRPr="00762113">
              <w:rPr>
                <w:noProof/>
                <w:webHidden/>
              </w:rPr>
              <w:t>8</w:t>
            </w:r>
            <w:r w:rsidRPr="00762113">
              <w:rPr>
                <w:noProof/>
                <w:webHidden/>
              </w:rPr>
              <w:fldChar w:fldCharType="end"/>
            </w:r>
          </w:hyperlink>
        </w:p>
        <w:p w:rsidR="00DF660D" w:rsidRPr="00762113" w14:paraId="2C2988AE" w14:textId="31010D6D">
          <w:pPr>
            <w:pStyle w:val="TOC2"/>
            <w:rPr>
              <w:rFonts w:eastAsiaTheme="minorEastAsia"/>
              <w:noProof/>
              <w:lang w:val="et-EE" w:eastAsia="et-EE"/>
            </w:rPr>
          </w:pPr>
          <w:hyperlink w:anchor="_Toc113284207" w:history="1">
            <w:r w:rsidRPr="00762113">
              <w:rPr>
                <w:rStyle w:val="Hyperlink"/>
                <w:noProof/>
              </w:rPr>
              <w:t>3.2.</w:t>
            </w:r>
            <w:r w:rsidRPr="00762113">
              <w:rPr>
                <w:rFonts w:eastAsiaTheme="minorEastAsia"/>
                <w:noProof/>
                <w:lang w:val="et-EE" w:eastAsia="et-EE"/>
              </w:rPr>
              <w:tab/>
            </w:r>
            <w:r w:rsidRPr="00762113">
              <w:rPr>
                <w:rStyle w:val="Hyperlink"/>
                <w:noProof/>
              </w:rPr>
              <w:t>The procurement optimization function</w:t>
            </w:r>
            <w:r w:rsidRPr="00762113">
              <w:rPr>
                <w:noProof/>
                <w:webHidden/>
              </w:rPr>
              <w:tab/>
            </w:r>
            <w:r w:rsidRPr="00762113">
              <w:rPr>
                <w:noProof/>
                <w:webHidden/>
              </w:rPr>
              <w:fldChar w:fldCharType="begin"/>
            </w:r>
            <w:r w:rsidRPr="00762113">
              <w:rPr>
                <w:noProof/>
                <w:webHidden/>
              </w:rPr>
              <w:instrText xml:space="preserve"> PAGEREF _Toc113284207 \h </w:instrText>
            </w:r>
            <w:r w:rsidRPr="00762113">
              <w:rPr>
                <w:noProof/>
                <w:webHidden/>
              </w:rPr>
              <w:fldChar w:fldCharType="separate"/>
            </w:r>
            <w:r w:rsidRPr="00762113">
              <w:rPr>
                <w:noProof/>
                <w:webHidden/>
              </w:rPr>
              <w:t>10</w:t>
            </w:r>
            <w:r w:rsidRPr="00762113">
              <w:rPr>
                <w:noProof/>
                <w:webHidden/>
              </w:rPr>
              <w:fldChar w:fldCharType="end"/>
            </w:r>
          </w:hyperlink>
        </w:p>
        <w:p w:rsidR="00DF660D" w:rsidRPr="00762113" w14:paraId="506D33C8" w14:textId="3E237697">
          <w:pPr>
            <w:pStyle w:val="TOC1"/>
            <w:rPr>
              <w:rFonts w:asciiTheme="minorHAnsi" w:eastAsiaTheme="minorEastAsia" w:hAnsiTheme="minorHAnsi"/>
              <w:noProof/>
              <w:lang w:val="et-EE" w:eastAsia="et-EE"/>
            </w:rPr>
          </w:pPr>
          <w:hyperlink w:anchor="_Toc113284208" w:history="1">
            <w:r w:rsidRPr="00762113">
              <w:rPr>
                <w:rStyle w:val="Hyperlink"/>
                <w:noProof/>
              </w:rPr>
              <w:t>4.</w:t>
            </w:r>
            <w:r w:rsidRPr="00762113">
              <w:rPr>
                <w:rFonts w:asciiTheme="minorHAnsi" w:eastAsiaTheme="minorEastAsia" w:hAnsiTheme="minorHAnsi"/>
                <w:noProof/>
                <w:lang w:val="et-EE" w:eastAsia="et-EE"/>
              </w:rPr>
              <w:tab/>
            </w:r>
            <w:r w:rsidRPr="00762113">
              <w:rPr>
                <w:rStyle w:val="Hyperlink"/>
                <w:noProof/>
              </w:rPr>
              <w:t>Mathematical formulation of the Baltic balancing capacity optimisation algorithm</w:t>
            </w:r>
            <w:r w:rsidRPr="00762113">
              <w:rPr>
                <w:noProof/>
                <w:webHidden/>
              </w:rPr>
              <w:tab/>
            </w:r>
            <w:r w:rsidRPr="00762113">
              <w:rPr>
                <w:noProof/>
                <w:webHidden/>
              </w:rPr>
              <w:fldChar w:fldCharType="begin"/>
            </w:r>
            <w:r w:rsidRPr="00762113">
              <w:rPr>
                <w:noProof/>
                <w:webHidden/>
              </w:rPr>
              <w:instrText xml:space="preserve"> PAGEREF _Toc113284208 \h </w:instrText>
            </w:r>
            <w:r w:rsidRPr="00762113">
              <w:rPr>
                <w:noProof/>
                <w:webHidden/>
              </w:rPr>
              <w:fldChar w:fldCharType="separate"/>
            </w:r>
            <w:r w:rsidRPr="00762113">
              <w:rPr>
                <w:noProof/>
                <w:webHidden/>
              </w:rPr>
              <w:t>12</w:t>
            </w:r>
            <w:r w:rsidRPr="00762113">
              <w:rPr>
                <w:noProof/>
                <w:webHidden/>
              </w:rPr>
              <w:fldChar w:fldCharType="end"/>
            </w:r>
          </w:hyperlink>
        </w:p>
        <w:p w:rsidR="00DF660D" w:rsidRPr="00762113" w14:paraId="08685ED2" w14:textId="3E55C83D">
          <w:pPr>
            <w:pStyle w:val="TOC2"/>
            <w:rPr>
              <w:rFonts w:eastAsiaTheme="minorEastAsia"/>
              <w:noProof/>
              <w:lang w:val="et-EE" w:eastAsia="et-EE"/>
            </w:rPr>
          </w:pPr>
          <w:hyperlink w:anchor="_Toc113284209" w:history="1">
            <w:r w:rsidRPr="00762113">
              <w:rPr>
                <w:rStyle w:val="Hyperlink"/>
                <w:noProof/>
              </w:rPr>
              <w:t>4.1.</w:t>
            </w:r>
            <w:r w:rsidRPr="00762113">
              <w:rPr>
                <w:rFonts w:eastAsiaTheme="minorEastAsia"/>
                <w:noProof/>
                <w:lang w:val="et-EE" w:eastAsia="et-EE"/>
              </w:rPr>
              <w:tab/>
            </w:r>
            <w:r w:rsidRPr="00762113">
              <w:rPr>
                <w:rStyle w:val="Hyperlink"/>
                <w:noProof/>
              </w:rPr>
              <w:t>Allocation of CZC</w:t>
            </w:r>
            <w:r w:rsidRPr="00762113">
              <w:rPr>
                <w:noProof/>
                <w:webHidden/>
              </w:rPr>
              <w:tab/>
            </w:r>
            <w:r w:rsidRPr="00762113">
              <w:rPr>
                <w:noProof/>
                <w:webHidden/>
              </w:rPr>
              <w:fldChar w:fldCharType="begin"/>
            </w:r>
            <w:r w:rsidRPr="00762113">
              <w:rPr>
                <w:noProof/>
                <w:webHidden/>
              </w:rPr>
              <w:instrText xml:space="preserve"> PAGEREF _Toc113284209 \h </w:instrText>
            </w:r>
            <w:r w:rsidRPr="00762113">
              <w:rPr>
                <w:noProof/>
                <w:webHidden/>
              </w:rPr>
              <w:fldChar w:fldCharType="separate"/>
            </w:r>
            <w:r w:rsidRPr="00762113">
              <w:rPr>
                <w:noProof/>
                <w:webHidden/>
              </w:rPr>
              <w:t>12</w:t>
            </w:r>
            <w:r w:rsidRPr="00762113">
              <w:rPr>
                <w:noProof/>
                <w:webHidden/>
              </w:rPr>
              <w:fldChar w:fldCharType="end"/>
            </w:r>
          </w:hyperlink>
        </w:p>
        <w:p w:rsidR="00DF660D" w:rsidRPr="00762113" w14:paraId="270A45A1" w14:textId="355E0D0D">
          <w:pPr>
            <w:pStyle w:val="TOC2"/>
            <w:rPr>
              <w:rFonts w:eastAsiaTheme="minorEastAsia"/>
              <w:noProof/>
              <w:lang w:val="et-EE" w:eastAsia="et-EE"/>
            </w:rPr>
          </w:pPr>
          <w:hyperlink w:anchor="_Toc113284210" w:history="1">
            <w:r w:rsidRPr="00762113">
              <w:rPr>
                <w:rStyle w:val="Hyperlink"/>
                <w:noProof/>
              </w:rPr>
              <w:t>4.2.</w:t>
            </w:r>
            <w:r w:rsidRPr="00762113">
              <w:rPr>
                <w:rFonts w:eastAsiaTheme="minorEastAsia"/>
                <w:noProof/>
                <w:lang w:val="et-EE" w:eastAsia="et-EE"/>
              </w:rPr>
              <w:tab/>
            </w:r>
            <w:r w:rsidRPr="00762113">
              <w:rPr>
                <w:rStyle w:val="Hyperlink"/>
                <w:noProof/>
              </w:rPr>
              <w:t>Product balances</w:t>
            </w:r>
            <w:r w:rsidRPr="00762113">
              <w:rPr>
                <w:noProof/>
                <w:webHidden/>
              </w:rPr>
              <w:tab/>
            </w:r>
            <w:r w:rsidRPr="00762113">
              <w:rPr>
                <w:noProof/>
                <w:webHidden/>
              </w:rPr>
              <w:fldChar w:fldCharType="begin"/>
            </w:r>
            <w:r w:rsidRPr="00762113">
              <w:rPr>
                <w:noProof/>
                <w:webHidden/>
              </w:rPr>
              <w:instrText xml:space="preserve"> PAGEREF _Toc113284210 \h </w:instrText>
            </w:r>
            <w:r w:rsidRPr="00762113">
              <w:rPr>
                <w:noProof/>
                <w:webHidden/>
              </w:rPr>
              <w:fldChar w:fldCharType="separate"/>
            </w:r>
            <w:r w:rsidRPr="00762113">
              <w:rPr>
                <w:noProof/>
                <w:webHidden/>
              </w:rPr>
              <w:t>12</w:t>
            </w:r>
            <w:r w:rsidRPr="00762113">
              <w:rPr>
                <w:noProof/>
                <w:webHidden/>
              </w:rPr>
              <w:fldChar w:fldCharType="end"/>
            </w:r>
          </w:hyperlink>
        </w:p>
        <w:p w:rsidR="00DF660D" w:rsidRPr="00762113" w:rsidP="00DF660D" w14:paraId="501DF2D3" w14:textId="287E568B">
          <w:pPr>
            <w:pStyle w:val="TOC3"/>
            <w:rPr>
              <w:rFonts w:eastAsiaTheme="minorEastAsia"/>
              <w:noProof/>
              <w:lang w:val="et-EE" w:eastAsia="et-EE"/>
            </w:rPr>
          </w:pPr>
          <w:hyperlink w:anchor="_Toc113284211" w:history="1">
            <w:r w:rsidRPr="00762113">
              <w:rPr>
                <w:rStyle w:val="Hyperlink"/>
                <w:noProof/>
              </w:rPr>
              <w:t>4.2.1.</w:t>
            </w:r>
            <w:r w:rsidRPr="00762113">
              <w:rPr>
                <w:rFonts w:eastAsiaTheme="minorEastAsia"/>
                <w:noProof/>
                <w:lang w:val="et-EE" w:eastAsia="et-EE"/>
              </w:rPr>
              <w:tab/>
            </w:r>
            <w:r w:rsidRPr="00762113">
              <w:rPr>
                <w:rStyle w:val="Hyperlink"/>
                <w:noProof/>
              </w:rPr>
              <w:t>The day-ahead energy balance</w:t>
            </w:r>
            <w:r w:rsidRPr="00762113">
              <w:rPr>
                <w:noProof/>
                <w:webHidden/>
              </w:rPr>
              <w:tab/>
            </w:r>
            <w:r w:rsidRPr="00762113">
              <w:rPr>
                <w:noProof/>
                <w:webHidden/>
              </w:rPr>
              <w:fldChar w:fldCharType="begin"/>
            </w:r>
            <w:r w:rsidRPr="00762113">
              <w:rPr>
                <w:noProof/>
                <w:webHidden/>
              </w:rPr>
              <w:instrText xml:space="preserve"> PAGEREF _Toc113284211 \h </w:instrText>
            </w:r>
            <w:r w:rsidRPr="00762113">
              <w:rPr>
                <w:noProof/>
                <w:webHidden/>
              </w:rPr>
              <w:fldChar w:fldCharType="separate"/>
            </w:r>
            <w:r w:rsidRPr="00762113">
              <w:rPr>
                <w:noProof/>
                <w:webHidden/>
              </w:rPr>
              <w:t>12</w:t>
            </w:r>
            <w:r w:rsidRPr="00762113">
              <w:rPr>
                <w:noProof/>
                <w:webHidden/>
              </w:rPr>
              <w:fldChar w:fldCharType="end"/>
            </w:r>
          </w:hyperlink>
        </w:p>
        <w:p w:rsidR="00DF660D" w:rsidRPr="00762113" w:rsidP="00DF660D" w14:paraId="27F9717B" w14:textId="2C44A5AE">
          <w:pPr>
            <w:pStyle w:val="TOC3"/>
            <w:rPr>
              <w:rFonts w:eastAsiaTheme="minorEastAsia"/>
              <w:noProof/>
              <w:lang w:val="et-EE" w:eastAsia="et-EE"/>
            </w:rPr>
          </w:pPr>
          <w:hyperlink w:anchor="_Toc113284212" w:history="1">
            <w:r w:rsidRPr="00762113">
              <w:rPr>
                <w:rStyle w:val="Hyperlink"/>
                <w:noProof/>
              </w:rPr>
              <w:t>4.2.2.</w:t>
            </w:r>
            <w:r w:rsidRPr="00762113">
              <w:rPr>
                <w:rFonts w:eastAsiaTheme="minorEastAsia"/>
                <w:noProof/>
                <w:lang w:val="et-EE" w:eastAsia="et-EE"/>
              </w:rPr>
              <w:tab/>
            </w:r>
            <w:r w:rsidRPr="00762113">
              <w:rPr>
                <w:rStyle w:val="Hyperlink"/>
                <w:noProof/>
              </w:rPr>
              <w:t>The balancing capacity balance</w:t>
            </w:r>
            <w:r w:rsidRPr="00762113">
              <w:rPr>
                <w:noProof/>
                <w:webHidden/>
              </w:rPr>
              <w:tab/>
            </w:r>
            <w:r w:rsidRPr="00762113">
              <w:rPr>
                <w:noProof/>
                <w:webHidden/>
              </w:rPr>
              <w:fldChar w:fldCharType="begin"/>
            </w:r>
            <w:r w:rsidRPr="00762113">
              <w:rPr>
                <w:noProof/>
                <w:webHidden/>
              </w:rPr>
              <w:instrText xml:space="preserve"> PAGEREF _Toc113284212 \h </w:instrText>
            </w:r>
            <w:r w:rsidRPr="00762113">
              <w:rPr>
                <w:noProof/>
                <w:webHidden/>
              </w:rPr>
              <w:fldChar w:fldCharType="separate"/>
            </w:r>
            <w:r w:rsidRPr="00762113">
              <w:rPr>
                <w:noProof/>
                <w:webHidden/>
              </w:rPr>
              <w:t>12</w:t>
            </w:r>
            <w:r w:rsidRPr="00762113">
              <w:rPr>
                <w:noProof/>
                <w:webHidden/>
              </w:rPr>
              <w:fldChar w:fldCharType="end"/>
            </w:r>
          </w:hyperlink>
        </w:p>
        <w:p w:rsidR="00DF660D" w:rsidRPr="00762113" w:rsidP="00DF660D" w14:paraId="27833395" w14:textId="4909368D">
          <w:pPr>
            <w:pStyle w:val="TOC3"/>
            <w:rPr>
              <w:rFonts w:eastAsiaTheme="minorEastAsia"/>
              <w:noProof/>
              <w:lang w:val="et-EE" w:eastAsia="et-EE"/>
            </w:rPr>
          </w:pPr>
          <w:hyperlink w:anchor="_Toc113284213" w:history="1">
            <w:r w:rsidRPr="00762113">
              <w:rPr>
                <w:rStyle w:val="Hyperlink"/>
                <w:noProof/>
              </w:rPr>
              <w:t>4.2.3.</w:t>
            </w:r>
            <w:r w:rsidRPr="00762113">
              <w:rPr>
                <w:rFonts w:eastAsiaTheme="minorEastAsia"/>
                <w:noProof/>
                <w:lang w:val="et-EE" w:eastAsia="et-EE"/>
              </w:rPr>
              <w:tab/>
            </w:r>
            <w:r w:rsidRPr="00762113">
              <w:rPr>
                <w:rStyle w:val="Hyperlink"/>
                <w:noProof/>
              </w:rPr>
              <w:t>The balancing capacity export restriction</w:t>
            </w:r>
            <w:r w:rsidRPr="00762113">
              <w:rPr>
                <w:noProof/>
                <w:webHidden/>
              </w:rPr>
              <w:tab/>
            </w:r>
            <w:r w:rsidRPr="00762113">
              <w:rPr>
                <w:noProof/>
                <w:webHidden/>
              </w:rPr>
              <w:fldChar w:fldCharType="begin"/>
            </w:r>
            <w:r w:rsidRPr="00762113">
              <w:rPr>
                <w:noProof/>
                <w:webHidden/>
              </w:rPr>
              <w:instrText xml:space="preserve"> PAGEREF _Toc113284213 \h </w:instrText>
            </w:r>
            <w:r w:rsidRPr="00762113">
              <w:rPr>
                <w:noProof/>
                <w:webHidden/>
              </w:rPr>
              <w:fldChar w:fldCharType="separate"/>
            </w:r>
            <w:r w:rsidRPr="00762113">
              <w:rPr>
                <w:noProof/>
                <w:webHidden/>
              </w:rPr>
              <w:t>13</w:t>
            </w:r>
            <w:r w:rsidRPr="00762113">
              <w:rPr>
                <w:noProof/>
                <w:webHidden/>
              </w:rPr>
              <w:fldChar w:fldCharType="end"/>
            </w:r>
          </w:hyperlink>
        </w:p>
        <w:p w:rsidR="00DF660D" w:rsidRPr="00762113" w14:paraId="6F5EA1EF" w14:textId="714146CB">
          <w:pPr>
            <w:pStyle w:val="TOC1"/>
            <w:rPr>
              <w:rFonts w:asciiTheme="minorHAnsi" w:eastAsiaTheme="minorEastAsia" w:hAnsiTheme="minorHAnsi"/>
              <w:noProof/>
              <w:lang w:val="et-EE" w:eastAsia="et-EE"/>
            </w:rPr>
          </w:pPr>
          <w:hyperlink w:anchor="_Toc113284214" w:history="1">
            <w:r w:rsidRPr="00762113">
              <w:rPr>
                <w:rStyle w:val="Hyperlink"/>
                <w:noProof/>
              </w:rPr>
              <w:t>5.</w:t>
            </w:r>
            <w:r w:rsidRPr="00762113">
              <w:rPr>
                <w:rFonts w:asciiTheme="minorHAnsi" w:eastAsiaTheme="minorEastAsia" w:hAnsiTheme="minorHAnsi"/>
                <w:noProof/>
                <w:lang w:val="et-EE" w:eastAsia="et-EE"/>
              </w:rPr>
              <w:tab/>
            </w:r>
            <w:r w:rsidRPr="00762113">
              <w:rPr>
                <w:rStyle w:val="Hyperlink"/>
                <w:noProof/>
              </w:rPr>
              <w:t>CZC allocation determination</w:t>
            </w:r>
            <w:r w:rsidRPr="00762113">
              <w:rPr>
                <w:noProof/>
                <w:webHidden/>
              </w:rPr>
              <w:tab/>
            </w:r>
            <w:r w:rsidRPr="00762113">
              <w:rPr>
                <w:noProof/>
                <w:webHidden/>
              </w:rPr>
              <w:fldChar w:fldCharType="begin"/>
            </w:r>
            <w:r w:rsidRPr="00762113">
              <w:rPr>
                <w:noProof/>
                <w:webHidden/>
              </w:rPr>
              <w:instrText xml:space="preserve"> PAGEREF _Toc113284214 \h </w:instrText>
            </w:r>
            <w:r w:rsidRPr="00762113">
              <w:rPr>
                <w:noProof/>
                <w:webHidden/>
              </w:rPr>
              <w:fldChar w:fldCharType="separate"/>
            </w:r>
            <w:r w:rsidRPr="00762113">
              <w:rPr>
                <w:noProof/>
                <w:webHidden/>
              </w:rPr>
              <w:t>14</w:t>
            </w:r>
            <w:r w:rsidRPr="00762113">
              <w:rPr>
                <w:noProof/>
                <w:webHidden/>
              </w:rPr>
              <w:fldChar w:fldCharType="end"/>
            </w:r>
          </w:hyperlink>
        </w:p>
        <w:p w:rsidR="00DF660D" w:rsidRPr="00762113" w14:paraId="1C77409E" w14:textId="3E888D73">
          <w:pPr>
            <w:pStyle w:val="TOC1"/>
            <w:rPr>
              <w:rFonts w:asciiTheme="minorHAnsi" w:eastAsiaTheme="minorEastAsia" w:hAnsiTheme="minorHAnsi"/>
              <w:noProof/>
              <w:lang w:val="et-EE" w:eastAsia="et-EE"/>
            </w:rPr>
          </w:pPr>
          <w:hyperlink w:anchor="_Toc113284215" w:history="1">
            <w:r w:rsidRPr="00762113">
              <w:rPr>
                <w:rStyle w:val="Hyperlink"/>
                <w:noProof/>
              </w:rPr>
              <w:t>6.</w:t>
            </w:r>
            <w:r w:rsidRPr="00762113">
              <w:rPr>
                <w:rFonts w:asciiTheme="minorHAnsi" w:eastAsiaTheme="minorEastAsia" w:hAnsiTheme="minorHAnsi"/>
                <w:noProof/>
                <w:lang w:val="et-EE" w:eastAsia="et-EE"/>
              </w:rPr>
              <w:tab/>
            </w:r>
            <w:r w:rsidRPr="00762113">
              <w:rPr>
                <w:rStyle w:val="Hyperlink"/>
                <w:noProof/>
              </w:rPr>
              <w:t>The maximum and optimal volume of allocated</w:t>
            </w:r>
            <w:r w:rsidRPr="00762113">
              <w:rPr>
                <w:rStyle w:val="Hyperlink"/>
                <w:noProof/>
                <w:spacing w:val="5"/>
              </w:rPr>
              <w:t xml:space="preserve"> </w:t>
            </w:r>
            <w:r w:rsidRPr="00762113">
              <w:rPr>
                <w:rStyle w:val="Hyperlink"/>
                <w:noProof/>
              </w:rPr>
              <w:t>CZC for</w:t>
            </w:r>
            <w:r w:rsidRPr="00762113">
              <w:rPr>
                <w:rStyle w:val="Hyperlink"/>
                <w:noProof/>
                <w:spacing w:val="12"/>
              </w:rPr>
              <w:t xml:space="preserve"> </w:t>
            </w:r>
            <w:r w:rsidRPr="00762113">
              <w:rPr>
                <w:rStyle w:val="Hyperlink"/>
                <w:noProof/>
              </w:rPr>
              <w:t>the</w:t>
            </w:r>
            <w:r w:rsidRPr="00762113">
              <w:rPr>
                <w:rStyle w:val="Hyperlink"/>
                <w:noProof/>
                <w:spacing w:val="12"/>
              </w:rPr>
              <w:t xml:space="preserve"> </w:t>
            </w:r>
            <w:r w:rsidRPr="00762113">
              <w:rPr>
                <w:rStyle w:val="Hyperlink"/>
                <w:noProof/>
              </w:rPr>
              <w:t>exchange</w:t>
            </w:r>
            <w:r w:rsidRPr="00762113">
              <w:rPr>
                <w:rStyle w:val="Hyperlink"/>
                <w:noProof/>
                <w:spacing w:val="11"/>
              </w:rPr>
              <w:t xml:space="preserve"> </w:t>
            </w:r>
            <w:r w:rsidRPr="00762113">
              <w:rPr>
                <w:rStyle w:val="Hyperlink"/>
                <w:noProof/>
              </w:rPr>
              <w:t>of balancing</w:t>
            </w:r>
            <w:r w:rsidRPr="00762113">
              <w:rPr>
                <w:rStyle w:val="Hyperlink"/>
                <w:noProof/>
                <w:spacing w:val="26"/>
              </w:rPr>
              <w:t xml:space="preserve"> </w:t>
            </w:r>
            <w:r w:rsidRPr="00762113">
              <w:rPr>
                <w:rStyle w:val="Hyperlink"/>
                <w:noProof/>
              </w:rPr>
              <w:t>capacity</w:t>
            </w:r>
            <w:r w:rsidRPr="00762113">
              <w:rPr>
                <w:rStyle w:val="Hyperlink"/>
                <w:noProof/>
                <w:spacing w:val="11"/>
              </w:rPr>
              <w:t xml:space="preserve"> </w:t>
            </w:r>
            <w:r w:rsidRPr="00762113">
              <w:rPr>
                <w:rStyle w:val="Hyperlink"/>
                <w:noProof/>
              </w:rPr>
              <w:t>or</w:t>
            </w:r>
            <w:r w:rsidRPr="00762113">
              <w:rPr>
                <w:rStyle w:val="Hyperlink"/>
                <w:noProof/>
                <w:spacing w:val="-7"/>
              </w:rPr>
              <w:t xml:space="preserve"> </w:t>
            </w:r>
            <w:r w:rsidRPr="00762113">
              <w:rPr>
                <w:rStyle w:val="Hyperlink"/>
                <w:noProof/>
              </w:rPr>
              <w:t>sharing</w:t>
            </w:r>
            <w:r w:rsidRPr="00762113">
              <w:rPr>
                <w:rStyle w:val="Hyperlink"/>
                <w:noProof/>
                <w:spacing w:val="11"/>
              </w:rPr>
              <w:t xml:space="preserve"> </w:t>
            </w:r>
            <w:r w:rsidRPr="00762113">
              <w:rPr>
                <w:rStyle w:val="Hyperlink"/>
                <w:noProof/>
              </w:rPr>
              <w:t>of</w:t>
            </w:r>
            <w:r w:rsidRPr="00762113">
              <w:rPr>
                <w:rStyle w:val="Hyperlink"/>
                <w:noProof/>
                <w:spacing w:val="2"/>
              </w:rPr>
              <w:t xml:space="preserve"> </w:t>
            </w:r>
            <w:r w:rsidRPr="00762113">
              <w:rPr>
                <w:rStyle w:val="Hyperlink"/>
                <w:noProof/>
              </w:rPr>
              <w:t>reserves</w:t>
            </w:r>
            <w:r w:rsidRPr="00762113">
              <w:rPr>
                <w:noProof/>
                <w:webHidden/>
              </w:rPr>
              <w:tab/>
            </w:r>
            <w:r w:rsidRPr="00762113">
              <w:rPr>
                <w:noProof/>
                <w:webHidden/>
              </w:rPr>
              <w:fldChar w:fldCharType="begin"/>
            </w:r>
            <w:r w:rsidRPr="00762113">
              <w:rPr>
                <w:noProof/>
                <w:webHidden/>
              </w:rPr>
              <w:instrText xml:space="preserve"> PAGEREF _Toc113284215 \h </w:instrText>
            </w:r>
            <w:r w:rsidRPr="00762113">
              <w:rPr>
                <w:noProof/>
                <w:webHidden/>
              </w:rPr>
              <w:fldChar w:fldCharType="separate"/>
            </w:r>
            <w:r w:rsidRPr="00762113">
              <w:rPr>
                <w:noProof/>
                <w:webHidden/>
              </w:rPr>
              <w:t>15</w:t>
            </w:r>
            <w:r w:rsidRPr="00762113">
              <w:rPr>
                <w:noProof/>
                <w:webHidden/>
              </w:rPr>
              <w:fldChar w:fldCharType="end"/>
            </w:r>
          </w:hyperlink>
        </w:p>
        <w:p w:rsidR="00DF660D" w:rsidRPr="00762113" w14:paraId="25F6AB5E" w14:textId="070FE5A1">
          <w:pPr>
            <w:pStyle w:val="TOC1"/>
            <w:rPr>
              <w:rFonts w:asciiTheme="minorHAnsi" w:eastAsiaTheme="minorEastAsia" w:hAnsiTheme="minorHAnsi"/>
              <w:noProof/>
              <w:lang w:val="et-EE" w:eastAsia="et-EE"/>
            </w:rPr>
          </w:pPr>
          <w:hyperlink w:anchor="_Toc113284216" w:history="1">
            <w:r w:rsidRPr="00762113">
              <w:rPr>
                <w:rStyle w:val="Hyperlink"/>
                <w:noProof/>
              </w:rPr>
              <w:t>7.</w:t>
            </w:r>
            <w:r w:rsidRPr="00762113">
              <w:rPr>
                <w:rFonts w:asciiTheme="minorHAnsi" w:eastAsiaTheme="minorEastAsia" w:hAnsiTheme="minorHAnsi"/>
                <w:noProof/>
                <w:lang w:val="et-EE" w:eastAsia="et-EE"/>
              </w:rPr>
              <w:tab/>
            </w:r>
            <w:r w:rsidRPr="00762113">
              <w:rPr>
                <w:rStyle w:val="Hyperlink"/>
                <w:noProof/>
              </w:rPr>
              <w:t>Impact of allocating large shares of CZC for balancing capacity to neighbouring countries</w:t>
            </w:r>
            <w:r w:rsidRPr="00762113">
              <w:rPr>
                <w:noProof/>
                <w:webHidden/>
              </w:rPr>
              <w:tab/>
            </w:r>
            <w:r w:rsidRPr="00762113">
              <w:rPr>
                <w:noProof/>
                <w:webHidden/>
              </w:rPr>
              <w:fldChar w:fldCharType="begin"/>
            </w:r>
            <w:r w:rsidRPr="00762113">
              <w:rPr>
                <w:noProof/>
                <w:webHidden/>
              </w:rPr>
              <w:instrText xml:space="preserve"> PAGEREF _Toc113284216 \h </w:instrText>
            </w:r>
            <w:r w:rsidRPr="00762113">
              <w:rPr>
                <w:noProof/>
                <w:webHidden/>
              </w:rPr>
              <w:fldChar w:fldCharType="separate"/>
            </w:r>
            <w:r w:rsidRPr="00762113">
              <w:rPr>
                <w:noProof/>
                <w:webHidden/>
              </w:rPr>
              <w:t>18</w:t>
            </w:r>
            <w:r w:rsidRPr="00762113">
              <w:rPr>
                <w:noProof/>
                <w:webHidden/>
              </w:rPr>
              <w:fldChar w:fldCharType="end"/>
            </w:r>
          </w:hyperlink>
        </w:p>
        <w:p w:rsidR="00835604" w:rsidRPr="00762113" w:rsidP="00835604" w14:paraId="36DD8EE6" w14:textId="2C7FE8AA">
          <w:r w:rsidRPr="00762113">
            <w:rPr>
              <w:rFonts w:cstheme="minorHAnsi"/>
              <w:b/>
              <w:bCs/>
            </w:rPr>
            <w:fldChar w:fldCharType="end"/>
          </w:r>
        </w:p>
      </w:sdtContent>
    </w:sdt>
    <w:p w:rsidR="00835604" w:rsidRPr="00762113" w:rsidP="00835604" w14:paraId="6CBFCD3E" w14:textId="77777777">
      <w:pPr>
        <w:spacing w:after="120" w:line="276" w:lineRule="auto"/>
        <w:rPr>
          <w:rFonts w:cstheme="minorHAnsi"/>
          <w:color w:val="000000" w:themeColor="text1"/>
        </w:rPr>
      </w:pPr>
    </w:p>
    <w:p w:rsidR="00835604" w:rsidRPr="00762113" w:rsidP="00835604" w14:paraId="1531AC80" w14:textId="77777777">
      <w:pPr>
        <w:spacing w:after="120" w:line="276" w:lineRule="auto"/>
        <w:jc w:val="both"/>
        <w:rPr>
          <w:color w:val="000000" w:themeColor="text1"/>
        </w:rPr>
      </w:pPr>
      <w:r w:rsidRPr="00762113">
        <w:rPr>
          <w:color w:val="000000" w:themeColor="text1"/>
        </w:rPr>
        <w:br w:type="page"/>
      </w:r>
    </w:p>
    <w:p w:rsidR="00835604" w:rsidRPr="00762113" w:rsidP="00835604" w14:paraId="2DB37069" w14:textId="77777777">
      <w:pPr>
        <w:pStyle w:val="headline1"/>
        <w:numPr>
          <w:ilvl w:val="0"/>
          <w:numId w:val="1"/>
        </w:numPr>
      </w:pPr>
      <w:bookmarkStart w:id="0" w:name="_Toc113284199"/>
      <w:r w:rsidRPr="00762113">
        <w:t>Definitions</w:t>
      </w:r>
      <w:bookmarkEnd w:id="0"/>
    </w:p>
    <w:p w:rsidR="00835604" w:rsidRPr="00762113" w:rsidP="00835604" w14:paraId="57EC31AD" w14:textId="77777777">
      <w:pPr>
        <w:pStyle w:val="textregular"/>
      </w:pPr>
      <w:r w:rsidRPr="00762113">
        <w:t>BZ – Bidding zone</w:t>
      </w:r>
    </w:p>
    <w:p w:rsidR="00835604" w:rsidRPr="00762113" w:rsidP="00835604" w14:paraId="1B3AA945" w14:textId="76156807">
      <w:pPr>
        <w:pStyle w:val="textregular"/>
      </w:pPr>
      <w:r w:rsidRPr="00762113">
        <w:t>BZB – b</w:t>
      </w:r>
      <w:r w:rsidRPr="00762113" w:rsidR="00EA0D9F">
        <w:t>i</w:t>
      </w:r>
      <w:r w:rsidRPr="00762113">
        <w:t>dding zone border</w:t>
      </w:r>
    </w:p>
    <w:p w:rsidR="00835604" w:rsidRPr="00762113" w:rsidP="00835604" w14:paraId="347C735D" w14:textId="1CF57E75">
      <w:pPr>
        <w:pStyle w:val="textregular"/>
      </w:pPr>
      <w:r w:rsidRPr="00762113">
        <w:t>CZC – Cross</w:t>
      </w:r>
      <w:r w:rsidRPr="00762113" w:rsidR="001B3A51">
        <w:t>-</w:t>
      </w:r>
      <w:r w:rsidRPr="00762113">
        <w:t>zonal capacity</w:t>
      </w:r>
    </w:p>
    <w:p w:rsidR="0033765C" w:rsidRPr="00762113" w:rsidP="00835604" w14:paraId="67D15911" w14:textId="33198BE6">
      <w:pPr>
        <w:pStyle w:val="textregular"/>
      </w:pPr>
      <w:r w:rsidRPr="00762113">
        <w:br w:type="page"/>
      </w:r>
    </w:p>
    <w:p w:rsidR="000F1AF1" w:rsidRPr="00762113" w:rsidP="00835604" w14:paraId="09314CD9" w14:textId="33E156AC">
      <w:pPr>
        <w:pStyle w:val="headline1"/>
        <w:numPr>
          <w:ilvl w:val="0"/>
          <w:numId w:val="1"/>
        </w:numPr>
        <w:rPr>
          <w:rFonts w:eastAsia="Calibri"/>
        </w:rPr>
      </w:pPr>
      <w:bookmarkStart w:id="1" w:name="_Toc113284200"/>
      <w:bookmarkStart w:id="2" w:name="_Ref107410902"/>
      <w:r w:rsidRPr="00762113">
        <w:rPr>
          <w:rFonts w:eastAsia="Calibri"/>
        </w:rPr>
        <w:t>Introduction</w:t>
      </w:r>
      <w:bookmarkEnd w:id="1"/>
    </w:p>
    <w:p w:rsidR="000F1AF1" w:rsidRPr="00762113" w:rsidP="00275B33" w14:paraId="74B979ED" w14:textId="3DFB815B">
      <w:pPr>
        <w:jc w:val="both"/>
      </w:pPr>
      <w:r w:rsidRPr="00762113">
        <w:t xml:space="preserve">This document gives background information and the rationale for AST, </w:t>
      </w:r>
      <w:r w:rsidRPr="00762113">
        <w:t>Elering</w:t>
      </w:r>
      <w:r w:rsidRPr="00762113">
        <w:t xml:space="preserve">, </w:t>
      </w:r>
      <w:r w:rsidRPr="00762113">
        <w:t>Fingrid</w:t>
      </w:r>
      <w:r w:rsidRPr="00762113">
        <w:t xml:space="preserve">, </w:t>
      </w:r>
      <w:r w:rsidRPr="00762113" w:rsidR="0001487B">
        <w:t>Litgrid</w:t>
      </w:r>
      <w:r w:rsidRPr="00762113" w:rsidR="0001487B">
        <w:t xml:space="preserve">, </w:t>
      </w:r>
      <w:r w:rsidRPr="00762113" w:rsidR="008E1636">
        <w:t>Polskie</w:t>
      </w:r>
      <w:r w:rsidRPr="00762113" w:rsidR="008E1636">
        <w:t xml:space="preserve"> </w:t>
      </w:r>
      <w:r w:rsidRPr="00762113" w:rsidR="008E1636">
        <w:t>Sieci</w:t>
      </w:r>
      <w:r w:rsidRPr="00762113" w:rsidR="008E1636">
        <w:t xml:space="preserve"> </w:t>
      </w:r>
      <w:r w:rsidRPr="00762113" w:rsidR="008E1636">
        <w:t>Elektroenergetyczne</w:t>
      </w:r>
      <w:r w:rsidRPr="00762113">
        <w:t xml:space="preserve"> and Svenska </w:t>
      </w:r>
      <w:r w:rsidRPr="00762113">
        <w:t>kraftnät</w:t>
      </w:r>
      <w:r w:rsidRPr="00762113">
        <w:t xml:space="preserve"> proposal's for the </w:t>
      </w:r>
      <w:r w:rsidRPr="00762113" w:rsidR="00733F7F">
        <w:t xml:space="preserve">amendment of </w:t>
      </w:r>
      <w:r w:rsidRPr="00762113">
        <w:t xml:space="preserve">methodology for a market-based allocation process of </w:t>
      </w:r>
      <w:r w:rsidRPr="00762113" w:rsidR="001B3A51">
        <w:t>cross-zonal capacity</w:t>
      </w:r>
      <w:r w:rsidRPr="00762113" w:rsidR="008E1636">
        <w:t xml:space="preserve"> </w:t>
      </w:r>
      <w:r w:rsidRPr="00762113">
        <w:t>(hereinafter referred to as “CZC”) for the exchange of balancing capacity in accordance with Article 41(1) of</w:t>
      </w:r>
      <w:r w:rsidRPr="00762113" w:rsidR="00395705">
        <w:t xml:space="preserve"> </w:t>
      </w:r>
      <w:r w:rsidRPr="00762113">
        <w:t>the Commission Regulation (EU) 2017/2195 of 23 November 2017 establishing a guideline on electricity</w:t>
      </w:r>
      <w:r w:rsidRPr="00762113" w:rsidR="00395705">
        <w:t xml:space="preserve"> </w:t>
      </w:r>
      <w:r w:rsidRPr="00762113">
        <w:t>balancing (hereinafter referred to as “EB GL”). This proposal is hereinafter referred to as the “Proposal”, and</w:t>
      </w:r>
      <w:r w:rsidRPr="00762113" w:rsidR="00395705">
        <w:t xml:space="preserve"> AST, </w:t>
      </w:r>
      <w:r w:rsidRPr="00762113" w:rsidR="00395705">
        <w:t>Elering</w:t>
      </w:r>
      <w:r w:rsidRPr="00762113" w:rsidR="00395705">
        <w:t xml:space="preserve">, </w:t>
      </w:r>
      <w:r w:rsidRPr="00762113" w:rsidR="00395705">
        <w:t>Fingrid</w:t>
      </w:r>
      <w:r w:rsidRPr="00762113" w:rsidR="00395705">
        <w:t xml:space="preserve">, </w:t>
      </w:r>
      <w:r w:rsidRPr="00762113" w:rsidR="00395705">
        <w:t>Litgrid</w:t>
      </w:r>
      <w:r w:rsidRPr="00762113" w:rsidR="00395705">
        <w:t xml:space="preserve">, </w:t>
      </w:r>
      <w:r w:rsidRPr="00762113" w:rsidR="00395705">
        <w:t>Polskie</w:t>
      </w:r>
      <w:r w:rsidRPr="00762113" w:rsidR="00395705">
        <w:t xml:space="preserve"> </w:t>
      </w:r>
      <w:r w:rsidRPr="00762113" w:rsidR="00395705">
        <w:t>Sieci</w:t>
      </w:r>
      <w:r w:rsidRPr="00762113" w:rsidR="00395705">
        <w:t xml:space="preserve"> </w:t>
      </w:r>
      <w:r w:rsidRPr="00762113" w:rsidR="00395705">
        <w:t>Elektroenergetyczne</w:t>
      </w:r>
      <w:r w:rsidRPr="00762113" w:rsidR="00395705">
        <w:t xml:space="preserve"> and Svenska </w:t>
      </w:r>
      <w:r w:rsidRPr="00762113" w:rsidR="00395705">
        <w:t>kraftnät</w:t>
      </w:r>
      <w:r w:rsidRPr="00762113" w:rsidR="00395705">
        <w:t xml:space="preserve"> </w:t>
      </w:r>
      <w:r w:rsidRPr="00762113">
        <w:t>are hereinafter collectively referred to as the “</w:t>
      </w:r>
      <w:r w:rsidRPr="00762113" w:rsidR="00395705">
        <w:t>Baltic CCR</w:t>
      </w:r>
      <w:r w:rsidRPr="00762113" w:rsidR="00275B33">
        <w:t xml:space="preserve"> </w:t>
      </w:r>
      <w:r w:rsidRPr="00762113">
        <w:t>TSOs”.</w:t>
      </w:r>
    </w:p>
    <w:p w:rsidR="001B3A51" w:rsidRPr="00762113" w:rsidP="001E11B1" w14:paraId="1244ADCF" w14:textId="77777777"/>
    <w:p w:rsidR="001B3A51" w:rsidRPr="00762113" w:rsidP="00C36116" w14:paraId="19EE5E21" w14:textId="4E7D7901">
      <w:pPr>
        <w:pStyle w:val="headline2"/>
        <w:numPr>
          <w:ilvl w:val="1"/>
          <w:numId w:val="1"/>
        </w:numPr>
      </w:pPr>
      <w:bookmarkStart w:id="3" w:name="_Toc113284201"/>
      <w:r w:rsidRPr="00762113">
        <w:t>Background</w:t>
      </w:r>
      <w:bookmarkEnd w:id="3"/>
    </w:p>
    <w:p w:rsidR="00C36116" w:rsidRPr="00762113" w:rsidP="00275B33" w14:paraId="6D7A112E" w14:textId="33AB70BF">
      <w:pPr>
        <w:jc w:val="both"/>
      </w:pPr>
      <w:r w:rsidRPr="00762113">
        <w:t xml:space="preserve">The Baltic CCR TSOs </w:t>
      </w:r>
      <w:r w:rsidRPr="00762113" w:rsidR="00884061">
        <w:t>envisage implementing a common balancing capacity market between the three Baltic countries</w:t>
      </w:r>
      <w:r w:rsidRPr="00762113" w:rsidR="00044121">
        <w:t xml:space="preserve"> </w:t>
      </w:r>
      <w:r w:rsidRPr="00762113" w:rsidR="00BE1D71">
        <w:t xml:space="preserve">in order to maximize economic efficiency and </w:t>
      </w:r>
      <w:r w:rsidRPr="00762113" w:rsidR="00103C5B">
        <w:t>guarantee the necessary amount of reserves to be present at any given time for the Baltic countries.</w:t>
      </w:r>
      <w:r w:rsidRPr="00762113" w:rsidR="00102798">
        <w:t xml:space="preserve"> The balancing capacity market is envisaged to start by the time the Baltic countries connect their power systems to the Continental European Synchronous Area</w:t>
      </w:r>
      <w:r w:rsidRPr="00762113" w:rsidR="0014463E">
        <w:t xml:space="preserve"> (CESA)</w:t>
      </w:r>
      <w:r w:rsidRPr="00762113" w:rsidR="00102798">
        <w:t>, which is scheduled to take place by the 1</w:t>
      </w:r>
      <w:r w:rsidRPr="00762113" w:rsidR="00102798">
        <w:rPr>
          <w:vertAlign w:val="superscript"/>
        </w:rPr>
        <w:t>st</w:t>
      </w:r>
      <w:r w:rsidRPr="00762113" w:rsidR="00102798">
        <w:t xml:space="preserve"> of January 2026.</w:t>
      </w:r>
    </w:p>
    <w:p w:rsidR="00812FCF" w:rsidRPr="00762113" w:rsidP="00275B33" w14:paraId="13444A40" w14:textId="0260B2A4">
      <w:pPr>
        <w:jc w:val="both"/>
      </w:pPr>
      <w:r w:rsidRPr="00762113">
        <w:t>The Baltic countries’ balancing capacity needs are significant</w:t>
      </w:r>
      <w:r w:rsidRPr="00762113" w:rsidR="00145335">
        <w:t xml:space="preserve">ly high compared to their peak loads. </w:t>
      </w:r>
      <w:r w:rsidRPr="00762113" w:rsidR="005E3ADA">
        <w:t>T</w:t>
      </w:r>
      <w:r w:rsidRPr="00762113" w:rsidR="00145335">
        <w:t xml:space="preserve">he balancing capacity need would be approximately </w:t>
      </w:r>
      <w:r w:rsidRPr="00762113" w:rsidR="005E3ADA">
        <w:t xml:space="preserve">1800 MW of upward FRR and 1500 MW of downward reserve to be procured for the three Baltic countries combined. Fulfilling such an FRR demand would be impossible with the fleet of power plants currently existing </w:t>
      </w:r>
      <w:r w:rsidRPr="00762113" w:rsidR="00102798">
        <w:t xml:space="preserve">and expected to enter the market by 2026. </w:t>
      </w:r>
      <w:r w:rsidRPr="00762113" w:rsidR="00C624C4">
        <w:t xml:space="preserve">Instead, the Baltic TSOs have drafted a plan for an extensive sharing of reserves scheme to be implemented such that </w:t>
      </w:r>
      <w:r w:rsidRPr="00762113" w:rsidR="00F10727">
        <w:t>a total of approximately 7</w:t>
      </w:r>
      <w:r w:rsidRPr="00762113" w:rsidR="00913AA1">
        <w:t>1</w:t>
      </w:r>
      <w:r w:rsidRPr="00762113" w:rsidR="00F10727">
        <w:t xml:space="preserve">0 MW of upward and downward FRR capacity shall be procured and shared between the countries. This amount </w:t>
      </w:r>
      <w:r w:rsidRPr="00762113" w:rsidR="003E3FB7">
        <w:t>of FRR will be able to cover any largest reference incident in the Baltic countries.</w:t>
      </w:r>
      <w:r w:rsidRPr="00762113" w:rsidR="00EA7690">
        <w:t xml:space="preserve"> The vision relies on extensive use of CZC to allow all Baltic countries the access to the necessary amount of balancing capacity.</w:t>
      </w:r>
    </w:p>
    <w:p w:rsidR="00F7382D" w:rsidRPr="00762113" w:rsidP="00C36116" w14:paraId="153743AF" w14:textId="77777777"/>
    <w:p w:rsidR="00F7382D" w:rsidRPr="00762113" w:rsidP="00F7382D" w14:paraId="3181E53A" w14:textId="29491A81">
      <w:pPr>
        <w:pStyle w:val="headline2"/>
        <w:numPr>
          <w:ilvl w:val="1"/>
          <w:numId w:val="1"/>
        </w:numPr>
      </w:pPr>
      <w:bookmarkStart w:id="4" w:name="_Toc113284202"/>
      <w:r w:rsidRPr="00762113">
        <w:t>The CZC studies</w:t>
      </w:r>
      <w:bookmarkEnd w:id="4"/>
    </w:p>
    <w:p w:rsidR="00F7382D" w:rsidRPr="00762113" w:rsidP="00275B33" w14:paraId="5983F7FE" w14:textId="5D94910F">
      <w:pPr>
        <w:jc w:val="both"/>
      </w:pPr>
      <w:r w:rsidRPr="00762113">
        <w:t>The Baltic CCR TSOs have procured two studies which investigate the appropriate forecasting methodology for forecasting the market value of CZC for the exchange of energy; to investigate the appropriate maximum volumes of allocated CZC for the exchange of balancing capacity or sharing of reserves and the impact of allocating large volumes of CZC for the exchange of balancing capacity or sharing of reserves.</w:t>
      </w:r>
    </w:p>
    <w:p w:rsidR="00F7382D" w:rsidRPr="00762113" w:rsidP="00275B33" w14:paraId="36CDAF27" w14:textId="0B743ED5">
      <w:pPr>
        <w:jc w:val="both"/>
      </w:pPr>
      <w:r w:rsidRPr="00762113">
        <w:t>The first study (hereinafter referred to as the “CZC Study 1”</w:t>
      </w:r>
      <w:r w:rsidRPr="00762113" w:rsidR="008403F3">
        <w:t>)</w:t>
      </w:r>
      <w:r w:rsidRPr="00762113">
        <w:t xml:space="preserve">, was conducted in 2021. The </w:t>
      </w:r>
      <w:r w:rsidRPr="00762113" w:rsidR="00D55BE3">
        <w:t xml:space="preserve">aim of the study was to </w:t>
      </w:r>
      <w:r w:rsidRPr="00762113" w:rsidR="00201887">
        <w:t xml:space="preserve">propose an appropriate forecast methodology for the Baltic balancing capacity market. The </w:t>
      </w:r>
      <w:r w:rsidRPr="00762113" w:rsidR="001209B1">
        <w:t xml:space="preserve">specific challenges of the Baltic balancing capacity market </w:t>
      </w:r>
      <w:r w:rsidRPr="00762113" w:rsidR="005C3F63">
        <w:t xml:space="preserve">are the high reserve demand for </w:t>
      </w:r>
      <w:r w:rsidRPr="00762113" w:rsidR="009D445F">
        <w:t xml:space="preserve">each Baltic bidding zone, an extensive amount of sharing of reserves and a high volume of CZC to be allocated for balancing capacity. </w:t>
      </w:r>
      <w:r w:rsidRPr="00762113" w:rsidR="00427B44">
        <w:t xml:space="preserve">Due to these reasons, a simple reference day method, which has been implemented in other CCRs is not suitable for the Baltic countries. </w:t>
      </w:r>
      <w:r w:rsidRPr="00762113" w:rsidR="00451F34">
        <w:t xml:space="preserve">As a results of CZC Study 1, a forecast methodology has been proposed which is based on a simple reference day approach, but which is accompanied </w:t>
      </w:r>
      <w:r w:rsidRPr="00762113" w:rsidR="001F3FAB">
        <w:t xml:space="preserve">by a bidding-zone based price-volume parameter that allows the forecast to be adjusted when the situation regarding the CZC is changed. The </w:t>
      </w:r>
      <w:r w:rsidRPr="00762113" w:rsidR="00735837">
        <w:t xml:space="preserve">forecast methodology was found very suitable for the Baltic countries and is envisaged to be implemented along with the balancing capacity market. The description of the forecast methodology has been </w:t>
      </w:r>
      <w:r w:rsidRPr="00762113" w:rsidR="000D5764">
        <w:t>provided in this document, in section</w:t>
      </w:r>
      <w:r w:rsidRPr="00762113">
        <w:t xml:space="preserve"> </w:t>
      </w:r>
      <w:r w:rsidRPr="00762113">
        <w:fldChar w:fldCharType="begin"/>
      </w:r>
      <w:r w:rsidRPr="00762113">
        <w:instrText xml:space="preserve"> REF _Ref107410902 \r \h </w:instrText>
      </w:r>
      <w:r w:rsidRPr="00762113" w:rsidR="00275B33">
        <w:instrText xml:space="preserve"> \* MERGEFORMAT </w:instrText>
      </w:r>
      <w:r w:rsidRPr="00762113">
        <w:fldChar w:fldCharType="separate"/>
      </w:r>
      <w:r w:rsidRPr="00762113">
        <w:t>2</w:t>
      </w:r>
      <w:r w:rsidRPr="00762113">
        <w:fldChar w:fldCharType="end"/>
      </w:r>
      <w:r w:rsidRPr="00762113">
        <w:t>.</w:t>
      </w:r>
    </w:p>
    <w:p w:rsidR="00545B92" w:rsidRPr="00762113" w:rsidP="00275B33" w14:paraId="59A9168A" w14:textId="732F56D0">
      <w:pPr>
        <w:jc w:val="both"/>
      </w:pPr>
      <w:r w:rsidRPr="00762113">
        <w:t>In 2022, another study</w:t>
      </w:r>
      <w:r w:rsidRPr="00762113" w:rsidR="008403F3">
        <w:t xml:space="preserve"> (hereinafter referred to as the “CZC Study 2”), </w:t>
      </w:r>
      <w:r w:rsidRPr="00762113">
        <w:t xml:space="preserve"> was conducted where consultants investigated the </w:t>
      </w:r>
      <w:r w:rsidRPr="00762113" w:rsidR="008403F3">
        <w:t xml:space="preserve">details regarding CZC allocation between the Baltic bidding zones. More precisely, </w:t>
      </w:r>
      <w:r w:rsidRPr="00762113" w:rsidR="00FD420F">
        <w:t xml:space="preserve">after in-depth modelling of the Baltic balancing capacity market, </w:t>
      </w:r>
      <w:r w:rsidRPr="00762113" w:rsidR="008D4220">
        <w:t xml:space="preserve">the appropriate CZC allocation limitations where proposed, which were based on </w:t>
      </w:r>
      <w:r w:rsidRPr="00762113" w:rsidR="003350D5">
        <w:t>analyzed</w:t>
      </w:r>
      <w:r w:rsidRPr="00762113" w:rsidR="003350D5">
        <w:t xml:space="preserve"> economic parameters and </w:t>
      </w:r>
      <w:r w:rsidRPr="00762113" w:rsidR="00C123CE">
        <w:t xml:space="preserve">an analysis taking into account the aspects of balancing capacity security of supply. Furthermore, several impacts were </w:t>
      </w:r>
      <w:r w:rsidRPr="00762113" w:rsidR="00C123CE">
        <w:t>analyzed</w:t>
      </w:r>
      <w:r w:rsidRPr="00762113" w:rsidR="00C123CE">
        <w:t>: firstly the impact on neighbouring countries’ day-ahead markets of allocating large shares of CZC on the borders between the Baltic bidding zones</w:t>
      </w:r>
      <w:r w:rsidRPr="00762113" w:rsidR="005156A8">
        <w:t xml:space="preserve"> and secondly the impact of </w:t>
      </w:r>
      <w:r w:rsidRPr="00762113" w:rsidR="003C0401">
        <w:t>significantly</w:t>
      </w:r>
      <w:r w:rsidRPr="00762113" w:rsidR="005156A8">
        <w:t xml:space="preserve"> limiting the maximum CZC </w:t>
      </w:r>
      <w:r w:rsidRPr="00762113" w:rsidR="005156A8">
        <w:t>allocation</w:t>
      </w:r>
      <w:r w:rsidRPr="00762113" w:rsidR="0013142D">
        <w:t xml:space="preserve"> for balancing capacity between the Baltic bidding zones. The results of CZC Study 2 have been described in sections </w:t>
      </w:r>
      <w:r w:rsidRPr="00762113" w:rsidR="0013142D">
        <w:fldChar w:fldCharType="begin"/>
      </w:r>
      <w:r w:rsidRPr="00762113" w:rsidR="0013142D">
        <w:instrText xml:space="preserve"> REF _Ref107484266 \r \h </w:instrText>
      </w:r>
      <w:r w:rsidRPr="00762113" w:rsidR="00275B33">
        <w:instrText xml:space="preserve"> \* MERGEFORMAT </w:instrText>
      </w:r>
      <w:r w:rsidRPr="00762113" w:rsidR="0013142D">
        <w:fldChar w:fldCharType="separate"/>
      </w:r>
      <w:r w:rsidRPr="00762113" w:rsidR="0013142D">
        <w:t>6</w:t>
      </w:r>
      <w:r w:rsidRPr="00762113" w:rsidR="0013142D">
        <w:fldChar w:fldCharType="end"/>
      </w:r>
      <w:r w:rsidRPr="00762113" w:rsidR="0013142D">
        <w:t xml:space="preserve">, </w:t>
      </w:r>
      <w:r w:rsidRPr="00762113" w:rsidR="0013142D">
        <w:fldChar w:fldCharType="begin"/>
      </w:r>
      <w:r w:rsidRPr="00762113" w:rsidR="0013142D">
        <w:instrText xml:space="preserve"> REF _Ref107484269 \r \h </w:instrText>
      </w:r>
      <w:r w:rsidRPr="00762113" w:rsidR="00275B33">
        <w:instrText xml:space="preserve"> \* MERGEFORMAT </w:instrText>
      </w:r>
      <w:r w:rsidRPr="00762113" w:rsidR="0013142D">
        <w:fldChar w:fldCharType="separate"/>
      </w:r>
      <w:r w:rsidRPr="00762113" w:rsidR="0013142D">
        <w:t>7</w:t>
      </w:r>
      <w:r w:rsidRPr="00762113" w:rsidR="0013142D">
        <w:fldChar w:fldCharType="end"/>
      </w:r>
      <w:r w:rsidRPr="00762113" w:rsidR="0013142D">
        <w:t xml:space="preserve">, and </w:t>
      </w:r>
      <w:r w:rsidRPr="00762113" w:rsidR="0013142D">
        <w:fldChar w:fldCharType="begin"/>
      </w:r>
      <w:r w:rsidRPr="00762113" w:rsidR="0013142D">
        <w:instrText xml:space="preserve"> REF _Ref107484273 \r \h </w:instrText>
      </w:r>
      <w:r w:rsidRPr="00762113" w:rsidR="00275B33">
        <w:instrText xml:space="preserve"> \* MERGEFORMAT </w:instrText>
      </w:r>
      <w:r w:rsidRPr="00762113" w:rsidR="0013142D">
        <w:fldChar w:fldCharType="separate"/>
      </w:r>
      <w:r w:rsidRPr="00762113" w:rsidR="0013142D">
        <w:t>8</w:t>
      </w:r>
      <w:r w:rsidRPr="00762113" w:rsidR="0013142D">
        <w:fldChar w:fldCharType="end"/>
      </w:r>
      <w:r w:rsidRPr="00762113" w:rsidR="0013142D">
        <w:t>.</w:t>
      </w:r>
    </w:p>
    <w:p w:rsidR="000D5764" w:rsidRPr="00762113" w:rsidP="000D5764" w14:paraId="27FA55B4" w14:textId="77777777"/>
    <w:p w:rsidR="00F7382D" w:rsidRPr="00762113" w:rsidP="00C36116" w14:paraId="7FF4483B" w14:textId="77777777"/>
    <w:p w:rsidR="000F1AF1" w:rsidRPr="00762113" w14:paraId="0A6D8EEA" w14:textId="38B52F1E">
      <w:pPr>
        <w:spacing w:after="160" w:line="259" w:lineRule="auto"/>
      </w:pPr>
      <w:r w:rsidRPr="00762113">
        <w:br w:type="page"/>
      </w:r>
    </w:p>
    <w:p w:rsidR="00835604" w:rsidRPr="00762113" w:rsidP="00835604" w14:paraId="21ACF25F" w14:textId="18B88547">
      <w:pPr>
        <w:pStyle w:val="headline1"/>
        <w:numPr>
          <w:ilvl w:val="0"/>
          <w:numId w:val="1"/>
        </w:numPr>
        <w:rPr>
          <w:rFonts w:eastAsia="Calibri"/>
        </w:rPr>
      </w:pPr>
      <w:bookmarkStart w:id="5" w:name="_Toc113284203"/>
      <w:r w:rsidRPr="00762113">
        <w:rPr>
          <w:rFonts w:eastAsia="Calibri"/>
        </w:rPr>
        <w:t>Formulating the CZC value forecast for the day-ahead market in the procurement optimization function</w:t>
      </w:r>
      <w:bookmarkEnd w:id="2"/>
      <w:bookmarkEnd w:id="5"/>
    </w:p>
    <w:p w:rsidR="00835604" w:rsidRPr="00762113" w:rsidP="00835604" w14:paraId="02DAF351" w14:textId="204E1445">
      <w:pPr>
        <w:spacing w:after="160" w:line="259" w:lineRule="auto"/>
        <w:jc w:val="both"/>
        <w:rPr>
          <w:rFonts w:eastAsia="Calibri" w:cstheme="minorHAnsi"/>
        </w:rPr>
      </w:pPr>
      <w:r w:rsidRPr="00762113">
        <w:rPr>
          <w:rFonts w:eastAsia="Calibri" w:cstheme="minorHAnsi"/>
        </w:rPr>
        <w:t xml:space="preserve">The objective function of the procurement optimization function is the maximization of welfare across the day-ahead and the balancing capacity markets. </w:t>
      </w:r>
      <w:r w:rsidRPr="00762113" w:rsidR="00886F62">
        <w:rPr>
          <w:rFonts w:eastAsia="Calibri" w:cstheme="minorHAnsi"/>
        </w:rPr>
        <w:t xml:space="preserve">In the </w:t>
      </w:r>
      <w:r w:rsidRPr="00762113" w:rsidR="003A2BF3">
        <w:rPr>
          <w:rFonts w:eastAsia="Calibri" w:cstheme="minorHAnsi"/>
        </w:rPr>
        <w:t xml:space="preserve">Baltic CCR </w:t>
      </w:r>
      <w:r w:rsidRPr="00762113" w:rsidR="00886F62">
        <w:rPr>
          <w:rFonts w:eastAsia="Calibri" w:cstheme="minorHAnsi"/>
        </w:rPr>
        <w:t xml:space="preserve">market-based </w:t>
      </w:r>
      <w:r w:rsidRPr="00762113" w:rsidR="001B3A51">
        <w:rPr>
          <w:rFonts w:eastAsia="Calibri" w:cstheme="minorHAnsi"/>
        </w:rPr>
        <w:t>CZC</w:t>
      </w:r>
      <w:r w:rsidRPr="00762113" w:rsidR="00886F62">
        <w:rPr>
          <w:rFonts w:eastAsia="Calibri" w:cstheme="minorHAnsi"/>
        </w:rPr>
        <w:t xml:space="preserve"> allocation methodology, </w:t>
      </w:r>
      <w:r w:rsidRPr="00762113" w:rsidR="00EF7A46">
        <w:rPr>
          <w:rFonts w:eastAsia="Calibri" w:cstheme="minorHAnsi"/>
        </w:rPr>
        <w:t xml:space="preserve">the actual value of </w:t>
      </w:r>
      <w:r w:rsidRPr="00762113" w:rsidR="001B3A51">
        <w:rPr>
          <w:rFonts w:eastAsia="Calibri" w:cstheme="minorHAnsi"/>
        </w:rPr>
        <w:t>CZC</w:t>
      </w:r>
      <w:r w:rsidRPr="00762113" w:rsidR="00EF7A46">
        <w:rPr>
          <w:rFonts w:eastAsia="Calibri" w:cstheme="minorHAnsi"/>
        </w:rPr>
        <w:t xml:space="preserve"> for the exchange of balancing capacity or sharing of rese</w:t>
      </w:r>
      <w:r w:rsidRPr="00762113" w:rsidR="00E917CA">
        <w:rPr>
          <w:rFonts w:eastAsia="Calibri" w:cstheme="minorHAnsi"/>
        </w:rPr>
        <w:t xml:space="preserve">rves and the forecasted market value of </w:t>
      </w:r>
      <w:r w:rsidRPr="00762113" w:rsidR="001B3A51">
        <w:rPr>
          <w:rFonts w:eastAsia="Calibri" w:cstheme="minorHAnsi"/>
        </w:rPr>
        <w:t>CZC</w:t>
      </w:r>
      <w:r w:rsidRPr="00762113" w:rsidR="00E917CA">
        <w:rPr>
          <w:rFonts w:eastAsia="Calibri" w:cstheme="minorHAnsi"/>
        </w:rPr>
        <w:t xml:space="preserve"> for the exchange of energy</w:t>
      </w:r>
      <w:r w:rsidRPr="00762113" w:rsidR="003A2BF3">
        <w:rPr>
          <w:rFonts w:eastAsia="Calibri" w:cstheme="minorHAnsi"/>
        </w:rPr>
        <w:t xml:space="preserve"> shall be compared. </w:t>
      </w:r>
      <w:r w:rsidRPr="00762113">
        <w:rPr>
          <w:rFonts w:eastAsia="Calibri" w:cstheme="minorHAnsi"/>
        </w:rPr>
        <w:t>The day-ahead market is represented via a forecast methodology which constructs a forecasted proxy of the day ahead market. The balancing capacity market is represented by the actual bids of the balancing capacity market. Therefore, in the procurement optimization function, the forecasted welfare for the day-ahead market is compared to the actual welfare of the balancing capacity market. The forecasted day-ahead market proxy model is constructed as described below</w:t>
      </w:r>
      <w:r w:rsidRPr="00762113" w:rsidR="00904FF3">
        <w:rPr>
          <w:rFonts w:eastAsia="Calibri" w:cstheme="minorHAnsi"/>
        </w:rPr>
        <w:t>.</w:t>
      </w:r>
    </w:p>
    <w:p w:rsidR="00835604" w:rsidRPr="00762113" w:rsidP="00835604" w14:paraId="24B524DF" w14:textId="77777777">
      <w:pPr>
        <w:pStyle w:val="headline2"/>
        <w:numPr>
          <w:ilvl w:val="1"/>
          <w:numId w:val="1"/>
        </w:numPr>
        <w:rPr>
          <w:rFonts w:eastAsia="Calibri"/>
        </w:rPr>
      </w:pPr>
      <w:bookmarkStart w:id="6" w:name="_Toc113284204"/>
      <w:r w:rsidRPr="00762113">
        <w:rPr>
          <w:rFonts w:eastAsia="Calibri"/>
        </w:rPr>
        <w:t>The day-ahead forecast proxy</w:t>
      </w:r>
      <w:bookmarkEnd w:id="6"/>
    </w:p>
    <w:p w:rsidR="00835604" w:rsidRPr="00762113" w:rsidP="00464F31" w14:paraId="54544C90" w14:textId="071021DE">
      <w:pPr>
        <w:pStyle w:val="headline3"/>
        <w:numPr>
          <w:ilvl w:val="2"/>
          <w:numId w:val="1"/>
        </w:numPr>
      </w:pPr>
      <w:bookmarkStart w:id="7" w:name="_Toc113284205"/>
      <w:r w:rsidRPr="00762113">
        <w:t>Statistical approximation of the supply curves</w:t>
      </w:r>
      <w:bookmarkEnd w:id="7"/>
    </w:p>
    <w:p w:rsidR="0087439F" w:rsidRPr="00762113" w:rsidP="0087439F" w14:paraId="67465681" w14:textId="77777777">
      <w:pPr>
        <w:spacing w:line="259" w:lineRule="auto"/>
        <w:jc w:val="both"/>
      </w:pPr>
      <w:r w:rsidRPr="00762113">
        <w:t xml:space="preserve">Often, simple reference day forecast methodology is used to forecast the CZC value for day-ahead market. In such a case, price difference of a similar day and similar hour is taken as the value of CZC for day-ahead market. The Baltic TSOs foresee possible need for allocating large shares of CZC for balancing capacity. For such a case, a simple reference day is not adequate to deliver a forecast of CZC, because large shifts in allocation of CZC can severely impact the value of CZC which the simple reference day methodology is unable to capture. Thus, it is necessary to represent the day-ahead market in a more realistic way. </w:t>
      </w:r>
    </w:p>
    <w:p w:rsidR="0087439F" w:rsidRPr="00762113" w:rsidP="0087439F" w14:paraId="19B51B90" w14:textId="77777777">
      <w:pPr>
        <w:spacing w:line="259" w:lineRule="auto"/>
        <w:jc w:val="both"/>
      </w:pPr>
      <w:r w:rsidRPr="00762113">
        <w:t>Generally, the market welfare of a day-ahead market in a certain bidding zone can be expressed through the following formulation:</w:t>
      </w:r>
    </w:p>
    <w:p w:rsidR="00835604" w:rsidRPr="00762113" w:rsidP="0087439F" w14:paraId="7678E309" w14:textId="6EC5149F">
      <w:pPr>
        <w:spacing w:line="259" w:lineRule="auto"/>
        <w:jc w:val="both"/>
        <w:rPr>
          <w:rFonts w:eastAsia="Calibri" w:cstheme="minorHAnsi"/>
        </w:rPr>
      </w:pPr>
      <m:oMathPara>
        <m:oMath>
          <m:r>
            <w:rPr>
              <w:rFonts w:ascii="Cambria Math" w:eastAsia="Calibri" w:hAnsi="Cambria Math" w:cstheme="minorHAnsi"/>
            </w:rPr>
            <m:t xml:space="preserve">WF= </m:t>
          </m:r>
          <m:nary>
            <m:naryPr>
              <m:chr m:val="∑"/>
              <m:limLoc m:val="undOvr"/>
              <m:supHide/>
              <m:ctrlPr>
                <w:rPr>
                  <w:rFonts w:ascii="Cambria Math" w:eastAsia="Calibri" w:hAnsi="Cambria Math" w:cstheme="minorHAnsi"/>
                  <w:i/>
                </w:rPr>
              </m:ctrlPr>
            </m:naryPr>
            <m:sub>
              <m:r>
                <w:rPr>
                  <w:rFonts w:ascii="Cambria Math" w:eastAsia="Calibri" w:hAnsi="Cambria Math" w:cstheme="minorHAnsi"/>
                </w:rPr>
                <m:t>i</m:t>
              </m:r>
            </m:sub>
            <m:sup/>
            <m:e>
              <m:sSub>
                <m:sSubPr>
                  <m:ctrlPr>
                    <w:rPr>
                      <w:rFonts w:ascii="Cambria Math" w:eastAsia="Calibri" w:hAnsi="Cambria Math" w:cstheme="minorHAnsi"/>
                      <w:i/>
                    </w:rPr>
                  </m:ctrlPr>
                </m:sSubPr>
                <m:e>
                  <m:r>
                    <w:rPr>
                      <w:rFonts w:ascii="Cambria Math" w:eastAsia="Calibri" w:hAnsi="Cambria Math" w:cstheme="minorHAnsi"/>
                    </w:rPr>
                    <m:t>q</m:t>
                  </m:r>
                </m:e>
                <m:sub>
                  <m:r>
                    <w:rPr>
                      <w:rFonts w:ascii="Cambria Math" w:eastAsia="Calibri" w:hAnsi="Cambria Math" w:cstheme="minorHAnsi"/>
                    </w:rPr>
                    <m:t>d,i</m:t>
                  </m:r>
                </m:sub>
              </m:sSub>
              <m:r>
                <w:rPr>
                  <w:rFonts w:ascii="Cambria Math" w:eastAsia="Calibri" w:hAnsi="Cambria Math" w:cstheme="minorHAnsi"/>
                </w:rPr>
                <m:t>×</m:t>
              </m:r>
              <m:sSub>
                <m:sSubPr>
                  <m:ctrlPr>
                    <w:rPr>
                      <w:rFonts w:ascii="Cambria Math" w:eastAsia="Calibri" w:hAnsi="Cambria Math" w:cstheme="minorHAnsi"/>
                      <w:i/>
                    </w:rPr>
                  </m:ctrlPr>
                </m:sSubPr>
                <m:e>
                  <m:r>
                    <w:rPr>
                      <w:rFonts w:ascii="Cambria Math" w:eastAsia="Calibri" w:hAnsi="Cambria Math" w:cstheme="minorHAnsi"/>
                    </w:rPr>
                    <m:t>p</m:t>
                  </m:r>
                </m:e>
                <m:sub>
                  <m:r>
                    <w:rPr>
                      <w:rFonts w:ascii="Cambria Math" w:eastAsia="Calibri" w:hAnsi="Cambria Math" w:cstheme="minorHAnsi"/>
                    </w:rPr>
                    <m:t>d,i</m:t>
                  </m:r>
                </m:sub>
              </m:sSub>
              <m:r>
                <w:rPr>
                  <w:rFonts w:ascii="Cambria Math" w:eastAsia="Calibri" w:hAnsi="Cambria Math" w:cstheme="minorHAnsi"/>
                </w:rPr>
                <m:t>-</m:t>
              </m:r>
              <m:nary>
                <m:naryPr>
                  <m:chr m:val="∑"/>
                  <m:limLoc m:val="undOvr"/>
                  <m:supHide/>
                  <m:ctrlPr>
                    <w:rPr>
                      <w:rFonts w:ascii="Cambria Math" w:eastAsia="Calibri" w:hAnsi="Cambria Math" w:cstheme="minorHAnsi"/>
                      <w:i/>
                    </w:rPr>
                  </m:ctrlPr>
                </m:naryPr>
                <m:sub>
                  <m:r>
                    <w:rPr>
                      <w:rFonts w:ascii="Cambria Math" w:eastAsia="Calibri" w:hAnsi="Cambria Math" w:cstheme="minorHAnsi"/>
                    </w:rPr>
                    <m:t>i</m:t>
                  </m:r>
                </m:sub>
                <m:sup/>
                <m:e>
                  <m:sSub>
                    <m:sSubPr>
                      <m:ctrlPr>
                        <w:rPr>
                          <w:rFonts w:ascii="Cambria Math" w:eastAsia="Calibri" w:hAnsi="Cambria Math" w:cstheme="minorHAnsi"/>
                          <w:i/>
                        </w:rPr>
                      </m:ctrlPr>
                    </m:sSubPr>
                    <m:e>
                      <m:r>
                        <w:rPr>
                          <w:rFonts w:ascii="Cambria Math" w:eastAsia="Calibri" w:hAnsi="Cambria Math" w:cstheme="minorHAnsi"/>
                        </w:rPr>
                        <m:t>q</m:t>
                      </m:r>
                    </m:e>
                    <m:sub>
                      <m:r>
                        <w:rPr>
                          <w:rFonts w:ascii="Cambria Math" w:eastAsia="Calibri" w:hAnsi="Cambria Math" w:cstheme="minorHAnsi"/>
                        </w:rPr>
                        <m:t>s,i</m:t>
                      </m:r>
                    </m:sub>
                  </m:sSub>
                  <m:r>
                    <w:rPr>
                      <w:rFonts w:ascii="Cambria Math" w:eastAsia="Calibri" w:hAnsi="Cambria Math" w:cstheme="minorHAnsi"/>
                    </w:rPr>
                    <m:t>×</m:t>
                  </m:r>
                  <m:sSub>
                    <m:sSubPr>
                      <m:ctrlPr>
                        <w:rPr>
                          <w:rFonts w:ascii="Cambria Math" w:eastAsia="Calibri" w:hAnsi="Cambria Math" w:cstheme="minorHAnsi"/>
                          <w:i/>
                        </w:rPr>
                      </m:ctrlPr>
                    </m:sSubPr>
                    <m:e>
                      <m:r>
                        <w:rPr>
                          <w:rFonts w:ascii="Cambria Math" w:eastAsia="Calibri" w:hAnsi="Cambria Math" w:cstheme="minorHAnsi"/>
                        </w:rPr>
                        <m:t>p</m:t>
                      </m:r>
                    </m:e>
                    <m:sub>
                      <m:r>
                        <w:rPr>
                          <w:rFonts w:ascii="Cambria Math" w:eastAsia="Calibri" w:hAnsi="Cambria Math" w:cstheme="minorHAnsi"/>
                        </w:rPr>
                        <m:t>s,i</m:t>
                      </m:r>
                    </m:sub>
                  </m:sSub>
                </m:e>
              </m:nary>
            </m:e>
          </m:nary>
        </m:oMath>
      </m:oMathPara>
    </w:p>
    <w:p w:rsidR="00835604" w:rsidRPr="00762113" w:rsidP="00AD72AB" w14:paraId="16AAC469" w14:textId="77777777">
      <w:pPr>
        <w:spacing w:line="259" w:lineRule="auto"/>
        <w:jc w:val="both"/>
        <w:rPr>
          <w:rFonts w:eastAsia="Calibri" w:cstheme="minorHAnsi"/>
        </w:rPr>
      </w:pPr>
      <w:r w:rsidRPr="00762113">
        <w:rPr>
          <w:rFonts w:eastAsia="Calibri" w:cstheme="minorHAnsi"/>
        </w:rPr>
        <w:t>Where:</w:t>
      </w:r>
    </w:p>
    <w:p w:rsidR="00835604" w:rsidRPr="00762113" w:rsidP="00850635" w14:paraId="303DB89A" w14:textId="6D83A8A2">
      <w:pPr>
        <w:jc w:val="both"/>
        <w:rPr>
          <w:rFonts w:eastAsia="Calibri" w:cstheme="minorHAnsi"/>
        </w:rPr>
      </w:pPr>
      <w:r w:rsidRPr="00762113">
        <w:rPr>
          <w:rFonts w:eastAsia="Calibri" w:cstheme="minorHAnsi"/>
        </w:rPr>
        <w:t>i</w:t>
      </w:r>
      <w:r w:rsidRPr="00762113">
        <w:rPr>
          <w:rFonts w:eastAsia="Calibri" w:cstheme="minorHAnsi"/>
        </w:rPr>
        <w:t xml:space="preserve"> </w:t>
      </w:r>
      <w:r w:rsidRPr="00762113" w:rsidR="00A14B0C">
        <w:rPr>
          <w:rFonts w:eastAsia="Calibri" w:cstheme="minorHAnsi"/>
        </w:rPr>
        <w:t xml:space="preserve">- </w:t>
      </w:r>
      <w:r w:rsidRPr="00762113">
        <w:rPr>
          <w:rFonts w:eastAsia="Calibri" w:cstheme="minorHAnsi"/>
        </w:rPr>
        <w:t>the set of accepted demand and supply bids;</w:t>
      </w:r>
    </w:p>
    <w:p w:rsidR="00835604" w:rsidRPr="00762113" w:rsidP="00850635" w14:paraId="4ADFB839" w14:textId="77777777">
      <w:pPr>
        <w:jc w:val="both"/>
        <w:rPr>
          <w:rFonts w:eastAsia="Calibri" w:cstheme="minorHAnsi"/>
        </w:rPr>
      </w:pPr>
      <m:oMath>
        <m:sSub>
          <m:sSubPr>
            <m:ctrlPr>
              <w:rPr>
                <w:rFonts w:ascii="Cambria Math" w:eastAsia="Calibri" w:hAnsi="Cambria Math" w:cstheme="minorHAnsi"/>
                <w:i/>
              </w:rPr>
            </m:ctrlPr>
          </m:sSubPr>
          <m:e>
            <m:r>
              <w:rPr>
                <w:rFonts w:ascii="Cambria Math" w:eastAsia="Calibri" w:hAnsi="Cambria Math" w:cstheme="minorHAnsi"/>
              </w:rPr>
              <m:t>q</m:t>
            </m:r>
          </m:e>
          <m:sub>
            <m:r>
              <w:rPr>
                <w:rFonts w:ascii="Cambria Math" w:eastAsia="Calibri" w:hAnsi="Cambria Math" w:cstheme="minorHAnsi"/>
              </w:rPr>
              <m:t>d,i</m:t>
            </m:r>
          </m:sub>
        </m:sSub>
      </m:oMath>
      <w:r w:rsidRPr="00762113">
        <w:rPr>
          <w:rFonts w:eastAsia="Calibri" w:cstheme="minorHAnsi"/>
        </w:rPr>
        <w:t xml:space="preserve"> – quantity of demand bid i;</w:t>
      </w:r>
    </w:p>
    <w:p w:rsidR="00835604" w:rsidRPr="00762113" w:rsidP="00850635" w14:paraId="03AB391A" w14:textId="77777777">
      <w:pPr>
        <w:jc w:val="both"/>
        <w:rPr>
          <w:rFonts w:eastAsia="Calibri" w:cstheme="minorHAnsi"/>
        </w:rPr>
      </w:pPr>
      <m:oMath>
        <m:sSub>
          <m:sSubPr>
            <m:ctrlPr>
              <w:rPr>
                <w:rFonts w:ascii="Cambria Math" w:eastAsia="Calibri" w:hAnsi="Cambria Math" w:cstheme="minorHAnsi"/>
                <w:i/>
              </w:rPr>
            </m:ctrlPr>
          </m:sSubPr>
          <m:e>
            <m:r>
              <w:rPr>
                <w:rFonts w:ascii="Cambria Math" w:eastAsia="Calibri" w:hAnsi="Cambria Math" w:cstheme="minorHAnsi"/>
              </w:rPr>
              <m:t>p</m:t>
            </m:r>
          </m:e>
          <m:sub>
            <m:r>
              <w:rPr>
                <w:rFonts w:ascii="Cambria Math" w:eastAsia="Calibri" w:hAnsi="Cambria Math" w:cstheme="minorHAnsi"/>
              </w:rPr>
              <m:t>d,i</m:t>
            </m:r>
          </m:sub>
        </m:sSub>
        <m:r>
          <w:rPr>
            <w:rFonts w:ascii="Cambria Math" w:eastAsia="Calibri" w:hAnsi="Cambria Math" w:cstheme="minorHAnsi"/>
          </w:rPr>
          <m:t xml:space="preserve">- </m:t>
        </m:r>
      </m:oMath>
      <w:r w:rsidRPr="00762113">
        <w:rPr>
          <w:rFonts w:eastAsia="Calibri" w:cstheme="minorHAnsi"/>
        </w:rPr>
        <w:t>price of demand bid i;</w:t>
      </w:r>
    </w:p>
    <w:p w:rsidR="00835604" w:rsidRPr="00762113" w:rsidP="00850635" w14:paraId="5ABA5E7B" w14:textId="77777777">
      <w:pPr>
        <w:jc w:val="both"/>
        <w:rPr>
          <w:rFonts w:eastAsia="Calibri" w:cstheme="minorHAnsi"/>
        </w:rPr>
      </w:pPr>
      <m:oMath>
        <m:sSub>
          <m:sSubPr>
            <m:ctrlPr>
              <w:rPr>
                <w:rFonts w:ascii="Cambria Math" w:eastAsia="Calibri" w:hAnsi="Cambria Math" w:cstheme="minorHAnsi"/>
                <w:i/>
              </w:rPr>
            </m:ctrlPr>
          </m:sSubPr>
          <m:e>
            <m:r>
              <w:rPr>
                <w:rFonts w:ascii="Cambria Math" w:eastAsia="Calibri" w:hAnsi="Cambria Math" w:cstheme="minorHAnsi"/>
              </w:rPr>
              <m:t>q</m:t>
            </m:r>
          </m:e>
          <m:sub>
            <m:r>
              <w:rPr>
                <w:rFonts w:ascii="Cambria Math" w:eastAsia="Calibri" w:hAnsi="Cambria Math" w:cstheme="minorHAnsi"/>
              </w:rPr>
              <m:t>s,i</m:t>
            </m:r>
          </m:sub>
        </m:sSub>
      </m:oMath>
      <w:r w:rsidRPr="00762113">
        <w:rPr>
          <w:rFonts w:eastAsia="Calibri" w:cstheme="minorHAnsi"/>
        </w:rPr>
        <w:t xml:space="preserve"> - quantity of supply bid i;</w:t>
      </w:r>
    </w:p>
    <w:p w:rsidR="00835604" w:rsidRPr="00762113" w:rsidP="00850635" w14:paraId="3AC76BD3" w14:textId="77777777">
      <w:pPr>
        <w:spacing w:after="120"/>
        <w:jc w:val="both"/>
        <w:rPr>
          <w:rFonts w:eastAsia="Calibri" w:cstheme="minorHAnsi"/>
        </w:rPr>
      </w:pPr>
      <m:oMath>
        <m:sSub>
          <m:sSubPr>
            <m:ctrlPr>
              <w:rPr>
                <w:rFonts w:ascii="Cambria Math" w:eastAsia="Calibri" w:hAnsi="Cambria Math" w:cstheme="minorHAnsi"/>
                <w:i/>
              </w:rPr>
            </m:ctrlPr>
          </m:sSubPr>
          <m:e>
            <m:r>
              <w:rPr>
                <w:rFonts w:ascii="Cambria Math" w:eastAsia="Calibri" w:hAnsi="Cambria Math" w:cstheme="minorHAnsi"/>
              </w:rPr>
              <m:t>p</m:t>
            </m:r>
          </m:e>
          <m:sub>
            <m:r>
              <w:rPr>
                <w:rFonts w:ascii="Cambria Math" w:eastAsia="Calibri" w:hAnsi="Cambria Math" w:cstheme="minorHAnsi"/>
              </w:rPr>
              <m:t>s,i</m:t>
            </m:r>
          </m:sub>
        </m:sSub>
      </m:oMath>
      <w:r w:rsidRPr="00762113">
        <w:rPr>
          <w:rFonts w:eastAsia="Calibri" w:cstheme="minorHAnsi"/>
        </w:rPr>
        <w:t xml:space="preserve"> - price of supply bid i.</w:t>
      </w:r>
    </w:p>
    <w:p w:rsidR="00835604" w:rsidRPr="00762113" w:rsidP="00275B33" w14:paraId="0F806103" w14:textId="24206A12">
      <w:pPr>
        <w:spacing w:after="160" w:line="259" w:lineRule="auto"/>
        <w:jc w:val="both"/>
        <w:rPr>
          <w:rFonts w:eastAsia="Calibri" w:cstheme="minorHAnsi"/>
        </w:rPr>
      </w:pPr>
      <w:r w:rsidRPr="00762113">
        <w:rPr>
          <w:rFonts w:eastAsia="Calibri" w:cstheme="minorHAnsi"/>
        </w:rPr>
        <w:t xml:space="preserve">The presented welfare formulation implies the knowledge about all supply and demand bid sizes and quantities. </w:t>
      </w:r>
      <w:r w:rsidRPr="00762113" w:rsidR="00AB3BFD">
        <w:rPr>
          <w:rFonts w:eastAsia="Calibri" w:cstheme="minorHAnsi"/>
        </w:rPr>
        <w:t>This</w:t>
      </w:r>
      <w:r w:rsidRPr="00762113">
        <w:rPr>
          <w:rFonts w:eastAsia="Calibri" w:cstheme="minorHAnsi"/>
        </w:rPr>
        <w:t xml:space="preserve"> information is not available </w:t>
      </w:r>
      <w:r w:rsidRPr="00762113" w:rsidR="00EF60D2">
        <w:rPr>
          <w:rFonts w:eastAsia="Calibri" w:cstheme="minorHAnsi"/>
        </w:rPr>
        <w:t xml:space="preserve">at the time of allocating CZC for </w:t>
      </w:r>
      <w:r w:rsidRPr="00762113" w:rsidR="00EF60D2">
        <w:rPr>
          <w:rFonts w:eastAsia="Calibri" w:cstheme="minorHAnsi"/>
          <w:lang w:val="en-US"/>
        </w:rPr>
        <w:t>exchange of balancing capacity or sharing of reserves</w:t>
      </w:r>
      <w:r w:rsidRPr="00762113" w:rsidR="00EF60D2">
        <w:rPr>
          <w:rFonts w:eastAsia="Calibri" w:cstheme="minorHAnsi"/>
        </w:rPr>
        <w:t xml:space="preserve">, </w:t>
      </w:r>
      <w:r w:rsidRPr="00762113">
        <w:rPr>
          <w:rFonts w:eastAsia="Calibri" w:cstheme="minorHAnsi"/>
        </w:rPr>
        <w:t>and an approximation must be implemented. A significant gain in simplicity can be achieved when individual bids are replaced by a continuous supply curve, which determines the supply and demand values for a given clearing price. For the case of supply bids, such a simplification from individual bids to a linear approximation is presented as follows:</w:t>
      </w:r>
    </w:p>
    <w:p w:rsidR="00835604" w:rsidRPr="00762113" w:rsidP="00275B33" w14:paraId="4B165E05" w14:textId="77777777">
      <w:pPr>
        <w:spacing w:after="160" w:line="259" w:lineRule="auto"/>
        <w:jc w:val="both"/>
        <w:rPr>
          <w:rFonts w:eastAsia="Calibri" w:cstheme="minorHAnsi"/>
        </w:rPr>
      </w:pPr>
      <w:r w:rsidRPr="00762113">
        <w:rPr>
          <w:rFonts w:eastAsiaTheme="minorEastAsia"/>
          <w:noProof/>
        </w:rPr>
        <w:drawing>
          <wp:inline distT="0" distB="0" distL="0" distR="0">
            <wp:extent cx="5760720" cy="17348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5760720" cy="1734820"/>
                    </a:xfrm>
                    <a:prstGeom prst="rect">
                      <a:avLst/>
                    </a:prstGeom>
                  </pic:spPr>
                </pic:pic>
              </a:graphicData>
            </a:graphic>
          </wp:inline>
        </w:drawing>
      </w:r>
    </w:p>
    <w:p w:rsidR="00835604" w:rsidRPr="00762113" w:rsidP="00275B33" w14:paraId="3421CCEB" w14:textId="77777777">
      <w:pPr>
        <w:spacing w:after="160" w:line="259" w:lineRule="auto"/>
        <w:jc w:val="both"/>
        <w:rPr>
          <w:rFonts w:eastAsia="Calibri" w:cstheme="minorHAnsi"/>
        </w:rPr>
      </w:pPr>
      <w:r w:rsidRPr="00762113">
        <w:rPr>
          <w:rFonts w:eastAsia="Calibri" w:cstheme="minorHAnsi"/>
        </w:rPr>
        <w:t xml:space="preserve">In the simplified case, a relationship between the output of the aggregate of suppliers in a bidding zone and the clearing price of the bidding zone is established. This can be called “the price-volume sensitivity” of a bidding zone, which can be calculated per bidding zone a by </w:t>
      </w:r>
      <w:r w:rsidRPr="00762113">
        <w:rPr>
          <w:rFonts w:eastAsia="Calibri" w:cstheme="minorHAnsi"/>
        </w:rPr>
        <w:t>analyzing</w:t>
      </w:r>
      <w:r w:rsidRPr="00762113">
        <w:rPr>
          <w:rFonts w:eastAsia="Calibri" w:cstheme="minorHAnsi"/>
        </w:rPr>
        <w:t xml:space="preserve"> clearing data from a statistical sample of MTUs and calculated over average values:</w:t>
      </w:r>
    </w:p>
    <w:p w:rsidR="00835604" w:rsidRPr="00762113" w:rsidP="00275B33" w14:paraId="0FBF2AD1" w14:textId="77777777">
      <w:pPr>
        <w:jc w:val="both"/>
        <w:rPr>
          <w:rFonts w:eastAsiaTheme="minorEastAsia"/>
        </w:rPr>
      </w:pPr>
      <m:oMathPara>
        <m:oMath>
          <m:sSub>
            <m:sSubPr>
              <m:ctrlPr>
                <w:rPr>
                  <w:rFonts w:ascii="Cambria Math" w:hAnsi="Cambria Math"/>
                  <w:i/>
                </w:rPr>
              </m:ctrlPr>
            </m:sSubPr>
            <m:e>
              <m:r>
                <w:rPr>
                  <w:rFonts w:ascii="Cambria Math" w:hAnsi="Cambria Math"/>
                </w:rPr>
                <m:t>α</m:t>
              </m:r>
            </m:e>
            <m:sub>
              <m:r>
                <w:rPr>
                  <w:rFonts w:ascii="Cambria Math" w:hAnsi="Cambria Math"/>
                </w:rPr>
                <m:t>a</m:t>
              </m:r>
            </m:sub>
          </m:sSub>
          <m:r>
            <w:rPr>
              <w:rFonts w:ascii="Cambria Math" w:hAnsi="Cambria Math"/>
            </w:rPr>
            <m:t xml:space="preserve">= </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a</m:t>
                  </m:r>
                </m:sub>
              </m:sSub>
            </m:num>
            <m:den>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a</m:t>
                  </m:r>
                </m:sub>
              </m:sSub>
            </m:den>
          </m:f>
        </m:oMath>
      </m:oMathPara>
    </w:p>
    <w:p w:rsidR="00835604" w:rsidRPr="00762113" w:rsidP="00275B33" w14:paraId="33DA466E" w14:textId="2F3FA140">
      <w:pPr>
        <w:jc w:val="both"/>
        <w:rPr>
          <w:rFonts w:eastAsiaTheme="minorEastAsia"/>
        </w:rPr>
      </w:pPr>
      <w:r w:rsidRPr="00762113">
        <w:rPr>
          <w:rFonts w:eastAsiaTheme="minorEastAsia"/>
        </w:rPr>
        <w:t xml:space="preserve">The </w:t>
      </w:r>
      <w:r w:rsidRPr="00762113" w:rsidR="00475BBC">
        <w:rPr>
          <w:rFonts w:eastAsiaTheme="minorEastAsia"/>
        </w:rPr>
        <w:t>price-volume sensitiv</w:t>
      </w:r>
      <w:r w:rsidRPr="00762113" w:rsidR="00CF357B">
        <w:rPr>
          <w:rFonts w:eastAsiaTheme="minorEastAsia"/>
        </w:rPr>
        <w:t xml:space="preserve">ity </w:t>
      </w:r>
      <m:oMath>
        <m:sSub>
          <m:sSubPr>
            <m:ctrlPr>
              <w:rPr>
                <w:rFonts w:ascii="Cambria Math" w:hAnsi="Cambria Math"/>
                <w:i/>
              </w:rPr>
            </m:ctrlPr>
          </m:sSubPr>
          <m:e>
            <m:r>
              <w:rPr>
                <w:rFonts w:ascii="Cambria Math" w:hAnsi="Cambria Math"/>
              </w:rPr>
              <m:t>α</m:t>
            </m:r>
          </m:e>
          <m:sub>
            <m:r>
              <w:rPr>
                <w:rFonts w:ascii="Cambria Math" w:hAnsi="Cambria Math"/>
              </w:rPr>
              <m:t>a</m:t>
            </m:r>
          </m:sub>
        </m:sSub>
      </m:oMath>
      <w:r w:rsidRPr="00762113">
        <w:rPr>
          <w:rFonts w:eastAsiaTheme="minorEastAsia"/>
        </w:rPr>
        <w:t xml:space="preserve"> allows to estimate the change in day-ahead market clearing price as a function of dispatched generation, which will be used in the following steps to establish a full day-ahead market welfare expression.</w:t>
      </w:r>
    </w:p>
    <w:p w:rsidR="00835604" w:rsidRPr="00762113" w:rsidP="00835604" w14:paraId="57CCADC5" w14:textId="77777777">
      <w:pPr>
        <w:rPr>
          <w:rFonts w:eastAsiaTheme="minorEastAsia"/>
        </w:rPr>
      </w:pPr>
      <m:oMathPara>
        <m:oMath>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a</m:t>
                  </m:r>
                </m:sub>
              </m:sSub>
              <m:r>
                <w:rPr>
                  <w:rFonts w:ascii="Cambria Math" w:hAnsi="Cambria Math"/>
                </w:rPr>
                <m:t xml:space="preserve"> ×α</m:t>
              </m:r>
            </m:e>
            <m:sub>
              <m:r>
                <w:rPr>
                  <w:rFonts w:ascii="Cambria Math" w:hAnsi="Cambria Math"/>
                </w:rPr>
                <m:t>a</m:t>
              </m:r>
            </m:sub>
          </m:sSub>
          <m:r>
            <w:rPr>
              <w:rFonts w:ascii="Cambria Math" w:hAnsi="Cambria Math"/>
            </w:rPr>
            <m:t xml:space="preserve"> </m:t>
          </m:r>
        </m:oMath>
      </m:oMathPara>
    </w:p>
    <w:p w:rsidR="00835604" w:rsidRPr="00762113" w:rsidP="00835604" w14:paraId="6233472A" w14:textId="77777777">
      <w:pPr>
        <w:rPr>
          <w:rFonts w:eastAsiaTheme="minorEastAsia"/>
        </w:rPr>
      </w:pPr>
    </w:p>
    <w:p w:rsidR="00835604" w:rsidRPr="00762113" w:rsidP="00835604" w14:paraId="643E05F9" w14:textId="2C833A4E">
      <w:pPr>
        <w:pStyle w:val="textregular"/>
        <w:rPr>
          <w:rFonts w:eastAsiaTheme="minorEastAsia"/>
          <w:b/>
          <w:bCs/>
        </w:rPr>
      </w:pPr>
      <w:r w:rsidRPr="00762113">
        <w:rPr>
          <w:rStyle w:val="textregularZchn"/>
        </w:rPr>
        <w:t>The simplified representation</w:t>
      </w:r>
      <w:r w:rsidRPr="00762113" w:rsidR="00D46136">
        <w:rPr>
          <w:rStyle w:val="textregularZchn"/>
        </w:rPr>
        <w:t xml:space="preserve"> of the day-ahead market dispatch costs</w:t>
      </w:r>
      <w:r w:rsidRPr="00762113" w:rsidR="008A2B51">
        <w:rPr>
          <w:rStyle w:val="textregularZchn"/>
        </w:rPr>
        <w:t xml:space="preserve"> </w:t>
      </w:r>
      <w:r w:rsidRPr="00762113" w:rsidR="00D46136">
        <w:rPr>
          <w:rStyle w:val="textregularZchn"/>
        </w:rPr>
        <w:t>which uses</w:t>
      </w:r>
      <w:r w:rsidRPr="00762113">
        <w:rPr>
          <w:rStyle w:val="textregularZchn"/>
        </w:rPr>
        <w:t xml:space="preserve"> the price-volume sensitivity parameter, </w:t>
      </w:r>
      <w:r w:rsidRPr="00762113" w:rsidR="008A2B51">
        <w:rPr>
          <w:rStyle w:val="textregularZchn"/>
        </w:rPr>
        <w:t>shall in this document be named</w:t>
      </w:r>
      <w:r w:rsidRPr="00762113">
        <w:rPr>
          <w:rStyle w:val="textregularZchn"/>
        </w:rPr>
        <w:t xml:space="preserve"> the</w:t>
      </w:r>
      <w:r w:rsidRPr="00762113">
        <w:rPr>
          <w:rFonts w:eastAsiaTheme="minorEastAsia"/>
        </w:rPr>
        <w:t xml:space="preserve"> </w:t>
      </w:r>
      <w:r w:rsidRPr="00762113">
        <w:rPr>
          <w:rFonts w:eastAsiaTheme="minorEastAsia"/>
          <w:b/>
          <w:bCs/>
        </w:rPr>
        <w:t>day-ahead forecast proxy.</w:t>
      </w:r>
    </w:p>
    <w:p w:rsidR="0067746F" w:rsidRPr="00762113" w:rsidP="00275B33" w14:paraId="07A615F6" w14:textId="77777777">
      <w:pPr>
        <w:jc w:val="both"/>
        <w:rPr>
          <w:rFonts w:eastAsiaTheme="minorEastAsia"/>
          <w:b/>
          <w:bCs/>
        </w:rPr>
      </w:pPr>
      <w:r w:rsidRPr="00762113">
        <w:rPr>
          <w:rFonts w:eastAsiaTheme="minorEastAsia"/>
        </w:rPr>
        <w:t xml:space="preserve">The day-ahead forecast proxy allows to </w:t>
      </w:r>
      <w:r w:rsidRPr="00762113" w:rsidR="00596684">
        <w:rPr>
          <w:rFonts w:eastAsiaTheme="minorEastAsia"/>
        </w:rPr>
        <w:t>approximate the price and volume interaction between several bidding zones and bidding zone borders. A simple example of such approximation between two bidding zones is illustrated below.</w:t>
      </w:r>
      <w:r w:rsidRPr="00762113">
        <w:rPr>
          <w:rFonts w:eastAsiaTheme="minorEastAsia"/>
          <w:b/>
          <w:bCs/>
        </w:rPr>
        <w:t xml:space="preserve"> </w:t>
      </w:r>
    </w:p>
    <w:p w:rsidR="0067746F" w:rsidRPr="00762113" w:rsidP="0067746F" w14:paraId="1EDB1B26" w14:textId="77777777">
      <w:pPr>
        <w:rPr>
          <w:rFonts w:eastAsiaTheme="minorEastAsia"/>
          <w:b/>
          <w:bCs/>
        </w:rPr>
      </w:pPr>
    </w:p>
    <w:p w:rsidR="0067746F" w:rsidRPr="00762113" w:rsidP="0067746F" w14:paraId="0B29F577" w14:textId="2386256A">
      <w:pPr>
        <w:rPr>
          <w:rFonts w:eastAsiaTheme="minorEastAsia"/>
          <w:b/>
          <w:bCs/>
        </w:rPr>
      </w:pPr>
      <w:r w:rsidRPr="00762113">
        <w:rPr>
          <w:rFonts w:eastAsiaTheme="minorEastAsia"/>
          <w:b/>
          <w:bCs/>
        </w:rPr>
        <w:t>Example of price-volume sensitivity</w:t>
      </w:r>
      <w:r w:rsidRPr="00762113" w:rsidR="00F543EE">
        <w:rPr>
          <w:rFonts w:eastAsiaTheme="minorEastAsia"/>
          <w:b/>
          <w:bCs/>
        </w:rPr>
        <w:t xml:space="preserve"> mechanic</w:t>
      </w:r>
      <w:r w:rsidRPr="00762113" w:rsidR="005478BF">
        <w:rPr>
          <w:rFonts w:eastAsiaTheme="minorEastAsia"/>
          <w:b/>
          <w:bCs/>
        </w:rPr>
        <w:t xml:space="preserve"> between two congested bidding zones</w:t>
      </w:r>
    </w:p>
    <w:p w:rsidR="00113422" w:rsidRPr="00762113" w:rsidP="0067746F" w14:paraId="4A7920A9" w14:textId="77777777">
      <w:pPr>
        <w:rPr>
          <w:rFonts w:eastAsiaTheme="minorEastAsia"/>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7"/>
        <w:gridCol w:w="4757"/>
      </w:tblGrid>
      <w:tr w14:paraId="3BD28423" w14:textId="77777777" w:rsidTr="66D844A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57" w:type="dxa"/>
          </w:tcPr>
          <w:p w:rsidR="005D7612" w:rsidRPr="00762113" w:rsidP="005D7612" w14:paraId="6B21470A" w14:textId="5154DA2E">
            <w:pPr>
              <w:rPr>
                <w:rFonts w:eastAsiaTheme="minorEastAsia"/>
                <w:b/>
                <w:bCs/>
              </w:rPr>
            </w:pPr>
            <w:r w:rsidRPr="00762113">
              <w:rPr>
                <w:rFonts w:eastAsiaTheme="minorEastAsia"/>
                <w:b/>
                <w:bCs/>
              </w:rPr>
              <w:t>Bidding zone</w:t>
            </w:r>
            <w:r w:rsidRPr="00762113">
              <w:rPr>
                <w:rFonts w:eastAsiaTheme="minorEastAsia"/>
                <w:b/>
                <w:bCs/>
              </w:rPr>
              <w:t xml:space="preserve"> A forecast values:</w:t>
            </w:r>
          </w:p>
          <w:p w:rsidR="005D7612" w:rsidRPr="00762113" w:rsidP="005D7612" w14:paraId="76AF3447" w14:textId="77777777">
            <w:pPr>
              <w:rPr>
                <w:rFonts w:eastAsiaTheme="minorEastAsia"/>
              </w:rPr>
            </w:pPr>
            <w:r w:rsidRPr="00762113">
              <w:rPr>
                <w:rFonts w:eastAsiaTheme="minorEastAsia"/>
              </w:rPr>
              <w:t>Net position: +200 MW</w:t>
            </w:r>
          </w:p>
          <w:p w:rsidR="005D7612" w:rsidRPr="00762113" w:rsidP="005D7612" w14:paraId="3A758C7E" w14:textId="77777777">
            <w:pPr>
              <w:rPr>
                <w:rFonts w:eastAsiaTheme="minorEastAsia"/>
              </w:rPr>
            </w:pPr>
            <w:r w:rsidRPr="00762113">
              <w:rPr>
                <w:rFonts w:eastAsiaTheme="minorEastAsia"/>
              </w:rPr>
              <w:t>DAM price: 40 €/MWh</w:t>
            </w:r>
          </w:p>
          <w:p w:rsidR="005D7612" w:rsidRPr="00762113" w:rsidP="005D7612" w14:paraId="07740D78" w14:textId="4A9B8BA0">
            <w:pPr>
              <w:rPr>
                <w:rFonts w:eastAsiaTheme="minorEastAsia"/>
              </w:rPr>
            </w:pPr>
            <m:oMath>
              <m:r>
                <w:rPr>
                  <w:rFonts w:ascii="Cambria Math" w:hAnsi="Cambria Math"/>
                </w:rPr>
                <m:t>α</m:t>
              </m:r>
            </m:oMath>
            <w:r w:rsidRPr="00762113">
              <w:rPr>
                <w:rFonts w:eastAsiaTheme="minorEastAsia"/>
              </w:rPr>
              <w:t xml:space="preserve"> = 0,04 €/MW</w:t>
            </w:r>
          </w:p>
        </w:tc>
        <w:tc>
          <w:tcPr>
            <w:tcW w:w="4757" w:type="dxa"/>
          </w:tcPr>
          <w:p w:rsidR="005D7612" w:rsidRPr="00762113" w:rsidP="005D7612" w14:paraId="78987554" w14:textId="5892C96B">
            <w:pPr>
              <w:rPr>
                <w:rFonts w:eastAsiaTheme="minorEastAsia"/>
                <w:b/>
                <w:bCs/>
              </w:rPr>
            </w:pPr>
            <w:r w:rsidRPr="00762113">
              <w:rPr>
                <w:rFonts w:eastAsiaTheme="minorEastAsia"/>
                <w:b/>
                <w:bCs/>
              </w:rPr>
              <w:t>Bidding zone</w:t>
            </w:r>
            <w:r w:rsidRPr="00762113">
              <w:rPr>
                <w:rFonts w:eastAsiaTheme="minorEastAsia"/>
                <w:b/>
                <w:bCs/>
              </w:rPr>
              <w:t xml:space="preserve"> B forecast values:</w:t>
            </w:r>
          </w:p>
          <w:p w:rsidR="005D7612" w:rsidRPr="00762113" w:rsidP="005D7612" w14:paraId="0BDA1B05" w14:textId="77777777">
            <w:pPr>
              <w:rPr>
                <w:rFonts w:eastAsiaTheme="minorEastAsia"/>
              </w:rPr>
            </w:pPr>
            <w:r w:rsidRPr="00762113">
              <w:rPr>
                <w:rFonts w:eastAsiaTheme="minorEastAsia"/>
              </w:rPr>
              <w:t>Net position: -200 MW</w:t>
            </w:r>
          </w:p>
          <w:p w:rsidR="005D7612" w:rsidRPr="00762113" w:rsidP="005D7612" w14:paraId="494B39E6" w14:textId="77777777">
            <w:pPr>
              <w:rPr>
                <w:rFonts w:eastAsiaTheme="minorEastAsia"/>
              </w:rPr>
            </w:pPr>
            <w:r w:rsidRPr="00762113">
              <w:rPr>
                <w:rFonts w:eastAsiaTheme="minorEastAsia"/>
              </w:rPr>
              <w:t>DAM price: 50 €/MWh</w:t>
            </w:r>
          </w:p>
          <w:p w:rsidR="005D7612" w:rsidRPr="00762113" w:rsidP="005D7612" w14:paraId="0A355A36" w14:textId="0CCA9DC1">
            <w:pPr>
              <w:rPr>
                <w:rFonts w:eastAsiaTheme="minorEastAsia"/>
              </w:rPr>
            </w:pPr>
            <m:oMath>
              <m:r>
                <w:rPr>
                  <w:rFonts w:ascii="Cambria Math" w:hAnsi="Cambria Math"/>
                </w:rPr>
                <m:t>α</m:t>
              </m:r>
            </m:oMath>
            <w:r w:rsidRPr="00762113">
              <w:rPr>
                <w:rFonts w:eastAsiaTheme="minorEastAsia"/>
              </w:rPr>
              <w:t xml:space="preserve"> = 0,08 €/MW</w:t>
            </w:r>
          </w:p>
        </w:tc>
      </w:tr>
    </w:tbl>
    <w:p w:rsidR="66D844A7" w:rsidRPr="00762113" w14:paraId="30C7A20E" w14:textId="054081C1"/>
    <w:p w:rsidR="0067746F" w:rsidRPr="00762113" w:rsidP="0067746F" w14:paraId="24536260" w14:textId="77777777">
      <w:pPr>
        <w:rPr>
          <w:rFonts w:eastAsiaTheme="minorEastAsia"/>
        </w:rPr>
      </w:pPr>
    </w:p>
    <w:p w:rsidR="0067746F" w:rsidRPr="00762113" w:rsidP="0067746F" w14:paraId="2DF1BB4B" w14:textId="0BF44399">
      <w:pPr>
        <w:rPr>
          <w:rFonts w:eastAsiaTheme="minorEastAsia"/>
          <w:b/>
          <w:bCs/>
        </w:rPr>
      </w:pPr>
      <w:r w:rsidRPr="00762113">
        <w:rPr>
          <w:rFonts w:eastAsiaTheme="minorEastAsia"/>
          <w:b/>
          <w:bCs/>
        </w:rPr>
        <w:t>Forecast situation</w:t>
      </w:r>
    </w:p>
    <w:p w:rsidR="0067746F" w:rsidRPr="00762113" w:rsidP="0067746F" w14:paraId="2DAAEB7D" w14:textId="77777777">
      <w:pPr>
        <w:rPr>
          <w:rFonts w:eastAsiaTheme="minorEastAsia"/>
        </w:rPr>
      </w:pPr>
      <w:r w:rsidRPr="00762113">
        <w:rPr>
          <w:rFonts w:eastAsiaTheme="minorEastAsia"/>
        </w:rPr>
        <w:t>NTC between BZ A and BZ B is 200 MW.</w:t>
      </w:r>
    </w:p>
    <w:p w:rsidR="0067746F" w:rsidRPr="00762113" w:rsidP="0067746F" w14:paraId="4D3745C7" w14:textId="77777777">
      <w:pPr>
        <w:rPr>
          <w:rFonts w:eastAsiaTheme="minorEastAsia"/>
        </w:rPr>
      </w:pPr>
    </w:p>
    <w:p w:rsidR="0067746F" w:rsidRPr="00762113" w:rsidP="0067746F" w14:paraId="1118D994" w14:textId="77777777">
      <w:r w:rsidRPr="00762113">
        <w:rPr>
          <w:noProof/>
        </w:rPr>
        <mc:AlternateContent>
          <mc:Choice Requires="wps">
            <w:drawing>
              <wp:anchor distT="45720" distB="45720" distL="114300" distR="114300" simplePos="0" relativeHeight="251681792" behindDoc="0" locked="0" layoutInCell="1" allowOverlap="1">
                <wp:simplePos x="0" y="0"/>
                <wp:positionH relativeFrom="column">
                  <wp:posOffset>2292350</wp:posOffset>
                </wp:positionH>
                <wp:positionV relativeFrom="paragraph">
                  <wp:posOffset>15875</wp:posOffset>
                </wp:positionV>
                <wp:extent cx="1282700" cy="462280"/>
                <wp:effectExtent l="0" t="0" r="0" b="0"/>
                <wp:wrapSquare wrapText="bothSides"/>
                <wp:docPr id="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82700" cy="462280"/>
                        </a:xfrm>
                        <a:prstGeom prst="rect">
                          <a:avLst/>
                        </a:prstGeom>
                        <a:solidFill>
                          <a:srgbClr val="FFFFFF"/>
                        </a:solidFill>
                        <a:ln w="9525">
                          <a:noFill/>
                          <a:miter lim="800000"/>
                          <a:headEnd/>
                          <a:tailEnd/>
                        </a:ln>
                      </wps:spPr>
                      <wps:txbx>
                        <w:txbxContent>
                          <w:p w:rsidR="000B4157" w:rsidP="0067746F" w14:textId="12F9045E">
                            <w:r>
                              <w:t>NTC: 200 MW</w:t>
                            </w:r>
                          </w:p>
                          <w:p w:rsidR="0067746F" w:rsidP="0067746F" w14:textId="5A1B82E9">
                            <w:r>
                              <w:t>DA flow: 200 MW</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01pt;height:36.4pt;margin-top:1.25pt;margin-left:180.5pt;mso-height-percent:0;mso-height-relative:margin;mso-width-percent:0;mso-width-relative:margin;mso-wrap-distance-bottom:3.6pt;mso-wrap-distance-left:9pt;mso-wrap-distance-right:9pt;mso-wrap-distance-top:3.6pt;mso-wrap-style:square;position:absolute;visibility:visible;v-text-anchor:top;z-index:251682816" stroked="f">
                <v:textbox>
                  <w:txbxContent>
                    <w:p w:rsidR="000B4157" w:rsidP="0067746F" w14:paraId="6C79F9C3" w14:textId="12F9045E">
                      <w:r>
                        <w:t>NTC: 200 MW</w:t>
                      </w:r>
                    </w:p>
                    <w:p w:rsidR="0067746F" w:rsidP="0067746F" w14:paraId="73876814" w14:textId="5A1B82E9">
                      <w:r>
                        <w:t>DA flow: 200 MW</w:t>
                      </w:r>
                    </w:p>
                  </w:txbxContent>
                </v:textbox>
                <w10:wrap type="square"/>
              </v:shape>
            </w:pict>
          </mc:Fallback>
        </mc:AlternateContent>
      </w:r>
      <w:r w:rsidRPr="00762113">
        <w:rPr>
          <w:noProof/>
        </w:rPr>
        <mc:AlternateContent>
          <mc:Choice Requires="wps">
            <w:drawing>
              <wp:anchor distT="45720" distB="45720" distL="114300" distR="114300" simplePos="0" relativeHeight="251678720" behindDoc="0" locked="0" layoutInCell="1" allowOverlap="1">
                <wp:simplePos x="0" y="0"/>
                <wp:positionH relativeFrom="column">
                  <wp:posOffset>4012565</wp:posOffset>
                </wp:positionH>
                <wp:positionV relativeFrom="paragraph">
                  <wp:posOffset>140970</wp:posOffset>
                </wp:positionV>
                <wp:extent cx="1784350" cy="641350"/>
                <wp:effectExtent l="0" t="0" r="25400" b="25400"/>
                <wp:wrapSquare wrapText="bothSides"/>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84350" cy="641350"/>
                        </a:xfrm>
                        <a:prstGeom prst="rect">
                          <a:avLst/>
                        </a:prstGeom>
                        <a:solidFill>
                          <a:srgbClr val="FFFFFF"/>
                        </a:solidFill>
                        <a:ln w="9525">
                          <a:solidFill>
                            <a:srgbClr val="000000"/>
                          </a:solidFill>
                          <a:miter lim="800000"/>
                          <a:headEnd/>
                          <a:tailEnd/>
                        </a:ln>
                      </wps:spPr>
                      <wps:txbx>
                        <w:txbxContent>
                          <w:p w:rsidR="0067746F" w:rsidP="0067746F" w14:textId="5B2F9A29">
                            <w:r>
                              <w:t>Bidding zone</w:t>
                            </w:r>
                            <w:r>
                              <w:t xml:space="preserve"> B</w:t>
                            </w:r>
                          </w:p>
                          <w:p w:rsidR="0067746F" w:rsidP="0067746F" w14:textId="77777777">
                            <w:r>
                              <w:t>Price = 50 €/MWh</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140.5pt;height:50.5pt;margin-top:11.1pt;margin-left:315.95pt;mso-height-percent:0;mso-height-relative:margin;mso-width-percent:0;mso-width-relative:margin;mso-wrap-distance-bottom:3.6pt;mso-wrap-distance-left:9pt;mso-wrap-distance-right:9pt;mso-wrap-distance-top:3.6pt;mso-wrap-style:square;position:absolute;visibility:visible;v-text-anchor:top;z-index:251679744">
                <v:textbox>
                  <w:txbxContent>
                    <w:p w:rsidR="0067746F" w:rsidP="0067746F" w14:paraId="2CB0C18D" w14:textId="5B2F9A29">
                      <w:r>
                        <w:t>Bidding zone</w:t>
                      </w:r>
                      <w:r>
                        <w:t xml:space="preserve"> B</w:t>
                      </w:r>
                    </w:p>
                    <w:p w:rsidR="0067746F" w:rsidP="0067746F" w14:paraId="13FE027C" w14:textId="77777777">
                      <w:r>
                        <w:t>Price = 50 €/MWh</w:t>
                      </w:r>
                    </w:p>
                  </w:txbxContent>
                </v:textbox>
                <w10:wrap type="square"/>
              </v:shape>
            </w:pict>
          </mc:Fallback>
        </mc:AlternateContent>
      </w:r>
      <w:r w:rsidRPr="00762113">
        <w:rPr>
          <w:noProof/>
        </w:rPr>
        <mc:AlternateContent>
          <mc:Choice Requires="wps">
            <w:drawing>
              <wp:anchor distT="45720" distB="45720" distL="114300" distR="114300" simplePos="0" relativeHeight="251676672" behindDoc="0" locked="0" layoutInCell="1" allowOverlap="1">
                <wp:simplePos x="0" y="0"/>
                <wp:positionH relativeFrom="column">
                  <wp:posOffset>450215</wp:posOffset>
                </wp:positionH>
                <wp:positionV relativeFrom="paragraph">
                  <wp:posOffset>140970</wp:posOffset>
                </wp:positionV>
                <wp:extent cx="1428750" cy="641350"/>
                <wp:effectExtent l="0" t="0" r="19050" b="2540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28750" cy="641350"/>
                        </a:xfrm>
                        <a:prstGeom prst="rect">
                          <a:avLst/>
                        </a:prstGeom>
                        <a:solidFill>
                          <a:srgbClr val="FFFFFF"/>
                        </a:solidFill>
                        <a:ln w="9525">
                          <a:solidFill>
                            <a:srgbClr val="000000"/>
                          </a:solidFill>
                          <a:miter lim="800000"/>
                          <a:headEnd/>
                          <a:tailEnd/>
                        </a:ln>
                      </wps:spPr>
                      <wps:txbx>
                        <w:txbxContent>
                          <w:p w:rsidR="0067746F" w:rsidP="0067746F" w14:textId="453000BD">
                            <w:r>
                              <w:t>Bidding zone</w:t>
                            </w:r>
                            <w:r>
                              <w:t xml:space="preserve"> A</w:t>
                            </w:r>
                          </w:p>
                          <w:p w:rsidR="0067746F" w:rsidP="0067746F" w14:textId="77777777">
                            <w:r>
                              <w:t>Price = 40 €/MWh</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12.5pt;height:50.5pt;margin-top:11.1pt;margin-left:35.45pt;mso-height-percent:0;mso-height-relative:margin;mso-width-percent:0;mso-width-relative:margin;mso-wrap-distance-bottom:3.6pt;mso-wrap-distance-left:9pt;mso-wrap-distance-right:9pt;mso-wrap-distance-top:3.6pt;mso-wrap-style:square;position:absolute;visibility:visible;v-text-anchor:top;z-index:251677696">
                <v:textbox>
                  <w:txbxContent>
                    <w:p w:rsidR="0067746F" w:rsidP="0067746F" w14:paraId="12B214BC" w14:textId="453000BD">
                      <w:r>
                        <w:t>Bidding zone</w:t>
                      </w:r>
                      <w:r>
                        <w:t xml:space="preserve"> A</w:t>
                      </w:r>
                    </w:p>
                    <w:p w:rsidR="0067746F" w:rsidP="0067746F" w14:paraId="54D220ED" w14:textId="77777777">
                      <w:r>
                        <w:t>Price = 40 €/MWh</w:t>
                      </w:r>
                    </w:p>
                  </w:txbxContent>
                </v:textbox>
                <w10:wrap type="square"/>
              </v:shape>
            </w:pict>
          </mc:Fallback>
        </mc:AlternateContent>
      </w:r>
      <w:r w:rsidRPr="00762113">
        <w:rPr>
          <w:noProof/>
        </w:rPr>
        <mc:AlternateContent>
          <mc:Choice Requires="wps">
            <w:drawing>
              <wp:anchor distT="0" distB="0" distL="114300" distR="114300" simplePos="0" relativeHeight="251680768" behindDoc="0" locked="0" layoutInCell="1" allowOverlap="1">
                <wp:simplePos x="0" y="0"/>
                <wp:positionH relativeFrom="column">
                  <wp:posOffset>1917065</wp:posOffset>
                </wp:positionH>
                <wp:positionV relativeFrom="paragraph">
                  <wp:posOffset>344170</wp:posOffset>
                </wp:positionV>
                <wp:extent cx="2032000" cy="133350"/>
                <wp:effectExtent l="0" t="19050" r="44450" b="38100"/>
                <wp:wrapNone/>
                <wp:docPr id="5" name="Arrow: Right 5"/>
                <wp:cNvGraphicFramePr/>
                <a:graphic xmlns:a="http://schemas.openxmlformats.org/drawingml/2006/main">
                  <a:graphicData uri="http://schemas.microsoft.com/office/word/2010/wordprocessingShape">
                    <wps:wsp xmlns:wps="http://schemas.microsoft.com/office/word/2010/wordprocessingShape">
                      <wps:cNvSpPr/>
                      <wps:spPr>
                        <a:xfrm>
                          <a:off x="0" y="0"/>
                          <a:ext cx="2032000"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8" type="#_x0000_t13" style="width:160pt;height:10.5pt;margin-top:27.1pt;margin-left:150.95pt;mso-height-percent:0;mso-height-relative:margin;mso-width-percent:0;mso-width-relative:margin;mso-wrap-distance-bottom:0;mso-wrap-distance-left:9pt;mso-wrap-distance-right:9pt;mso-wrap-distance-top:0;mso-wrap-style:square;position:absolute;visibility:visible;v-text-anchor:middle;z-index:251693056" adj="20891" fillcolor="#4472c4" strokecolor="#1f3763" strokeweight="1pt"/>
            </w:pict>
          </mc:Fallback>
        </mc:AlternateContent>
      </w:r>
    </w:p>
    <w:p w:rsidR="0067746F" w:rsidRPr="00762113" w:rsidP="0067746F" w14:paraId="015FBAF7" w14:textId="77777777"/>
    <w:p w:rsidR="0067746F" w:rsidRPr="00762113" w:rsidP="0067746F" w14:paraId="5094520C" w14:textId="77777777"/>
    <w:p w:rsidR="0067746F" w:rsidRPr="00762113" w:rsidP="0067746F" w14:paraId="651C78AA" w14:textId="77777777"/>
    <w:p w:rsidR="0067746F" w:rsidRPr="00762113" w:rsidP="0067746F" w14:paraId="104E030D" w14:textId="77777777"/>
    <w:p w:rsidR="0067746F" w:rsidRPr="00762113" w:rsidP="0067746F" w14:paraId="1BD7D5C7" w14:textId="77777777"/>
    <w:p w:rsidR="00F543EE" w:rsidRPr="00762113" w:rsidP="0067746F" w14:paraId="5D2E0D0A" w14:textId="34D1EE8B">
      <w:pPr>
        <w:rPr>
          <w:b/>
          <w:bCs/>
        </w:rPr>
      </w:pPr>
      <w:r w:rsidRPr="00762113">
        <w:rPr>
          <w:b/>
          <w:bCs/>
        </w:rPr>
        <w:t>Realized actual situation</w:t>
      </w:r>
    </w:p>
    <w:p w:rsidR="0067746F" w:rsidRPr="00762113" w:rsidP="0067746F" w14:paraId="4230F4C8" w14:textId="16768DE3">
      <w:r w:rsidRPr="00762113">
        <w:t>Compared to the forecast situation, the NTC between A and B is reduced by 50 MW.</w:t>
      </w:r>
      <w:r w:rsidRPr="00762113">
        <w:br/>
      </w:r>
    </w:p>
    <w:p w:rsidR="0067746F" w:rsidRPr="00762113" w:rsidP="0067746F" w14:paraId="6B2B6D0D" w14:textId="77777777"/>
    <w:p w:rsidR="0067746F" w:rsidRPr="00762113" w:rsidP="0067746F" w14:paraId="7C03881A" w14:textId="77777777">
      <w:r w:rsidRPr="00762113">
        <w:rPr>
          <w:noProof/>
        </w:rPr>
        <mc:AlternateContent>
          <mc:Choice Requires="wps">
            <w:drawing>
              <wp:anchor distT="45720" distB="45720" distL="114300" distR="114300" simplePos="0" relativeHeight="251688960" behindDoc="0" locked="0" layoutInCell="1" allowOverlap="1">
                <wp:simplePos x="0" y="0"/>
                <wp:positionH relativeFrom="column">
                  <wp:posOffset>2260600</wp:posOffset>
                </wp:positionH>
                <wp:positionV relativeFrom="paragraph">
                  <wp:posOffset>4445</wp:posOffset>
                </wp:positionV>
                <wp:extent cx="1282700" cy="478155"/>
                <wp:effectExtent l="0" t="0" r="0" b="0"/>
                <wp:wrapSquare wrapText="bothSides"/>
                <wp:docPr id="1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82700" cy="478155"/>
                        </a:xfrm>
                        <a:prstGeom prst="rect">
                          <a:avLst/>
                        </a:prstGeom>
                        <a:solidFill>
                          <a:srgbClr val="FFFFFF"/>
                        </a:solidFill>
                        <a:ln w="9525">
                          <a:noFill/>
                          <a:miter lim="800000"/>
                          <a:headEnd/>
                          <a:tailEnd/>
                        </a:ln>
                      </wps:spPr>
                      <wps:txbx>
                        <w:txbxContent>
                          <w:p w:rsidR="000B4157" w:rsidP="0067746F" w14:textId="7D33AA53">
                            <w:r>
                              <w:t>NTC: 150 MW</w:t>
                            </w:r>
                          </w:p>
                          <w:p w:rsidR="0067746F" w:rsidP="0067746F" w14:textId="5601477F">
                            <w:r>
                              <w:t>DA flow: 150 MW</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101pt;height:37.65pt;margin-top:0.35pt;margin-left:178pt;mso-height-percent:0;mso-height-relative:margin;mso-width-percent:0;mso-width-relative:margin;mso-wrap-distance-bottom:3.6pt;mso-wrap-distance-left:9pt;mso-wrap-distance-right:9pt;mso-wrap-distance-top:3.6pt;mso-wrap-style:square;position:absolute;visibility:visible;v-text-anchor:top;z-index:251689984" stroked="f">
                <v:textbox>
                  <w:txbxContent>
                    <w:p w:rsidR="000B4157" w:rsidP="0067746F" w14:paraId="0A20A8A2" w14:textId="7D33AA53">
                      <w:r>
                        <w:t>NTC: 150 MW</w:t>
                      </w:r>
                    </w:p>
                    <w:p w:rsidR="0067746F" w:rsidP="0067746F" w14:paraId="1C45F985" w14:textId="5601477F">
                      <w:r>
                        <w:t>DA flow: 150 MW</w:t>
                      </w:r>
                    </w:p>
                  </w:txbxContent>
                </v:textbox>
                <w10:wrap type="square"/>
              </v:shape>
            </w:pict>
          </mc:Fallback>
        </mc:AlternateContent>
      </w:r>
      <w:r w:rsidRPr="00762113">
        <w:rPr>
          <w:noProof/>
        </w:rPr>
        <mc:AlternateContent>
          <mc:Choice Requires="wps">
            <w:drawing>
              <wp:anchor distT="45720" distB="45720" distL="114300" distR="114300" simplePos="0" relativeHeight="251683840" behindDoc="0" locked="0" layoutInCell="1" allowOverlap="1">
                <wp:simplePos x="0" y="0"/>
                <wp:positionH relativeFrom="column">
                  <wp:posOffset>139065</wp:posOffset>
                </wp:positionH>
                <wp:positionV relativeFrom="paragraph">
                  <wp:posOffset>62865</wp:posOffset>
                </wp:positionV>
                <wp:extent cx="1651000" cy="641350"/>
                <wp:effectExtent l="0" t="0" r="25400" b="25400"/>
                <wp:wrapSquare wrapText="bothSides"/>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51000" cy="641350"/>
                        </a:xfrm>
                        <a:prstGeom prst="rect">
                          <a:avLst/>
                        </a:prstGeom>
                        <a:solidFill>
                          <a:srgbClr val="FFFFFF"/>
                        </a:solidFill>
                        <a:ln w="9525">
                          <a:solidFill>
                            <a:srgbClr val="000000"/>
                          </a:solidFill>
                          <a:miter lim="800000"/>
                          <a:headEnd/>
                          <a:tailEnd/>
                        </a:ln>
                      </wps:spPr>
                      <wps:txbx>
                        <w:txbxContent>
                          <w:p w:rsidR="0067746F" w:rsidP="0067746F" w14:textId="5B11C098">
                            <w:r>
                              <w:t>Bidding zone</w:t>
                            </w:r>
                            <w:r>
                              <w:t xml:space="preserve"> A</w:t>
                            </w:r>
                          </w:p>
                          <w:p w:rsidR="0067746F" w:rsidP="0067746F" w14:textId="77777777">
                            <w:r>
                              <w:t xml:space="preserve">Price = 40 – 0,04* 50 = </w:t>
                            </w:r>
                            <w:r>
                              <w:rPr>
                                <w:lang w:val="en-US"/>
                              </w:rPr>
                              <w:t>3</w:t>
                            </w:r>
                            <w:r>
                              <w:t>8 €/MWh</w:t>
                            </w:r>
                          </w:p>
                          <w:p w:rsidR="0067746F" w:rsidP="0067746F"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130pt;height:50.5pt;margin-top:4.95pt;margin-left:10.95pt;mso-height-percent:0;mso-height-relative:margin;mso-width-percent:0;mso-width-relative:margin;mso-wrap-distance-bottom:3.6pt;mso-wrap-distance-left:9pt;mso-wrap-distance-right:9pt;mso-wrap-distance-top:3.6pt;mso-wrap-style:square;position:absolute;visibility:visible;v-text-anchor:top;z-index:251684864">
                <v:textbox>
                  <w:txbxContent>
                    <w:p w:rsidR="0067746F" w:rsidP="0067746F" w14:paraId="4382197D" w14:textId="5B11C098">
                      <w:r>
                        <w:t>Bidding zone</w:t>
                      </w:r>
                      <w:r>
                        <w:t xml:space="preserve"> A</w:t>
                      </w:r>
                    </w:p>
                    <w:p w:rsidR="0067746F" w:rsidP="0067746F" w14:paraId="7118B6C2" w14:textId="77777777">
                      <w:r>
                        <w:t xml:space="preserve">Price = 40 – 0,04* 50 = </w:t>
                      </w:r>
                      <w:r>
                        <w:rPr>
                          <w:lang w:val="en-US"/>
                        </w:rPr>
                        <w:t>3</w:t>
                      </w:r>
                      <w:r>
                        <w:t>8 €/MWh</w:t>
                      </w:r>
                    </w:p>
                    <w:p w:rsidR="0067746F" w:rsidP="0067746F" w14:paraId="5C283553" w14:textId="77777777"/>
                  </w:txbxContent>
                </v:textbox>
                <w10:wrap type="square"/>
              </v:shape>
            </w:pict>
          </mc:Fallback>
        </mc:AlternateContent>
      </w:r>
      <w:r w:rsidRPr="00762113">
        <w:rPr>
          <w:noProof/>
        </w:rPr>
        <mc:AlternateContent>
          <mc:Choice Requires="wps">
            <w:drawing>
              <wp:anchor distT="45720" distB="45720" distL="114300" distR="114300" simplePos="0" relativeHeight="251685888" behindDoc="0" locked="0" layoutInCell="1" allowOverlap="1">
                <wp:simplePos x="0" y="0"/>
                <wp:positionH relativeFrom="column">
                  <wp:posOffset>4012565</wp:posOffset>
                </wp:positionH>
                <wp:positionV relativeFrom="paragraph">
                  <wp:posOffset>56515</wp:posOffset>
                </wp:positionV>
                <wp:extent cx="1727200" cy="641350"/>
                <wp:effectExtent l="0" t="0" r="25400" b="25400"/>
                <wp:wrapSquare wrapText="bothSides"/>
                <wp:docPr id="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27200" cy="641350"/>
                        </a:xfrm>
                        <a:prstGeom prst="rect">
                          <a:avLst/>
                        </a:prstGeom>
                        <a:solidFill>
                          <a:srgbClr val="FFFFFF"/>
                        </a:solidFill>
                        <a:ln w="9525">
                          <a:solidFill>
                            <a:srgbClr val="000000"/>
                          </a:solidFill>
                          <a:miter lim="800000"/>
                          <a:headEnd/>
                          <a:tailEnd/>
                        </a:ln>
                      </wps:spPr>
                      <wps:txbx>
                        <w:txbxContent>
                          <w:p w:rsidR="0067746F" w:rsidP="0067746F" w14:textId="64D595CD">
                            <w:r>
                              <w:t>Bidding zone</w:t>
                            </w:r>
                            <w:r>
                              <w:t xml:space="preserve"> B</w:t>
                            </w:r>
                          </w:p>
                          <w:p w:rsidR="0067746F" w:rsidP="0067746F" w14:textId="77777777">
                            <w:r>
                              <w:t>Price= 50 + 0,08*50 =    54 €/MWh</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136pt;height:50.5pt;margin-top:4.45pt;margin-left:315.95pt;mso-height-percent:0;mso-height-relative:margin;mso-width-percent:0;mso-width-relative:margin;mso-wrap-distance-bottom:3.6pt;mso-wrap-distance-left:9pt;mso-wrap-distance-right:9pt;mso-wrap-distance-top:3.6pt;mso-wrap-style:square;position:absolute;visibility:visible;v-text-anchor:top;z-index:251686912">
                <v:textbox>
                  <w:txbxContent>
                    <w:p w:rsidR="0067746F" w:rsidP="0067746F" w14:paraId="0D928CF1" w14:textId="64D595CD">
                      <w:r>
                        <w:t>Bidding zone</w:t>
                      </w:r>
                      <w:r>
                        <w:t xml:space="preserve"> B</w:t>
                      </w:r>
                    </w:p>
                    <w:p w:rsidR="0067746F" w:rsidP="0067746F" w14:paraId="4A35C095" w14:textId="77777777">
                      <w:r>
                        <w:t>Price= 50 + 0,08*50 =    54 €/MWh</w:t>
                      </w:r>
                    </w:p>
                  </w:txbxContent>
                </v:textbox>
                <w10:wrap type="square"/>
              </v:shape>
            </w:pict>
          </mc:Fallback>
        </mc:AlternateContent>
      </w:r>
      <w:r w:rsidRPr="00762113">
        <w:rPr>
          <w:noProof/>
        </w:rPr>
        <mc:AlternateContent>
          <mc:Choice Requires="wps">
            <w:drawing>
              <wp:anchor distT="0" distB="0" distL="114300" distR="114300" simplePos="0" relativeHeight="251687936" behindDoc="0" locked="0" layoutInCell="1" allowOverlap="1">
                <wp:simplePos x="0" y="0"/>
                <wp:positionH relativeFrom="column">
                  <wp:posOffset>1892300</wp:posOffset>
                </wp:positionH>
                <wp:positionV relativeFrom="paragraph">
                  <wp:posOffset>351155</wp:posOffset>
                </wp:positionV>
                <wp:extent cx="2032000" cy="133350"/>
                <wp:effectExtent l="0" t="19050" r="44450" b="38100"/>
                <wp:wrapNone/>
                <wp:docPr id="9" name="Arrow: Right 9"/>
                <wp:cNvGraphicFramePr/>
                <a:graphic xmlns:a="http://schemas.openxmlformats.org/drawingml/2006/main">
                  <a:graphicData uri="http://schemas.microsoft.com/office/word/2010/wordprocessingShape">
                    <wps:wsp xmlns:wps="http://schemas.microsoft.com/office/word/2010/wordprocessingShape">
                      <wps:cNvSpPr/>
                      <wps:spPr>
                        <a:xfrm>
                          <a:off x="0" y="0"/>
                          <a:ext cx="2032000"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Right 9" o:spid="_x0000_s1032" type="#_x0000_t13" style="width:160pt;height:10.5pt;margin-top:27.65pt;margin-left:149pt;mso-height-percent:0;mso-height-relative:margin;mso-width-percent:0;mso-width-relative:margin;mso-wrap-distance-bottom:0;mso-wrap-distance-left:9pt;mso-wrap-distance-right:9pt;mso-wrap-distance-top:0;mso-wrap-style:square;position:absolute;visibility:visible;v-text-anchor:middle;z-index:251694080" adj="20891" fillcolor="#4472c4" strokecolor="#1f3763" strokeweight="1pt"/>
            </w:pict>
          </mc:Fallback>
        </mc:AlternateContent>
      </w:r>
    </w:p>
    <w:p w:rsidR="0067746F" w:rsidRPr="00762113" w:rsidP="0067746F" w14:paraId="2E893B5E" w14:textId="77777777"/>
    <w:p w:rsidR="0067746F" w:rsidRPr="00762113" w:rsidP="0067746F" w14:paraId="61B74A9B" w14:textId="77777777"/>
    <w:p w:rsidR="0067746F" w:rsidRPr="00762113" w:rsidP="0067746F" w14:paraId="4FB604C2" w14:textId="77777777"/>
    <w:p w:rsidR="00637E86" w:rsidRPr="00762113" w:rsidP="00835604" w14:paraId="26938A4C" w14:textId="14E16843">
      <w:pPr>
        <w:pStyle w:val="textregular"/>
        <w:rPr>
          <w:rFonts w:eastAsiaTheme="minorEastAsia"/>
        </w:rPr>
      </w:pPr>
    </w:p>
    <w:p w:rsidR="00835604" w:rsidRPr="00762113" w:rsidP="0056367E" w14:paraId="3A781AFE" w14:textId="1E3898C6">
      <w:pPr>
        <w:pStyle w:val="headline3"/>
        <w:numPr>
          <w:ilvl w:val="2"/>
          <w:numId w:val="1"/>
        </w:numPr>
        <w:rPr>
          <w:rFonts w:eastAsia="Calibri"/>
        </w:rPr>
      </w:pPr>
      <w:bookmarkStart w:id="8" w:name="_Ref107401197"/>
      <w:bookmarkStart w:id="9" w:name="_Toc113284206"/>
      <w:r w:rsidRPr="00762113">
        <w:rPr>
          <w:rFonts w:eastAsia="Calibri"/>
        </w:rPr>
        <w:t>Building the day-ahead forecast proxy</w:t>
      </w:r>
      <w:bookmarkEnd w:id="8"/>
      <w:bookmarkEnd w:id="9"/>
    </w:p>
    <w:p w:rsidR="000A3843" w:rsidRPr="00762113" w:rsidP="00275B33" w14:paraId="034E8D91" w14:textId="52912562">
      <w:pPr>
        <w:jc w:val="both"/>
      </w:pPr>
      <w:r w:rsidRPr="00762113">
        <w:t xml:space="preserve">In order to express the </w:t>
      </w:r>
      <w:r w:rsidRPr="00762113" w:rsidR="0067746F">
        <w:t>realistic</w:t>
      </w:r>
      <w:r w:rsidRPr="00762113">
        <w:t xml:space="preserve"> price-volume interaction in the balancing capacity procurement optimization function, </w:t>
      </w:r>
      <w:r w:rsidRPr="00762113" w:rsidR="00534BBC">
        <w:t xml:space="preserve">the price-volume parameter </w:t>
      </w:r>
      <m:oMath>
        <m:sSub>
          <m:sSubPr>
            <m:ctrlPr>
              <w:rPr>
                <w:rFonts w:ascii="Cambria Math" w:hAnsi="Cambria Math"/>
                <w:i/>
              </w:rPr>
            </m:ctrlPr>
          </m:sSubPr>
          <m:e>
            <m:r>
              <w:rPr>
                <w:rFonts w:ascii="Cambria Math" w:hAnsi="Cambria Math"/>
              </w:rPr>
              <m:t>α</m:t>
            </m:r>
          </m:e>
          <m:sub>
            <m:r>
              <w:rPr>
                <w:rFonts w:ascii="Cambria Math" w:hAnsi="Cambria Math"/>
              </w:rPr>
              <m:t>a</m:t>
            </m:r>
          </m:sub>
        </m:sSub>
      </m:oMath>
      <w:r w:rsidRPr="00762113" w:rsidR="00534BBC">
        <w:t xml:space="preserve"> must be correctly determined.</w:t>
      </w:r>
      <w:r w:rsidRPr="00762113" w:rsidR="00EA0FDE">
        <w:t xml:space="preserve"> </w:t>
      </w:r>
      <w:r w:rsidRPr="00762113" w:rsidR="00E844F3">
        <w:t>Without having access to the exact bidding curves in each bidding zone under consideration,</w:t>
      </w:r>
      <w:r w:rsidRPr="00762113" w:rsidR="00865A77">
        <w:t xml:space="preserve"> the approximation must be made through long-term statistical analysis.</w:t>
      </w:r>
    </w:p>
    <w:p w:rsidR="00C4348E" w:rsidRPr="00762113" w:rsidP="00275B33" w14:paraId="5430DFE6" w14:textId="77D1F8CC">
      <w:pPr>
        <w:jc w:val="both"/>
        <w:rPr>
          <w:rFonts w:eastAsia="Calibri" w:cstheme="minorHAnsi"/>
        </w:rPr>
      </w:pPr>
      <w:r w:rsidRPr="00762113">
        <w:rPr>
          <w:rFonts w:eastAsia="Calibri" w:cstheme="minorHAnsi"/>
        </w:rPr>
        <w:t>From a long-period statistical analysis</w:t>
      </w:r>
      <w:r w:rsidRPr="00762113" w:rsidR="00865A77">
        <w:rPr>
          <w:rFonts w:eastAsia="Calibri" w:cstheme="minorHAnsi"/>
        </w:rPr>
        <w:t xml:space="preserve"> </w:t>
      </w:r>
      <w:r w:rsidRPr="00762113">
        <w:rPr>
          <w:rFonts w:eastAsia="Calibri" w:cstheme="minorHAnsi"/>
        </w:rPr>
        <w:t>the price-volume sensitivity parameter is determined</w:t>
      </w:r>
      <w:r w:rsidRPr="00762113" w:rsidR="00865A77">
        <w:rPr>
          <w:rFonts w:eastAsia="Calibri" w:cstheme="minorHAnsi"/>
        </w:rPr>
        <w:t xml:space="preserve"> by observing historic</w:t>
      </w:r>
      <w:r w:rsidRPr="00762113">
        <w:rPr>
          <w:rFonts w:eastAsia="Calibri" w:cstheme="minorHAnsi"/>
        </w:rPr>
        <w:t xml:space="preserve"> </w:t>
      </w:r>
      <w:r w:rsidRPr="00762113" w:rsidR="00865A77">
        <w:rPr>
          <w:rFonts w:eastAsia="Calibri" w:cstheme="minorHAnsi"/>
        </w:rPr>
        <w:t xml:space="preserve">day-ahead market prices, as well as the output of dispatchable generation in the </w:t>
      </w:r>
      <w:r w:rsidRPr="00762113">
        <w:rPr>
          <w:rFonts w:eastAsia="Calibri" w:cstheme="minorHAnsi"/>
        </w:rPr>
        <w:t>bidding zone.</w:t>
      </w:r>
      <w:r w:rsidRPr="00762113">
        <w:rPr>
          <w:rFonts w:eastAsia="Calibri" w:cstheme="minorHAnsi"/>
        </w:rPr>
        <w:t xml:space="preserve"> </w:t>
      </w:r>
    </w:p>
    <w:p w:rsidR="00C4348E" w:rsidRPr="00762113" w:rsidP="00275B33" w14:paraId="565B05DE" w14:textId="5F4FD933">
      <w:pPr>
        <w:jc w:val="both"/>
      </w:pPr>
      <w:r w:rsidRPr="00762113">
        <w:t xml:space="preserve">An illustration of such a statistical sample along with the determine price-volume sensitivities </w:t>
      </w:r>
      <w:r w:rsidRPr="00762113" w:rsidR="00754203">
        <w:t>for the three Baltic bidding zones has been presented in the image below.</w:t>
      </w:r>
    </w:p>
    <w:p w:rsidR="00C4348E" w:rsidRPr="00762113" w:rsidP="00835604" w14:paraId="2E0BC5EF" w14:textId="0ADED1E0">
      <w:pPr>
        <w:rPr>
          <w:rFonts w:eastAsia="Calibri" w:cstheme="minorHAnsi"/>
        </w:rPr>
      </w:pPr>
      <w:r w:rsidRPr="00762113">
        <w:rPr>
          <w:noProof/>
        </w:rPr>
        <w:drawing>
          <wp:inline distT="0" distB="0" distL="0" distR="0">
            <wp:extent cx="6047740" cy="13855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32418" name=""/>
                    <pic:cNvPicPr/>
                  </pic:nvPicPr>
                  <pic:blipFill>
                    <a:blip xmlns:r="http://schemas.openxmlformats.org/officeDocument/2006/relationships" r:embed="rId9"/>
                    <a:stretch>
                      <a:fillRect/>
                    </a:stretch>
                  </pic:blipFill>
                  <pic:spPr>
                    <a:xfrm>
                      <a:off x="0" y="0"/>
                      <a:ext cx="6047740" cy="1385570"/>
                    </a:xfrm>
                    <a:prstGeom prst="rect">
                      <a:avLst/>
                    </a:prstGeom>
                  </pic:spPr>
                </pic:pic>
              </a:graphicData>
            </a:graphic>
          </wp:inline>
        </w:drawing>
      </w:r>
    </w:p>
    <w:p w:rsidR="00C4348E" w:rsidRPr="00762113" w:rsidP="00835604" w14:paraId="14F20EB9" w14:textId="77777777">
      <w:pPr>
        <w:rPr>
          <w:rFonts w:eastAsia="Calibri" w:cstheme="minorHAnsi"/>
        </w:rPr>
      </w:pPr>
    </w:p>
    <w:p w:rsidR="00452056" w:rsidRPr="00762113" w:rsidP="00275B33" w14:paraId="50715F03" w14:textId="0F317045">
      <w:pPr>
        <w:jc w:val="both"/>
        <w:rPr>
          <w:rFonts w:eastAsia="Calibri" w:cstheme="minorHAnsi"/>
        </w:rPr>
      </w:pPr>
      <w:r w:rsidRPr="00762113">
        <w:rPr>
          <w:rFonts w:eastAsia="Calibri" w:cstheme="minorHAnsi"/>
        </w:rPr>
        <w:t xml:space="preserve">As </w:t>
      </w:r>
      <w:r w:rsidRPr="00762113" w:rsidR="00B65B3A">
        <w:rPr>
          <w:rFonts w:eastAsia="Calibri" w:cstheme="minorHAnsi"/>
        </w:rPr>
        <w:t>can be followed</w:t>
      </w:r>
      <w:r w:rsidRPr="00762113">
        <w:rPr>
          <w:rFonts w:eastAsia="Calibri" w:cstheme="minorHAnsi"/>
        </w:rPr>
        <w:t xml:space="preserve"> in the numerical example </w:t>
      </w:r>
      <w:r w:rsidRPr="00762113" w:rsidR="00B65B3A">
        <w:rPr>
          <w:rFonts w:eastAsia="Calibri" w:cstheme="minorHAnsi"/>
        </w:rPr>
        <w:t xml:space="preserve">brought forward </w:t>
      </w:r>
      <w:r w:rsidRPr="00762113">
        <w:rPr>
          <w:rFonts w:eastAsia="Calibri" w:cstheme="minorHAnsi"/>
        </w:rPr>
        <w:t xml:space="preserve">in section </w:t>
      </w:r>
      <w:r w:rsidRPr="00762113">
        <w:rPr>
          <w:rFonts w:eastAsia="Calibri" w:cstheme="minorHAnsi"/>
        </w:rPr>
        <w:fldChar w:fldCharType="begin"/>
      </w:r>
      <w:r w:rsidRPr="00762113">
        <w:rPr>
          <w:rFonts w:eastAsia="Calibri" w:cstheme="minorHAnsi"/>
        </w:rPr>
        <w:instrText xml:space="preserve"> REF _Ref107401197 \r \h </w:instrText>
      </w:r>
      <w:r w:rsidRPr="00762113" w:rsidR="00275B33">
        <w:rPr>
          <w:rFonts w:eastAsia="Calibri" w:cstheme="minorHAnsi"/>
        </w:rPr>
        <w:instrText xml:space="preserve"> \* MERGEFORMAT </w:instrText>
      </w:r>
      <w:r w:rsidRPr="00762113">
        <w:rPr>
          <w:rFonts w:eastAsia="Calibri" w:cstheme="minorHAnsi"/>
        </w:rPr>
        <w:fldChar w:fldCharType="separate"/>
      </w:r>
      <w:r w:rsidRPr="00762113">
        <w:rPr>
          <w:rFonts w:eastAsia="Calibri" w:cstheme="minorHAnsi"/>
        </w:rPr>
        <w:t>2.1.2</w:t>
      </w:r>
      <w:r w:rsidRPr="00762113">
        <w:rPr>
          <w:rFonts w:eastAsia="Calibri" w:cstheme="minorHAnsi"/>
        </w:rPr>
        <w:fldChar w:fldCharType="end"/>
      </w:r>
      <w:r w:rsidRPr="00762113">
        <w:rPr>
          <w:rFonts w:eastAsia="Calibri" w:cstheme="minorHAnsi"/>
        </w:rPr>
        <w:t xml:space="preserve">, only information regarding the value of </w:t>
      </w:r>
      <w:r w:rsidRPr="00762113" w:rsidR="00AD592B">
        <w:rPr>
          <w:rFonts w:eastAsia="Calibri" w:cstheme="minorHAnsi"/>
        </w:rPr>
        <w:t>the price-volume sensitivity is not enough to approximate the interaction between the bidding zones. More data</w:t>
      </w:r>
      <w:r w:rsidRPr="00762113" w:rsidR="003C4DE2">
        <w:rPr>
          <w:rFonts w:eastAsia="Calibri" w:cstheme="minorHAnsi"/>
        </w:rPr>
        <w:t xml:space="preserve"> regarding the </w:t>
      </w:r>
      <w:r w:rsidRPr="00762113" w:rsidR="00FD391F">
        <w:rPr>
          <w:rFonts w:eastAsia="Calibri" w:cstheme="minorHAnsi"/>
        </w:rPr>
        <w:t>status of the bidding zones</w:t>
      </w:r>
      <w:r w:rsidRPr="00762113" w:rsidR="00AD592B">
        <w:rPr>
          <w:rFonts w:eastAsia="Calibri" w:cstheme="minorHAnsi"/>
        </w:rPr>
        <w:t xml:space="preserve"> is needed</w:t>
      </w:r>
      <w:r w:rsidRPr="00762113" w:rsidR="00622E94">
        <w:rPr>
          <w:rFonts w:eastAsia="Calibri" w:cstheme="minorHAnsi"/>
        </w:rPr>
        <w:t xml:space="preserve"> for the interaction, </w:t>
      </w:r>
      <w:r w:rsidRPr="00762113" w:rsidR="00FD391F">
        <w:rPr>
          <w:rFonts w:eastAsia="Calibri" w:cstheme="minorHAnsi"/>
        </w:rPr>
        <w:t>more precisely:</w:t>
      </w:r>
    </w:p>
    <w:p w:rsidR="00622E94" w:rsidRPr="00762113" w:rsidP="00275B33" w14:paraId="77E85DBF" w14:textId="36031270">
      <w:pPr>
        <w:pStyle w:val="ListParagraph"/>
        <w:numPr>
          <w:ilvl w:val="0"/>
          <w:numId w:val="35"/>
        </w:numPr>
        <w:rPr>
          <w:rFonts w:eastAsia="Calibri" w:cstheme="minorHAnsi"/>
          <w:lang w:val="en-GB"/>
        </w:rPr>
      </w:pPr>
      <w:r w:rsidRPr="00762113">
        <w:rPr>
          <w:rFonts w:eastAsia="Calibri" w:cstheme="minorHAnsi"/>
          <w:lang w:val="en-GB"/>
        </w:rPr>
        <w:t>The day-ahead market price in each bidding zone and for each MTU;</w:t>
      </w:r>
    </w:p>
    <w:p w:rsidR="00622E94" w:rsidRPr="00762113" w:rsidP="00275B33" w14:paraId="286159D4" w14:textId="619A5FF1">
      <w:pPr>
        <w:pStyle w:val="ListParagraph"/>
        <w:numPr>
          <w:ilvl w:val="0"/>
          <w:numId w:val="35"/>
        </w:numPr>
        <w:rPr>
          <w:rFonts w:eastAsia="Calibri" w:cstheme="minorHAnsi"/>
          <w:lang w:val="en-GB"/>
        </w:rPr>
      </w:pPr>
      <w:r w:rsidRPr="00762113">
        <w:rPr>
          <w:rFonts w:eastAsia="Calibri" w:cstheme="minorHAnsi"/>
          <w:lang w:val="en-GB"/>
        </w:rPr>
        <w:t>The net position of each bidding zone for each MTU.</w:t>
      </w:r>
    </w:p>
    <w:p w:rsidR="00622E94" w:rsidRPr="00762113" w:rsidP="00275B33" w14:paraId="0B52B809" w14:textId="06B46961">
      <w:pPr>
        <w:jc w:val="both"/>
        <w:rPr>
          <w:rFonts w:eastAsia="Calibri" w:cstheme="minorHAnsi"/>
        </w:rPr>
      </w:pPr>
      <w:r w:rsidRPr="00762113">
        <w:rPr>
          <w:rFonts w:eastAsia="Calibri" w:cstheme="minorHAnsi"/>
        </w:rPr>
        <w:t xml:space="preserve">These parameters needed for input shall be acquired from the selected reference day, </w:t>
      </w:r>
      <w:r w:rsidRPr="00762113">
        <w:rPr>
          <w:rFonts w:eastAsia="Calibri" w:cstheme="minorHAnsi"/>
        </w:rPr>
        <w:t>i.e</w:t>
      </w:r>
      <w:r w:rsidRPr="00762113">
        <w:rPr>
          <w:rFonts w:eastAsia="Calibri" w:cstheme="minorHAnsi"/>
        </w:rPr>
        <w:t xml:space="preserve"> the </w:t>
      </w:r>
      <w:r w:rsidRPr="00762113" w:rsidR="000F337E">
        <w:rPr>
          <w:rFonts w:eastAsia="Calibri" w:cstheme="minorHAnsi"/>
        </w:rPr>
        <w:t xml:space="preserve">chosen </w:t>
      </w:r>
      <w:r w:rsidRPr="00762113">
        <w:rPr>
          <w:rFonts w:eastAsia="Calibri" w:cstheme="minorHAnsi"/>
        </w:rPr>
        <w:t xml:space="preserve">reference day shall determine the initial </w:t>
      </w:r>
      <w:r w:rsidRPr="00762113" w:rsidR="00AC1927">
        <w:rPr>
          <w:rFonts w:eastAsia="Calibri" w:cstheme="minorHAnsi"/>
        </w:rPr>
        <w:t>price levels and net positions of each of the bidding zones. However, as indicated before, these prices and net positions are subject to change</w:t>
      </w:r>
      <w:r w:rsidRPr="00762113" w:rsidR="00A84D66">
        <w:rPr>
          <w:rFonts w:eastAsia="Calibri" w:cstheme="minorHAnsi"/>
        </w:rPr>
        <w:t xml:space="preserve">, </w:t>
      </w:r>
      <w:r w:rsidRPr="00762113" w:rsidR="00126582">
        <w:rPr>
          <w:rFonts w:eastAsia="Calibri" w:cstheme="minorHAnsi"/>
        </w:rPr>
        <w:t>according</w:t>
      </w:r>
      <w:r w:rsidRPr="00762113" w:rsidR="00A84D66">
        <w:rPr>
          <w:rFonts w:eastAsia="Calibri" w:cstheme="minorHAnsi"/>
        </w:rPr>
        <w:t xml:space="preserve"> to the changed NTC values or competition between the DA and the BC markets.</w:t>
      </w:r>
    </w:p>
    <w:p w:rsidR="00835604" w:rsidRPr="00762113" w:rsidP="00275B33" w14:paraId="559C0ECA" w14:textId="39822279">
      <w:pPr>
        <w:jc w:val="both"/>
        <w:rPr>
          <w:noProof/>
        </w:rPr>
      </w:pPr>
      <w:r w:rsidRPr="00762113">
        <w:rPr>
          <w:rFonts w:eastAsia="Calibri" w:cstheme="minorHAnsi"/>
        </w:rPr>
        <w:t>Thus, the market situation is forecasted, but areas are also allowed to increase or decrease their supply/demand as the market situation (CZC limitations or value) changes.</w:t>
      </w:r>
      <w:r w:rsidRPr="00762113">
        <w:rPr>
          <w:noProof/>
        </w:rPr>
        <w:t xml:space="preserve"> </w:t>
      </w:r>
    </w:p>
    <w:p w:rsidR="00835604" w:rsidRPr="00762113" w:rsidP="00835604" w14:paraId="5EF04C4C" w14:textId="77777777">
      <w:pPr>
        <w:jc w:val="center"/>
        <w:rPr>
          <w:rFonts w:eastAsia="Calibri" w:cstheme="minorHAnsi"/>
        </w:rPr>
      </w:pPr>
      <w:r w:rsidRPr="00762113">
        <w:rPr>
          <w:rFonts w:eastAsia="Calibri" w:cstheme="minorHAnsi"/>
          <w:noProof/>
        </w:rPr>
        <w:drawing>
          <wp:inline distT="0" distB="0" distL="0" distR="0">
            <wp:extent cx="3773900" cy="2654490"/>
            <wp:effectExtent l="0" t="0" r="0" b="0"/>
            <wp:docPr id="18864335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368120" name=""/>
                    <pic:cNvPicPr/>
                  </pic:nvPicPr>
                  <pic:blipFill>
                    <a:blip xmlns:r="http://schemas.openxmlformats.org/officeDocument/2006/relationships" r:embed="rId10"/>
                    <a:stretch>
                      <a:fillRect/>
                    </a:stretch>
                  </pic:blipFill>
                  <pic:spPr>
                    <a:xfrm>
                      <a:off x="0" y="0"/>
                      <a:ext cx="3820949" cy="2687583"/>
                    </a:xfrm>
                    <a:prstGeom prst="rect">
                      <a:avLst/>
                    </a:prstGeom>
                  </pic:spPr>
                </pic:pic>
              </a:graphicData>
            </a:graphic>
          </wp:inline>
        </w:drawing>
      </w:r>
    </w:p>
    <w:p w:rsidR="00835604" w:rsidRPr="00762113" w:rsidP="00835604" w14:paraId="43ABF58C" w14:textId="77777777"/>
    <w:p w:rsidR="00835604" w:rsidRPr="00762113" w:rsidP="00835604" w14:paraId="699995F5" w14:textId="77777777"/>
    <w:p w:rsidR="00835604" w:rsidRPr="00762113" w:rsidP="00835604" w14:paraId="441ABA63" w14:textId="6F515CA7">
      <w:r w:rsidRPr="00762113">
        <w:t xml:space="preserve">The change in the day-ahead market price of </w:t>
      </w:r>
      <w:r w:rsidRPr="00762113" w:rsidR="001C73EA">
        <w:t>a bidding zone</w:t>
      </w:r>
      <w:r w:rsidRPr="00762113">
        <w:t xml:space="preserve"> can then be exp</w:t>
      </w:r>
      <w:r w:rsidRPr="00762113" w:rsidR="00A10308">
        <w:t>r</w:t>
      </w:r>
      <w:r w:rsidRPr="00762113">
        <w:t>essed by the forecast market price and the anticipated change in the net position:</w:t>
      </w:r>
    </w:p>
    <w:p w:rsidR="00835604" w:rsidRPr="00762113" w:rsidP="00835604" w14:paraId="506D2E66" w14:textId="77777777"/>
    <w:p w:rsidR="00835604" w:rsidRPr="00762113" w:rsidP="00835604" w14:paraId="0799CF02" w14:textId="77777777">
      <w:pPr>
        <w:rPr>
          <w:rFonts w:eastAsiaTheme="minorEastAsia"/>
        </w:rPr>
      </w:pPr>
      <m:oMathPara>
        <m:oMath>
          <m:sSubSup>
            <m:sSubSupPr>
              <m:ctrlPr>
                <w:rPr>
                  <w:rFonts w:ascii="Cambria Math" w:hAnsi="Cambria Math"/>
                  <w:i/>
                </w:rPr>
              </m:ctrlPr>
            </m:sSubSupPr>
            <m:e>
              <m:r>
                <w:rPr>
                  <w:rFonts w:ascii="Cambria Math" w:hAnsi="Cambria Math"/>
                </w:rPr>
                <m:t>MCP</m:t>
              </m:r>
            </m:e>
            <m:sub>
              <m:r>
                <w:rPr>
                  <w:rFonts w:ascii="Cambria Math" w:hAnsi="Cambria Math"/>
                </w:rPr>
                <m:t>1,a</m:t>
              </m:r>
            </m:sub>
            <m:sup>
              <m:r>
                <w:rPr>
                  <w:rFonts w:ascii="Cambria Math" w:hAnsi="Cambria Math"/>
                </w:rPr>
                <m:t>DAM</m:t>
              </m:r>
            </m:sup>
          </m:sSubSup>
          <m:r>
            <w:rPr>
              <w:rFonts w:ascii="Cambria Math" w:hAnsi="Cambria Math"/>
            </w:rPr>
            <m:t>=</m:t>
          </m:r>
          <m:sSubSup>
            <m:sSubSupPr>
              <m:ctrlPr>
                <w:rPr>
                  <w:rFonts w:ascii="Cambria Math" w:hAnsi="Cambria Math"/>
                  <w:i/>
                </w:rPr>
              </m:ctrlPr>
            </m:sSubSupPr>
            <m:e>
              <m:r>
                <w:rPr>
                  <w:rFonts w:ascii="Cambria Math" w:hAnsi="Cambria Math"/>
                </w:rPr>
                <m:t>MCP</m:t>
              </m:r>
            </m:e>
            <m:sub>
              <m:r>
                <w:rPr>
                  <w:rFonts w:ascii="Cambria Math" w:hAnsi="Cambria Math"/>
                </w:rPr>
                <m:t>0,a</m:t>
              </m:r>
            </m:sub>
            <m:sup>
              <m:r>
                <w:rPr>
                  <w:rFonts w:ascii="Cambria Math" w:hAnsi="Cambria Math"/>
                </w:rPr>
                <m:t>DAM</m:t>
              </m:r>
            </m:sup>
          </m:sSubSup>
          <m:r>
            <w:rPr>
              <w:rFonts w:ascii="Cambria Math" w:hAnsi="Cambria Math"/>
            </w:rPr>
            <m:t>+</m:t>
          </m:r>
          <m:sSubSup>
            <m:sSubSupPr>
              <m:ctrlPr>
                <w:rPr>
                  <w:rFonts w:ascii="Cambria Math" w:hAnsi="Cambria Math"/>
                  <w:i/>
                </w:rPr>
              </m:ctrlPr>
            </m:sSubSupPr>
            <m:e>
              <m:r>
                <w:rPr>
                  <w:rFonts w:ascii="Cambria Math" w:hAnsi="Cambria Math"/>
                </w:rPr>
                <m:t>α</m:t>
              </m:r>
            </m:e>
            <m:sub>
              <m:r>
                <w:rPr>
                  <w:rFonts w:ascii="Cambria Math" w:hAnsi="Cambria Math"/>
                </w:rPr>
                <m:t>a</m:t>
              </m:r>
            </m:sub>
            <m:sup>
              <m:r>
                <w:rPr>
                  <w:rFonts w:ascii="Cambria Math" w:hAnsi="Cambria Math"/>
                </w:rPr>
                <m:t>DAM</m:t>
              </m:r>
            </m:sup>
          </m:sSubSup>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a</m:t>
              </m:r>
            </m:sub>
          </m:sSub>
        </m:oMath>
      </m:oMathPara>
    </w:p>
    <w:p w:rsidR="00835604" w:rsidRPr="00762113" w:rsidP="00835604" w14:paraId="32A72BEF" w14:textId="77777777">
      <w:pPr>
        <w:rPr>
          <w:rFonts w:eastAsiaTheme="minorEastAsia"/>
        </w:rPr>
      </w:pPr>
      <w:r w:rsidRPr="00762113">
        <w:rPr>
          <w:rFonts w:eastAsiaTheme="minorEastAsia"/>
        </w:rPr>
        <w:t>Where</w:t>
      </w:r>
    </w:p>
    <w:p w:rsidR="00835604" w:rsidRPr="00762113" w:rsidP="00835604" w14:paraId="524D501B" w14:textId="77777777">
      <w:pPr>
        <w:rPr>
          <w:rFonts w:eastAsiaTheme="minorEastAsia"/>
        </w:rPr>
      </w:pPr>
      <w:r w:rsidRPr="00762113">
        <w:rPr>
          <w:rFonts w:eastAsiaTheme="minorEastAsia"/>
        </w:rPr>
        <w:t>DAM – Day-ahead market;</w:t>
      </w:r>
    </w:p>
    <w:p w:rsidR="00835604" w:rsidRPr="00762113" w:rsidP="00835604" w14:paraId="7B07054E" w14:textId="67B5CA15">
      <w:pPr>
        <w:rPr>
          <w:rFonts w:eastAsiaTheme="minorEastAsia"/>
        </w:rPr>
      </w:pPr>
      <w:r w:rsidRPr="00762113">
        <w:rPr>
          <w:rFonts w:eastAsiaTheme="minorEastAsia"/>
        </w:rPr>
        <w:t xml:space="preserve">a – </w:t>
      </w:r>
      <w:r w:rsidRPr="00762113" w:rsidR="001C73EA">
        <w:rPr>
          <w:rFonts w:eastAsiaTheme="minorEastAsia"/>
        </w:rPr>
        <w:t>bidding zone</w:t>
      </w:r>
      <w:r w:rsidRPr="00762113" w:rsidR="00291667">
        <w:rPr>
          <w:rFonts w:eastAsiaTheme="minorEastAsia"/>
        </w:rPr>
        <w:t xml:space="preserve"> a</w:t>
      </w:r>
      <w:r w:rsidRPr="00762113">
        <w:rPr>
          <w:rFonts w:eastAsiaTheme="minorEastAsia"/>
        </w:rPr>
        <w:t>;</w:t>
      </w:r>
    </w:p>
    <w:p w:rsidR="00835604" w:rsidRPr="00762113" w:rsidP="00835604" w14:paraId="576377F2" w14:textId="7826F791">
      <w:pPr>
        <w:rPr>
          <w:rFonts w:eastAsiaTheme="minorEastAsia"/>
        </w:rPr>
      </w:pPr>
      <m:oMath>
        <m:sSubSup>
          <m:sSubSupPr>
            <m:ctrlPr>
              <w:rPr>
                <w:rFonts w:ascii="Cambria Math" w:hAnsi="Cambria Math"/>
                <w:i/>
              </w:rPr>
            </m:ctrlPr>
          </m:sSubSupPr>
          <m:e>
            <m:r>
              <w:rPr>
                <w:rFonts w:ascii="Cambria Math" w:hAnsi="Cambria Math"/>
              </w:rPr>
              <m:t>α</m:t>
            </m:r>
          </m:e>
          <m:sub>
            <m:r>
              <w:rPr>
                <w:rFonts w:ascii="Cambria Math" w:hAnsi="Cambria Math"/>
              </w:rPr>
              <m:t>a</m:t>
            </m:r>
          </m:sub>
          <m:sup>
            <m:r>
              <w:rPr>
                <w:rFonts w:ascii="Cambria Math" w:hAnsi="Cambria Math"/>
              </w:rPr>
              <m:t>DAM</m:t>
            </m:r>
          </m:sup>
        </m:sSubSup>
      </m:oMath>
      <w:r w:rsidRPr="00762113">
        <w:rPr>
          <w:rFonts w:eastAsiaTheme="minorEastAsia"/>
        </w:rPr>
        <w:t xml:space="preserve"> – DAM price volume sensitivity of </w:t>
      </w:r>
      <w:r w:rsidRPr="00762113" w:rsidR="00291667">
        <w:rPr>
          <w:rFonts w:eastAsiaTheme="minorEastAsia"/>
        </w:rPr>
        <w:t>bidding zone</w:t>
      </w:r>
      <w:r w:rsidRPr="00762113">
        <w:rPr>
          <w:rFonts w:eastAsiaTheme="minorEastAsia"/>
        </w:rPr>
        <w:t xml:space="preserve"> a;</w:t>
      </w:r>
    </w:p>
    <w:p w:rsidR="00835604" w:rsidRPr="00762113" w:rsidP="00835604" w14:paraId="1DFD6D70" w14:textId="791F4F2A">
      <w:pPr>
        <w:rPr>
          <w:rFonts w:eastAsiaTheme="minorEastAsia"/>
        </w:rPr>
      </w:pPr>
      <m:oMath>
        <m:sSubSup>
          <m:sSubSupPr>
            <m:ctrlPr>
              <w:rPr>
                <w:rFonts w:ascii="Cambria Math" w:hAnsi="Cambria Math"/>
                <w:i/>
              </w:rPr>
            </m:ctrlPr>
          </m:sSubSupPr>
          <m:e>
            <m:r>
              <w:rPr>
                <w:rFonts w:ascii="Cambria Math" w:hAnsi="Cambria Math"/>
              </w:rPr>
              <m:t>MCP</m:t>
            </m:r>
          </m:e>
          <m:sub>
            <m:r>
              <w:rPr>
                <w:rFonts w:ascii="Cambria Math" w:hAnsi="Cambria Math"/>
              </w:rPr>
              <m:t>0,a</m:t>
            </m:r>
          </m:sub>
          <m:sup>
            <m:r>
              <w:rPr>
                <w:rFonts w:ascii="Cambria Math" w:hAnsi="Cambria Math"/>
              </w:rPr>
              <m:t>DAM</m:t>
            </m:r>
          </m:sup>
        </m:sSubSup>
      </m:oMath>
      <w:r w:rsidRPr="00762113">
        <w:rPr>
          <w:rFonts w:eastAsiaTheme="minorEastAsia"/>
        </w:rPr>
        <w:t xml:space="preserve"> – the forecast DAM price from the reference day methodology</w:t>
      </w:r>
      <w:r w:rsidRPr="00762113" w:rsidR="00C76DC4">
        <w:rPr>
          <w:rFonts w:eastAsiaTheme="minorEastAsia"/>
        </w:rPr>
        <w:t xml:space="preserve"> in bidding zone a</w:t>
      </w:r>
      <w:r w:rsidRPr="00762113">
        <w:rPr>
          <w:rFonts w:eastAsiaTheme="minorEastAsia"/>
        </w:rPr>
        <w:t>;</w:t>
      </w:r>
    </w:p>
    <w:p w:rsidR="00835604" w:rsidRPr="00762113" w:rsidP="00835604" w14:paraId="1E5C1218" w14:textId="5616B630">
      <w:pPr>
        <w:rPr>
          <w:rFonts w:eastAsiaTheme="minorEastAsia"/>
        </w:rPr>
      </w:pPr>
      <m:oMath>
        <m:sSubSup>
          <m:sSubSupPr>
            <m:ctrlPr>
              <w:rPr>
                <w:rFonts w:ascii="Cambria Math" w:hAnsi="Cambria Math"/>
                <w:i/>
              </w:rPr>
            </m:ctrlPr>
          </m:sSubSupPr>
          <m:e>
            <m:r>
              <w:rPr>
                <w:rFonts w:ascii="Cambria Math" w:hAnsi="Cambria Math"/>
              </w:rPr>
              <m:t>MCP</m:t>
            </m:r>
          </m:e>
          <m:sub>
            <m:r>
              <w:rPr>
                <w:rFonts w:ascii="Cambria Math" w:hAnsi="Cambria Math"/>
              </w:rPr>
              <m:t>1,a</m:t>
            </m:r>
          </m:sub>
          <m:sup>
            <m:r>
              <w:rPr>
                <w:rFonts w:ascii="Cambria Math" w:hAnsi="Cambria Math"/>
              </w:rPr>
              <m:t>DAM</m:t>
            </m:r>
          </m:sup>
        </m:sSubSup>
      </m:oMath>
      <w:r w:rsidRPr="00762113">
        <w:rPr>
          <w:rFonts w:eastAsiaTheme="minorEastAsia"/>
        </w:rPr>
        <w:t xml:space="preserve"> – the anticipated DAM price after the shift in net position</w:t>
      </w:r>
      <w:r w:rsidRPr="00762113" w:rsidR="00C76DC4">
        <w:rPr>
          <w:rFonts w:eastAsiaTheme="minorEastAsia"/>
        </w:rPr>
        <w:t xml:space="preserve"> in bidding zone a</w:t>
      </w:r>
      <w:r w:rsidRPr="00762113">
        <w:rPr>
          <w:rFonts w:eastAsiaTheme="minorEastAsia"/>
        </w:rPr>
        <w:t>;</w:t>
      </w:r>
    </w:p>
    <w:p w:rsidR="00835604" w:rsidRPr="00762113" w:rsidP="00835604" w14:paraId="4D2EE33B" w14:textId="09459909">
      <w:pPr>
        <w:rPr>
          <w:rFonts w:eastAsiaTheme="minorEastAsia"/>
        </w:rPr>
      </w:pPr>
      <m:oMath>
        <m:sSub>
          <m:sSubPr>
            <m:ctrlPr>
              <w:rPr>
                <w:rFonts w:ascii="Cambria Math" w:hAnsi="Cambria Math"/>
                <w:i/>
              </w:rPr>
            </m:ctrlPr>
          </m:sSubPr>
          <m:e>
            <m:r>
              <w:rPr>
                <w:rFonts w:ascii="Cambria Math" w:hAnsi="Cambria Math"/>
              </w:rPr>
              <m:t>V</m:t>
            </m:r>
          </m:e>
          <m:sub>
            <m:r>
              <w:rPr>
                <w:rFonts w:ascii="Cambria Math" w:hAnsi="Cambria Math"/>
              </w:rPr>
              <m:t>a</m:t>
            </m:r>
          </m:sub>
        </m:sSub>
      </m:oMath>
      <w:r w:rsidRPr="00762113">
        <w:rPr>
          <w:rFonts w:eastAsiaTheme="minorEastAsia"/>
        </w:rPr>
        <w:t xml:space="preserve"> – change of net position from the forecast value for </w:t>
      </w:r>
      <w:r w:rsidRPr="00762113" w:rsidR="009D3E03">
        <w:rPr>
          <w:rFonts w:eastAsiaTheme="minorEastAsia"/>
        </w:rPr>
        <w:t>bidding zone</w:t>
      </w:r>
      <w:r w:rsidRPr="00762113">
        <w:rPr>
          <w:rFonts w:eastAsiaTheme="minorEastAsia"/>
        </w:rPr>
        <w:t xml:space="preserve"> a.</w:t>
      </w:r>
    </w:p>
    <w:p w:rsidR="00835604" w:rsidRPr="00762113" w:rsidP="00835604" w14:paraId="1AD03756" w14:textId="77777777">
      <w:pPr>
        <w:rPr>
          <w:rFonts w:eastAsiaTheme="minorEastAsia"/>
        </w:rPr>
      </w:pPr>
    </w:p>
    <w:p w:rsidR="00835604" w:rsidRPr="00762113" w:rsidP="00275B33" w14:paraId="40E79D1B" w14:textId="4E0C9AA0">
      <w:pPr>
        <w:jc w:val="both"/>
        <w:rPr>
          <w:rFonts w:eastAsiaTheme="minorEastAsia"/>
        </w:rPr>
      </w:pPr>
      <w:r w:rsidRPr="00762113">
        <w:rPr>
          <w:rFonts w:eastAsiaTheme="minorEastAsia"/>
        </w:rPr>
        <w:t>From the formulation, it can be observed that the net position and the forecast DAM price can move in harmony. Therefore, if one areas export flow is restricted, for instance, the DAM market price is anticipated to be lowered as a result.</w:t>
      </w:r>
    </w:p>
    <w:p w:rsidR="00835604" w:rsidRPr="00762113" w:rsidP="00835604" w14:paraId="685327DB" w14:textId="77777777"/>
    <w:p w:rsidR="00835604" w:rsidRPr="00762113" w:rsidP="00835604" w14:paraId="592CF6F4" w14:textId="77777777"/>
    <w:p w:rsidR="00DF0276" w:rsidRPr="00762113" w:rsidP="000A3843" w14:paraId="416ACE26" w14:textId="77784FD1">
      <w:pPr>
        <w:pStyle w:val="ListParagraph"/>
        <w:numPr>
          <w:ilvl w:val="2"/>
          <w:numId w:val="1"/>
        </w:numPr>
        <w:rPr>
          <w:b/>
          <w:bCs/>
          <w:lang w:val="en-GB"/>
        </w:rPr>
      </w:pPr>
      <w:r w:rsidRPr="00762113">
        <w:rPr>
          <w:b/>
          <w:bCs/>
          <w:lang w:val="en-GB"/>
        </w:rPr>
        <w:t xml:space="preserve">Day-ahead proxy in the </w:t>
      </w:r>
      <w:r w:rsidRPr="00762113" w:rsidR="004C1FD8">
        <w:rPr>
          <w:b/>
          <w:bCs/>
          <w:lang w:val="en-GB"/>
        </w:rPr>
        <w:t>procurement optimization</w:t>
      </w:r>
      <w:r w:rsidRPr="00762113">
        <w:rPr>
          <w:b/>
          <w:bCs/>
          <w:lang w:val="en-GB"/>
        </w:rPr>
        <w:t xml:space="preserve"> algorithm</w:t>
      </w:r>
    </w:p>
    <w:p w:rsidR="00494187" w:rsidRPr="00762113" w:rsidP="00275B33" w14:paraId="5A69AD3C" w14:textId="77777777">
      <w:pPr>
        <w:jc w:val="both"/>
      </w:pPr>
      <w:r w:rsidRPr="00762113">
        <w:t>In the procurement optimisation function,</w:t>
      </w:r>
      <w:r w:rsidRPr="00762113" w:rsidR="00317C2F">
        <w:t xml:space="preserve"> the total welfare for the balancing capacity market</w:t>
      </w:r>
      <w:r w:rsidRPr="00762113" w:rsidR="00001557">
        <w:t xml:space="preserve"> and the forecast welfare for the day-ahead market need to be expressed. As there is no price on the </w:t>
      </w:r>
      <w:r w:rsidRPr="00762113">
        <w:t xml:space="preserve">TSO demand on the balancing capacity market, the welfare in the balancing capacity market can be expressed through the costs of the market, </w:t>
      </w:r>
      <w:r w:rsidRPr="00762113">
        <w:t>i.e</w:t>
      </w:r>
      <w:r w:rsidRPr="00762113">
        <w:t xml:space="preserve"> sum of costs of all accepted balancing capacity bids.</w:t>
      </w:r>
    </w:p>
    <w:p w:rsidR="00494187" w:rsidRPr="00762113" w:rsidP="00275B33" w14:paraId="458D84EE" w14:textId="77777777">
      <w:pPr>
        <w:jc w:val="both"/>
      </w:pPr>
    </w:p>
    <w:p w:rsidR="007C4E87" w:rsidRPr="00762113" w:rsidP="00275B33" w14:paraId="56D976BA" w14:textId="6797FC31">
      <w:pPr>
        <w:jc w:val="both"/>
      </w:pPr>
      <w:r w:rsidRPr="00762113">
        <w:t xml:space="preserve">Through the day-ahead forecast proxy, the same </w:t>
      </w:r>
      <w:r w:rsidRPr="00762113" w:rsidR="00105275">
        <w:t>approach is used for the forecast day-ahead market welfare. Thus</w:t>
      </w:r>
      <w:r w:rsidRPr="00762113" w:rsidR="00835604">
        <w:t xml:space="preserve"> the costs for the day-ahead market are expressed by </w:t>
      </w:r>
      <w:r w:rsidRPr="00762113" w:rsidR="006950B8">
        <w:t>the volume of accepted bids multiplied by their price:</w:t>
      </w:r>
    </w:p>
    <w:p w:rsidR="007C4E87" w:rsidRPr="00762113" w:rsidP="007C4E87" w14:paraId="001E85EB" w14:textId="640DC58D">
      <w:pPr>
        <w:rPr>
          <w:rFonts w:eastAsiaTheme="minorEastAsia"/>
        </w:rPr>
      </w:pPr>
      <m:oMathPara>
        <m:oMath>
          <m:sSup>
            <m:sSupPr>
              <m:ctrlPr>
                <w:rPr>
                  <w:rFonts w:ascii="Cambria Math" w:hAnsi="Cambria Math"/>
                  <w:i/>
                </w:rPr>
              </m:ctrlPr>
            </m:sSupPr>
            <m:e>
              <m:r>
                <w:rPr>
                  <w:rFonts w:ascii="Cambria Math" w:hAnsi="Cambria Math"/>
                </w:rPr>
                <m:t>C</m:t>
              </m:r>
            </m:e>
            <m:sup>
              <m:r>
                <w:rPr>
                  <w:rFonts w:ascii="Cambria Math" w:hAnsi="Cambria Math"/>
                </w:rPr>
                <m:t>DAM</m:t>
              </m:r>
            </m:sup>
          </m:sSup>
          <m:r>
            <w:rPr>
              <w:rFonts w:ascii="Cambria Math" w:hAnsi="Cambria Math"/>
            </w:rPr>
            <m:t xml:space="preserve">= </m:t>
          </m:r>
          <m:nary>
            <m:naryPr>
              <m:chr m:val="∑"/>
              <m:limLoc m:val="undOvr"/>
              <m:supHide/>
              <m:ctrlPr>
                <w:rPr>
                  <w:rFonts w:ascii="Cambria Math" w:eastAsia="Calibri" w:hAnsi="Cambria Math" w:cstheme="minorHAnsi"/>
                  <w:i/>
                </w:rPr>
              </m:ctrlPr>
            </m:naryPr>
            <m:sub>
              <m:r>
                <w:rPr>
                  <w:rFonts w:ascii="Cambria Math" w:eastAsia="Calibri" w:hAnsi="Cambria Math" w:cstheme="minorHAnsi"/>
                </w:rPr>
                <m:t>i</m:t>
              </m:r>
            </m:sub>
            <m:sup/>
            <m:e>
              <m:sSub>
                <m:sSubPr>
                  <m:ctrlPr>
                    <w:rPr>
                      <w:rFonts w:ascii="Cambria Math" w:eastAsia="Calibri" w:hAnsi="Cambria Math" w:cstheme="minorHAnsi"/>
                      <w:i/>
                    </w:rPr>
                  </m:ctrlPr>
                </m:sSubPr>
                <m:e>
                  <m:r>
                    <w:rPr>
                      <w:rFonts w:ascii="Cambria Math" w:eastAsia="Calibri" w:hAnsi="Cambria Math" w:cstheme="minorHAnsi"/>
                    </w:rPr>
                    <m:t>q</m:t>
                  </m:r>
                </m:e>
                <m:sub>
                  <m:r>
                    <w:rPr>
                      <w:rFonts w:ascii="Cambria Math" w:eastAsia="Calibri" w:hAnsi="Cambria Math" w:cstheme="minorHAnsi"/>
                    </w:rPr>
                    <m:t>s,i</m:t>
                  </m:r>
                </m:sub>
              </m:sSub>
              <m:r>
                <w:rPr>
                  <w:rFonts w:ascii="Cambria Math" w:eastAsia="Calibri" w:hAnsi="Cambria Math" w:cstheme="minorHAnsi"/>
                </w:rPr>
                <m:t>×</m:t>
              </m:r>
              <m:sSub>
                <m:sSubPr>
                  <m:ctrlPr>
                    <w:rPr>
                      <w:rFonts w:ascii="Cambria Math" w:eastAsia="Calibri" w:hAnsi="Cambria Math" w:cstheme="minorHAnsi"/>
                      <w:i/>
                    </w:rPr>
                  </m:ctrlPr>
                </m:sSubPr>
                <m:e>
                  <m:r>
                    <w:rPr>
                      <w:rFonts w:ascii="Cambria Math" w:eastAsia="Calibri" w:hAnsi="Cambria Math" w:cstheme="minorHAnsi"/>
                    </w:rPr>
                    <m:t>p</m:t>
                  </m:r>
                </m:e>
                <m:sub>
                  <m:r>
                    <w:rPr>
                      <w:rFonts w:ascii="Cambria Math" w:eastAsia="Calibri" w:hAnsi="Cambria Math" w:cstheme="minorHAnsi"/>
                    </w:rPr>
                    <m:t>s,i</m:t>
                  </m:r>
                </m:sub>
              </m:sSub>
            </m:e>
          </m:nary>
        </m:oMath>
      </m:oMathPara>
    </w:p>
    <w:p w:rsidR="00A67324" w:rsidRPr="00762113" w:rsidP="00275B33" w14:paraId="42A1769C" w14:textId="77777777">
      <w:pPr>
        <w:jc w:val="both"/>
      </w:pPr>
      <w:r w:rsidRPr="00762113">
        <w:t>However, in the day-ahead forecast proxy, the day-ahead market is not expressed by individual bids, but instead by a continuous supply curve.</w:t>
      </w:r>
      <w:r w:rsidRPr="00762113" w:rsidR="007D7A6D">
        <w:t xml:space="preserve"> </w:t>
      </w:r>
      <w:r w:rsidRPr="00762113" w:rsidR="00155601">
        <w:t xml:space="preserve">Instead of individual bids, the sum of total accepted volume shall then be observed. </w:t>
      </w:r>
      <w:r w:rsidRPr="00762113" w:rsidR="00291C45">
        <w:t xml:space="preserve">It should be kept in mind that from the reference day the net position for each of the bidding zones is already observed. This means that in the </w:t>
      </w:r>
      <w:r w:rsidRPr="00762113" w:rsidR="00082CEC">
        <w:t xml:space="preserve">procurement optimization function the welfare change compared to the reference day is observed, not the actual total welfare. </w:t>
      </w:r>
    </w:p>
    <w:p w:rsidR="00A67324" w:rsidRPr="00762113" w:rsidP="00275B33" w14:paraId="6425A9A7" w14:textId="77777777">
      <w:pPr>
        <w:jc w:val="both"/>
      </w:pPr>
    </w:p>
    <w:p w:rsidR="00E80A66" w:rsidRPr="00762113" w:rsidP="00275B33" w14:paraId="65DD1C29" w14:textId="72F79EA7">
      <w:pPr>
        <w:jc w:val="both"/>
      </w:pPr>
      <w:r w:rsidRPr="00762113">
        <w:t xml:space="preserve">In case the clearing price in a bidding zone </w:t>
      </w:r>
      <w:r w:rsidRPr="00762113">
        <w:t>changes, the change in welfare in that bidding zone through the price volume sensitivity can be expressed as:</w:t>
      </w:r>
    </w:p>
    <w:p w:rsidR="00E80A66" w:rsidRPr="00762113" w:rsidP="00835604" w14:paraId="1080D4F4" w14:textId="4936BA5D">
      <w:pPr>
        <w:rPr>
          <w:rFonts w:eastAsiaTheme="minorEastAsia"/>
        </w:rPr>
      </w:pPr>
      <m:oMathPara>
        <m:oMath>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DAM</m:t>
              </m:r>
            </m:sup>
          </m:sSup>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a</m:t>
              </m:r>
            </m:sub>
          </m:sSub>
          <m:f>
            <m:fPr>
              <m:ctrlPr>
                <w:rPr>
                  <w:rFonts w:ascii="Cambria Math" w:hAnsi="Cambria Math"/>
                  <w:i/>
                </w:rPr>
              </m:ctrlPr>
            </m:fPr>
            <m:num>
              <m:sSubSup>
                <m:sSubSupPr>
                  <m:ctrlPr>
                    <w:rPr>
                      <w:rFonts w:ascii="Cambria Math" w:hAnsi="Cambria Math"/>
                      <w:i/>
                    </w:rPr>
                  </m:ctrlPr>
                </m:sSubSupPr>
                <m:e>
                  <m:r>
                    <w:rPr>
                      <w:rFonts w:ascii="Cambria Math" w:hAnsi="Cambria Math"/>
                    </w:rPr>
                    <m:t>MCP</m:t>
                  </m:r>
                </m:e>
                <m:sub>
                  <m:r>
                    <w:rPr>
                      <w:rFonts w:ascii="Cambria Math" w:hAnsi="Cambria Math"/>
                    </w:rPr>
                    <m:t>0,a</m:t>
                  </m:r>
                </m:sub>
                <m:sup>
                  <m:r>
                    <w:rPr>
                      <w:rFonts w:ascii="Cambria Math" w:hAnsi="Cambria Math"/>
                    </w:rPr>
                    <m:t>DAM</m:t>
                  </m:r>
                </m:sup>
              </m:sSubSup>
              <m:r>
                <w:rPr>
                  <w:rFonts w:ascii="Cambria Math" w:hAnsi="Cambria Math"/>
                </w:rPr>
                <m:t>+</m:t>
              </m:r>
              <m:sSubSup>
                <m:sSubSupPr>
                  <m:ctrlPr>
                    <w:rPr>
                      <w:rFonts w:ascii="Cambria Math" w:hAnsi="Cambria Math"/>
                      <w:i/>
                    </w:rPr>
                  </m:ctrlPr>
                </m:sSubSupPr>
                <m:e>
                  <m:r>
                    <w:rPr>
                      <w:rFonts w:ascii="Cambria Math" w:hAnsi="Cambria Math"/>
                    </w:rPr>
                    <m:t>MCP</m:t>
                  </m:r>
                </m:e>
                <m:sub>
                  <m:r>
                    <w:rPr>
                      <w:rFonts w:ascii="Cambria Math" w:hAnsi="Cambria Math"/>
                    </w:rPr>
                    <m:t>1,a</m:t>
                  </m:r>
                </m:sub>
                <m:sup>
                  <m:r>
                    <w:rPr>
                      <w:rFonts w:ascii="Cambria Math" w:hAnsi="Cambria Math"/>
                    </w:rPr>
                    <m:t>DAM</m:t>
                  </m:r>
                </m:sup>
              </m:sSubSup>
            </m:num>
            <m:den>
              <m:r>
                <w:rPr>
                  <w:rFonts w:ascii="Cambria Math" w:hAnsi="Cambria Math"/>
                </w:rPr>
                <m:t>2</m:t>
              </m:r>
            </m:den>
          </m:f>
        </m:oMath>
      </m:oMathPara>
    </w:p>
    <w:p w:rsidR="00CA336C" w:rsidRPr="00762113" w:rsidP="00275B33" w14:paraId="28FABCE7" w14:textId="68F090D6">
      <w:pPr>
        <w:jc w:val="both"/>
        <w:rPr>
          <w:rFonts w:eastAsiaTheme="minorEastAsia"/>
        </w:rPr>
      </w:pPr>
      <w:r w:rsidRPr="00762113">
        <w:rPr>
          <w:rFonts w:eastAsiaTheme="minorEastAsia"/>
        </w:rPr>
        <w:t xml:space="preserve">The new clearing price is a function of the change is volume of accepted </w:t>
      </w:r>
      <w:r w:rsidRPr="00762113" w:rsidR="00C664FF">
        <w:rPr>
          <w:rFonts w:eastAsiaTheme="minorEastAsia"/>
        </w:rPr>
        <w:t>energy in the bidding zone and thus the following substitution can be made:</w:t>
      </w:r>
    </w:p>
    <w:p w:rsidR="00C664FF" w:rsidRPr="00762113" w:rsidP="00275B33" w14:paraId="192ABF64" w14:textId="69C76FC9">
      <w:pPr>
        <w:jc w:val="both"/>
      </w:pPr>
      <m:oMathPara>
        <m:oMath>
          <m:sSubSup>
            <m:sSubSupPr>
              <m:ctrlPr>
                <w:rPr>
                  <w:rFonts w:ascii="Cambria Math" w:hAnsi="Cambria Math"/>
                  <w:i/>
                </w:rPr>
              </m:ctrlPr>
            </m:sSubSupPr>
            <m:e>
              <m:r>
                <w:rPr>
                  <w:rFonts w:ascii="Cambria Math" w:hAnsi="Cambria Math"/>
                </w:rPr>
                <m:t>MCP</m:t>
              </m:r>
            </m:e>
            <m:sub>
              <m:r>
                <w:rPr>
                  <w:rFonts w:ascii="Cambria Math" w:hAnsi="Cambria Math"/>
                </w:rPr>
                <m:t>1,a</m:t>
              </m:r>
            </m:sub>
            <m:sup>
              <m:r>
                <w:rPr>
                  <w:rFonts w:ascii="Cambria Math" w:hAnsi="Cambria Math"/>
                </w:rPr>
                <m:t>DAM</m:t>
              </m:r>
            </m:sup>
          </m:sSubSup>
          <m:r>
            <w:rPr>
              <w:rFonts w:ascii="Cambria Math" w:hAnsi="Cambria Math"/>
            </w:rPr>
            <m:t>=</m:t>
          </m:r>
          <m:sSubSup>
            <m:sSubSupPr>
              <m:ctrlPr>
                <w:rPr>
                  <w:rFonts w:ascii="Cambria Math" w:hAnsi="Cambria Math"/>
                  <w:i/>
                </w:rPr>
              </m:ctrlPr>
            </m:sSubSupPr>
            <m:e>
              <m:r>
                <w:rPr>
                  <w:rFonts w:ascii="Cambria Math" w:hAnsi="Cambria Math"/>
                </w:rPr>
                <m:t>α</m:t>
              </m:r>
            </m:e>
            <m:sub>
              <m:r>
                <w:rPr>
                  <w:rFonts w:ascii="Cambria Math" w:hAnsi="Cambria Math"/>
                </w:rPr>
                <m:t>a</m:t>
              </m:r>
            </m:sub>
            <m:sup>
              <m:r>
                <w:rPr>
                  <w:rFonts w:ascii="Cambria Math" w:hAnsi="Cambria Math"/>
                </w:rPr>
                <m:t>DAM</m:t>
              </m:r>
            </m:sup>
          </m:sSubSup>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a</m:t>
              </m:r>
            </m:sub>
          </m:sSub>
        </m:oMath>
      </m:oMathPara>
    </w:p>
    <w:p w:rsidR="00835604" w:rsidRPr="00762113" w:rsidP="00275B33" w14:paraId="3B8206C0" w14:textId="19148D04">
      <w:pPr>
        <w:jc w:val="both"/>
      </w:pPr>
      <w:r w:rsidRPr="00762113">
        <w:t>Finally</w:t>
      </w:r>
      <w:r w:rsidRPr="00762113" w:rsidR="00082CEC">
        <w:t xml:space="preserve">, </w:t>
      </w:r>
      <w:r w:rsidRPr="00762113" w:rsidR="00B23AF1">
        <w:t xml:space="preserve">through the accepted volume of day-ahead energy in each of the bidding zones, </w:t>
      </w:r>
      <w:r w:rsidRPr="00762113" w:rsidR="004C2E35">
        <w:t xml:space="preserve">the forecast clearing price and the price-volume sensitivity, </w:t>
      </w:r>
      <w:r w:rsidRPr="00762113" w:rsidR="00B23AF1">
        <w:t xml:space="preserve">the welfare </w:t>
      </w:r>
      <w:r w:rsidRPr="00762113" w:rsidR="004C2E35">
        <w:t xml:space="preserve">change in the day-ahead market </w:t>
      </w:r>
      <w:r w:rsidRPr="00762113" w:rsidR="00B23AF1">
        <w:t>shall be expressed as follows:</w:t>
      </w:r>
    </w:p>
    <w:p w:rsidR="00835604" w:rsidRPr="00762113" w:rsidP="00835604" w14:paraId="3CE9D9DE" w14:textId="4472A1CD">
      <w:pPr>
        <w:rPr>
          <w:rFonts w:eastAsiaTheme="minorEastAsia"/>
        </w:rPr>
      </w:pPr>
      <m:oMathPara>
        <m:oMath>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DAM</m:t>
              </m:r>
            </m:sup>
          </m:sSup>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a</m:t>
                  </m:r>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MCP</m:t>
                      </m:r>
                    </m:e>
                    <m:sub>
                      <m:r>
                        <w:rPr>
                          <w:rFonts w:ascii="Cambria Math" w:hAnsi="Cambria Math"/>
                        </w:rPr>
                        <m:t>0,a</m:t>
                      </m:r>
                    </m:sub>
                    <m:sup>
                      <m:r>
                        <w:rPr>
                          <w:rFonts w:ascii="Cambria Math" w:hAnsi="Cambria Math"/>
                        </w:rPr>
                        <m:t>DAM</m:t>
                      </m:r>
                    </m:sup>
                  </m:sSubSup>
                  <m:r>
                    <w:rPr>
                      <w:rFonts w:ascii="Cambria Math" w:hAnsi="Cambria Math"/>
                    </w:rPr>
                    <m:t>+</m:t>
                  </m:r>
                  <m:sSubSup>
                    <m:sSubSupPr>
                      <m:ctrlPr>
                        <w:rPr>
                          <w:rFonts w:ascii="Cambria Math" w:hAnsi="Cambria Math"/>
                          <w:i/>
                        </w:rPr>
                      </m:ctrlPr>
                    </m:sSubSupPr>
                    <m:e>
                      <m:r>
                        <w:rPr>
                          <w:rFonts w:ascii="Cambria Math" w:hAnsi="Cambria Math"/>
                        </w:rPr>
                        <m:t>α</m:t>
                      </m:r>
                    </m:e>
                    <m:sub>
                      <m:r>
                        <w:rPr>
                          <w:rFonts w:ascii="Cambria Math" w:hAnsi="Cambria Math"/>
                        </w:rPr>
                        <m:t>a</m:t>
                      </m:r>
                    </m:sub>
                    <m:sup>
                      <m:r>
                        <w:rPr>
                          <w:rFonts w:ascii="Cambria Math" w:hAnsi="Cambria Math"/>
                        </w:rPr>
                        <m:t>DAM</m:t>
                      </m:r>
                    </m:sup>
                  </m:sSubSup>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a</m:t>
                      </m:r>
                    </m:sub>
                  </m:sSub>
                </m:e>
              </m:d>
            </m:num>
            <m:den>
              <m:r>
                <w:rPr>
                  <w:rFonts w:ascii="Cambria Math" w:hAnsi="Cambria Math"/>
                </w:rPr>
                <m:t>2</m:t>
              </m:r>
            </m:den>
          </m:f>
        </m:oMath>
      </m:oMathPara>
    </w:p>
    <w:p w:rsidR="00835604" w:rsidRPr="00762113" w:rsidP="00217F20" w14:paraId="7257DCC8" w14:textId="77777777"/>
    <w:p w:rsidR="00835604" w:rsidRPr="00762113" w:rsidP="00835604" w14:paraId="2FBDDB45" w14:textId="77777777">
      <w:pPr>
        <w:pStyle w:val="headline2"/>
        <w:numPr>
          <w:ilvl w:val="1"/>
          <w:numId w:val="1"/>
        </w:numPr>
        <w:rPr>
          <w:rFonts w:eastAsiaTheme="minorEastAsia"/>
        </w:rPr>
      </w:pPr>
      <w:bookmarkStart w:id="10" w:name="_Toc113284207"/>
      <w:r w:rsidRPr="00762113">
        <w:rPr>
          <w:rFonts w:eastAsiaTheme="minorEastAsia"/>
        </w:rPr>
        <w:t>The procurement optimization function</w:t>
      </w:r>
      <w:bookmarkEnd w:id="10"/>
    </w:p>
    <w:p w:rsidR="00835604" w:rsidRPr="00762113" w:rsidP="00835604" w14:paraId="2191AE39" w14:textId="473B6861">
      <w:pPr>
        <w:pStyle w:val="textregular"/>
        <w:rPr>
          <w:rStyle w:val="textregularZchn"/>
        </w:rPr>
      </w:pPr>
      <w:r w:rsidRPr="00762113">
        <w:t xml:space="preserve">As </w:t>
      </w:r>
      <w:r w:rsidRPr="00762113" w:rsidR="003F21DB">
        <w:t xml:space="preserve">determined </w:t>
      </w:r>
      <w:r w:rsidRPr="00762113">
        <w:t xml:space="preserve">above, in the </w:t>
      </w:r>
      <w:r w:rsidRPr="00762113">
        <w:rPr>
          <w:rStyle w:val="textregularZchn"/>
        </w:rPr>
        <w:t>procurement optimization function, the forecasted welfare for the day-ahead market is compared to the actual welfare of the balancing capacity market. As a simplification of the function, only the cost aspects of the welfare are represented. Therefore, the formulation of the procurement optimization function objective function can be expressed as:</w:t>
      </w:r>
    </w:p>
    <w:p w:rsidR="00835604" w:rsidRPr="00762113" w:rsidP="00835604" w14:paraId="6CD59779" w14:textId="77777777">
      <w:pPr>
        <w:pStyle w:val="textregular"/>
        <w:rPr>
          <w:rFonts w:eastAsiaTheme="minorEastAsia"/>
        </w:rPr>
      </w:pPr>
      <m:oMathPara>
        <m:oMath>
          <m:sSub>
            <m:sSubPr>
              <m:ctrlPr>
                <w:rPr>
                  <w:rFonts w:ascii="Cambria Math" w:hAnsi="Cambria Math"/>
                  <w:i/>
                </w:rPr>
              </m:ctrlPr>
            </m:sSubPr>
            <m:e>
              <m:r>
                <w:rPr>
                  <w:rFonts w:ascii="Cambria Math" w:hAnsi="Cambria Math"/>
                </w:rPr>
                <m:t>F</m:t>
              </m:r>
            </m:e>
            <m:sub>
              <m:r>
                <w:rPr>
                  <w:rFonts w:ascii="Cambria Math" w:hAnsi="Cambria Math"/>
                </w:rPr>
                <m:t>Obj</m:t>
              </m:r>
            </m:sub>
          </m:sSub>
          <m:r>
            <w:rPr>
              <w:rFonts w:ascii="Cambria Math" w:hAnsi="Cambria Math" w:eastAsiaTheme="minorEastAsia"/>
            </w:rPr>
            <m:t xml:space="preserve">= </m:t>
          </m:r>
          <m:sSup>
            <m:sSupPr>
              <m:ctrlPr>
                <w:rPr>
                  <w:rFonts w:ascii="Cambria Math" w:hAnsi="Cambria Math" w:eastAsiaTheme="minorEastAsia"/>
                  <w:i/>
                </w:rPr>
              </m:ctrlPr>
            </m:sSupPr>
            <m:e>
              <m:r>
                <w:rPr>
                  <w:rFonts w:ascii="Cambria Math" w:hAnsi="Cambria Math" w:eastAsiaTheme="minorEastAsia"/>
                </w:rPr>
                <m:t>C</m:t>
              </m:r>
            </m:e>
            <m:sup>
              <m:r>
                <w:rPr>
                  <w:rFonts w:ascii="Cambria Math" w:hAnsi="Cambria Math" w:eastAsiaTheme="minorEastAsia"/>
                </w:rPr>
                <m:t>DAM</m:t>
              </m:r>
            </m:sup>
          </m:sSup>
          <m:r>
            <w:rPr>
              <w:rFonts w:ascii="Cambria Math" w:hAnsi="Cambria Math" w:eastAsiaTheme="minorEastAsia"/>
            </w:rPr>
            <m:t>+</m:t>
          </m:r>
          <m:sSup>
            <m:sSupPr>
              <m:ctrlPr>
                <w:rPr>
                  <w:rFonts w:ascii="Cambria Math" w:hAnsi="Cambria Math" w:eastAsiaTheme="minorEastAsia"/>
                  <w:i/>
                </w:rPr>
              </m:ctrlPr>
            </m:sSupPr>
            <m:e>
              <m:r>
                <w:rPr>
                  <w:rFonts w:ascii="Cambria Math" w:hAnsi="Cambria Math" w:eastAsiaTheme="minorEastAsia"/>
                </w:rPr>
                <m:t>C</m:t>
              </m:r>
            </m:e>
            <m:sup>
              <m:r>
                <w:rPr>
                  <w:rFonts w:ascii="Cambria Math" w:hAnsi="Cambria Math" w:eastAsiaTheme="minorEastAsia"/>
                </w:rPr>
                <m:t>BC</m:t>
              </m:r>
            </m:sup>
          </m:sSup>
        </m:oMath>
      </m:oMathPara>
    </w:p>
    <w:p w:rsidR="00835604" w:rsidRPr="00762113" w:rsidP="00835604" w14:paraId="5920E3D5" w14:textId="77777777">
      <w:pPr>
        <w:pStyle w:val="textregular"/>
        <w:rPr>
          <w:rFonts w:eastAsiaTheme="minorEastAsia"/>
        </w:rPr>
      </w:pPr>
      <w:r w:rsidRPr="00762113">
        <w:rPr>
          <w:rFonts w:eastAsiaTheme="minorEastAsia"/>
        </w:rPr>
        <w:t xml:space="preserve">The term </w:t>
      </w:r>
      <m:oMath>
        <m:sSup>
          <m:sSupPr>
            <m:ctrlPr>
              <w:rPr>
                <w:rFonts w:ascii="Cambria Math" w:hAnsi="Cambria Math" w:eastAsiaTheme="minorEastAsia"/>
                <w:i/>
              </w:rPr>
            </m:ctrlPr>
          </m:sSupPr>
          <m:e>
            <m:r>
              <w:rPr>
                <w:rFonts w:ascii="Cambria Math" w:hAnsi="Cambria Math" w:eastAsiaTheme="minorEastAsia"/>
              </w:rPr>
              <m:t>C</m:t>
            </m:r>
          </m:e>
          <m:sup>
            <m:r>
              <w:rPr>
                <w:rFonts w:ascii="Cambria Math" w:hAnsi="Cambria Math" w:eastAsiaTheme="minorEastAsia"/>
              </w:rPr>
              <m:t>DAM</m:t>
            </m:r>
          </m:sup>
        </m:sSup>
      </m:oMath>
      <w:r w:rsidRPr="00762113">
        <w:rPr>
          <w:rFonts w:eastAsiaTheme="minorEastAsia"/>
        </w:rPr>
        <w:t xml:space="preserve"> represents the forecast welfare aspect of the day ahead market and was elaborated in the previous section. The term </w:t>
      </w:r>
      <m:oMath>
        <m:sSup>
          <m:sSupPr>
            <m:ctrlPr>
              <w:rPr>
                <w:rFonts w:ascii="Cambria Math" w:hAnsi="Cambria Math" w:eastAsiaTheme="minorEastAsia"/>
                <w:i/>
              </w:rPr>
            </m:ctrlPr>
          </m:sSupPr>
          <m:e>
            <m:r>
              <w:rPr>
                <w:rFonts w:ascii="Cambria Math" w:hAnsi="Cambria Math" w:eastAsiaTheme="minorEastAsia"/>
              </w:rPr>
              <m:t>C</m:t>
            </m:r>
          </m:e>
          <m:sup>
            <m:r>
              <w:rPr>
                <w:rFonts w:ascii="Cambria Math" w:hAnsi="Cambria Math" w:eastAsiaTheme="minorEastAsia"/>
              </w:rPr>
              <m:t>BC</m:t>
            </m:r>
          </m:sup>
        </m:sSup>
      </m:oMath>
      <w:r w:rsidRPr="00762113">
        <w:rPr>
          <w:rFonts w:eastAsiaTheme="minorEastAsia"/>
        </w:rPr>
        <w:t xml:space="preserve"> represents the welfare term of the balancing capacity market and can be expressed through the socio-economic costs of fulfilling balancing capacity demand:</w:t>
      </w:r>
    </w:p>
    <w:p w:rsidR="00835604" w:rsidRPr="00762113" w:rsidP="00835604" w14:paraId="5DD14B5A" w14:textId="4A5C2848">
      <w:pPr>
        <w:pStyle w:val="textregular"/>
        <w:rPr>
          <w:rFonts w:eastAsiaTheme="minorEastAsia"/>
        </w:rPr>
      </w:pPr>
      <m:oMathPara>
        <m:oMath>
          <m:sSup>
            <m:sSupPr>
              <m:ctrlPr>
                <w:rPr>
                  <w:rFonts w:ascii="Cambria Math" w:hAnsi="Cambria Math" w:eastAsiaTheme="minorEastAsia"/>
                  <w:i/>
                </w:rPr>
              </m:ctrlPr>
            </m:sSupPr>
            <m:e>
              <m:r>
                <w:rPr>
                  <w:rFonts w:ascii="Cambria Math" w:hAnsi="Cambria Math" w:eastAsiaTheme="minorEastAsia"/>
                </w:rPr>
                <m:t>C</m:t>
              </m:r>
            </m:e>
            <m:sup>
              <m:r>
                <w:rPr>
                  <w:rFonts w:ascii="Cambria Math" w:hAnsi="Cambria Math" w:eastAsiaTheme="minorEastAsia"/>
                </w:rPr>
                <m:t>BC</m:t>
              </m:r>
            </m:sup>
          </m:sSup>
          <m:r>
            <w:rPr>
              <w:rFonts w:ascii="Cambria Math" w:hAnsi="Cambria Math" w:eastAsiaTheme="minorEastAsia"/>
            </w:rPr>
            <m:t xml:space="preserve">= </m:t>
          </m:r>
          <m:nary>
            <m:naryPr>
              <m:chr m:val="∑"/>
              <m:limLoc m:val="undOvr"/>
              <m:supHide/>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bidcost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bidvolume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selected</m:t>
                  </m:r>
                </m:e>
                <m:sub>
                  <m:r>
                    <w:rPr>
                      <w:rFonts w:ascii="Cambria Math" w:hAnsi="Cambria Math"/>
                    </w:rPr>
                    <m:t>i</m:t>
                  </m:r>
                </m:sub>
              </m:sSub>
            </m:e>
          </m:nary>
        </m:oMath>
      </m:oMathPara>
    </w:p>
    <w:p w:rsidR="00835604" w:rsidRPr="00762113" w:rsidP="00835604" w14:paraId="4144A7E4" w14:textId="77777777">
      <w:pPr>
        <w:pStyle w:val="textregular"/>
        <w:rPr>
          <w:rFonts w:eastAsiaTheme="minorEastAsia"/>
        </w:rPr>
      </w:pPr>
      <w:r w:rsidRPr="00762113">
        <w:rPr>
          <w:rFonts w:eastAsiaTheme="minorEastAsia"/>
        </w:rPr>
        <w:t xml:space="preserve">Combining the meanings of </w:t>
      </w:r>
      <m:oMath>
        <m:sSup>
          <m:sSupPr>
            <m:ctrlPr>
              <w:rPr>
                <w:rFonts w:ascii="Cambria Math" w:hAnsi="Cambria Math" w:eastAsiaTheme="minorEastAsia"/>
                <w:i/>
              </w:rPr>
            </m:ctrlPr>
          </m:sSupPr>
          <m:e>
            <m:r>
              <w:rPr>
                <w:rFonts w:ascii="Cambria Math" w:hAnsi="Cambria Math" w:eastAsiaTheme="minorEastAsia"/>
              </w:rPr>
              <m:t>C</m:t>
            </m:r>
          </m:e>
          <m:sup>
            <m:r>
              <w:rPr>
                <w:rFonts w:ascii="Cambria Math" w:hAnsi="Cambria Math" w:eastAsiaTheme="minorEastAsia"/>
              </w:rPr>
              <m:t>DAM</m:t>
            </m:r>
          </m:sup>
        </m:sSup>
      </m:oMath>
      <w:r w:rsidRPr="00762113">
        <w:rPr>
          <w:rFonts w:eastAsiaTheme="minorEastAsia"/>
        </w:rPr>
        <w:t xml:space="preserve"> and </w:t>
      </w:r>
      <m:oMath>
        <m:sSup>
          <m:sSupPr>
            <m:ctrlPr>
              <w:rPr>
                <w:rFonts w:ascii="Cambria Math" w:hAnsi="Cambria Math" w:eastAsiaTheme="minorEastAsia"/>
                <w:i/>
              </w:rPr>
            </m:ctrlPr>
          </m:sSupPr>
          <m:e>
            <m:r>
              <w:rPr>
                <w:rFonts w:ascii="Cambria Math" w:hAnsi="Cambria Math" w:eastAsiaTheme="minorEastAsia"/>
              </w:rPr>
              <m:t>C</m:t>
            </m:r>
          </m:e>
          <m:sup>
            <m:r>
              <w:rPr>
                <w:rFonts w:ascii="Cambria Math" w:hAnsi="Cambria Math" w:eastAsiaTheme="minorEastAsia"/>
              </w:rPr>
              <m:t>BC</m:t>
            </m:r>
          </m:sup>
        </m:sSup>
      </m:oMath>
      <w:r w:rsidRPr="00762113">
        <w:rPr>
          <w:rFonts w:eastAsiaTheme="minorEastAsia"/>
        </w:rPr>
        <w:t xml:space="preserve"> the final form of the objective function can be expressed: </w:t>
      </w:r>
    </w:p>
    <w:p w:rsidR="00835604" w:rsidRPr="00762113" w:rsidP="00835604" w14:paraId="01E9BAC3" w14:textId="17A44CA2">
      <w:pPr>
        <w:pStyle w:val="textregular"/>
        <w:rPr>
          <w:rFonts w:eastAsiaTheme="minorEastAsia"/>
        </w:rPr>
      </w:pPr>
      <m:oMath>
        <m:sSub>
          <m:sSubPr>
            <m:ctrlPr>
              <w:rPr>
                <w:rFonts w:ascii="Cambria Math" w:hAnsi="Cambria Math"/>
                <w:i/>
              </w:rPr>
            </m:ctrlPr>
          </m:sSubPr>
          <m:e>
            <m:r>
              <w:rPr>
                <w:rFonts w:ascii="Cambria Math" w:hAnsi="Cambria Math"/>
              </w:rPr>
              <m:t>F</m:t>
            </m:r>
          </m:e>
          <m:sub>
            <m:r>
              <w:rPr>
                <w:rFonts w:ascii="Cambria Math" w:hAnsi="Cambria Math"/>
              </w:rPr>
              <m:t>obj</m:t>
            </m:r>
          </m:sub>
        </m:sSub>
        <m:r>
          <w:rPr>
            <w:rFonts w:ascii="Cambria Math" w:hAnsi="Cambria Math"/>
          </w:rPr>
          <m:t xml:space="preserve">= </m:t>
        </m:r>
        <m:nary>
          <m:naryPr>
            <m:chr m:val="∑"/>
            <m:limLoc m:val="undOvr"/>
            <m:supHide/>
            <m:ctrlPr>
              <w:rPr>
                <w:rFonts w:ascii="Cambria Math" w:hAnsi="Cambria Math"/>
                <w:i/>
              </w:rPr>
            </m:ctrlPr>
          </m:naryPr>
          <m:sub>
            <m:r>
              <w:rPr>
                <w:rFonts w:ascii="Cambria Math" w:hAnsi="Cambria Math"/>
              </w:rPr>
              <m:t>a</m:t>
            </m:r>
          </m:sub>
          <m:sup/>
          <m:e>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da,a</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MCP</m:t>
                        </m:r>
                      </m:e>
                      <m:sub>
                        <m:r>
                          <w:rPr>
                            <w:rFonts w:ascii="Cambria Math" w:hAnsi="Cambria Math"/>
                          </w:rPr>
                          <m:t>0,a</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da,a</m:t>
                        </m:r>
                      </m:sub>
                    </m:sSub>
                  </m:e>
                </m:d>
                <m:f>
                  <m:fPr>
                    <m:ctrlPr>
                      <w:rPr>
                        <w:rFonts w:ascii="Cambria Math" w:hAnsi="Cambria Math"/>
                        <w:i/>
                      </w:rPr>
                    </m:ctrlPr>
                  </m:fPr>
                  <m:num>
                    <m:r>
                      <w:rPr>
                        <w:rFonts w:ascii="Cambria Math" w:hAnsi="Cambria Math"/>
                      </w:rPr>
                      <m:t>1</m:t>
                    </m:r>
                  </m:num>
                  <m:den>
                    <m:r>
                      <w:rPr>
                        <w:rFonts w:ascii="Cambria Math" w:hAnsi="Cambria Math"/>
                      </w:rPr>
                      <m:t>2</m:t>
                    </m:r>
                  </m:den>
                </m:f>
              </m:e>
            </m:d>
          </m:e>
        </m:nary>
        <m:r>
          <w:rPr>
            <w:rFonts w:ascii="Cambria Math" w:hAnsi="Cambria Math"/>
          </w:rPr>
          <m:t>+</m:t>
        </m:r>
        <m:nary>
          <m:naryPr>
            <m:chr m:val="∑"/>
            <m:limLoc m:val="undOvr"/>
            <m:supHide/>
            <m:ctrlPr>
              <w:rPr>
                <w:rFonts w:ascii="Cambria Math" w:hAnsi="Cambria Math"/>
                <w:i/>
              </w:rPr>
            </m:ctrlPr>
          </m:naryPr>
          <m:sub>
            <m:r>
              <w:rPr>
                <w:rFonts w:ascii="Cambria Math" w:hAnsi="Cambria Math"/>
              </w:rPr>
              <m:t>i</m:t>
            </m:r>
          </m:sub>
          <m:sup/>
          <m:e>
            <m:d>
              <m:dPr>
                <m:ctrlPr>
                  <w:rPr>
                    <w:rFonts w:ascii="Cambria Math" w:hAnsi="Cambria Math"/>
                    <w:i/>
                  </w:rPr>
                </m:ctrlPr>
              </m:dPr>
              <m:e>
                <m:sSub>
                  <m:sSubPr>
                    <m:ctrlPr>
                      <w:rPr>
                        <w:rFonts w:ascii="Cambria Math" w:hAnsi="Cambria Math"/>
                        <w:i/>
                      </w:rPr>
                    </m:ctrlPr>
                  </m:sSubPr>
                  <m:e>
                    <m:r>
                      <w:rPr>
                        <w:rFonts w:ascii="Cambria Math" w:hAnsi="Cambria Math"/>
                      </w:rPr>
                      <m:t>bidcost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bidvolume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selected</m:t>
                    </m:r>
                  </m:e>
                  <m:sub>
                    <m:r>
                      <w:rPr>
                        <w:rFonts w:ascii="Cambria Math" w:hAnsi="Cambria Math"/>
                      </w:rPr>
                      <m:t>i</m:t>
                    </m:r>
                  </m:sub>
                </m:sSub>
              </m:e>
            </m:d>
          </m:e>
        </m:nary>
      </m:oMath>
      <w:r w:rsidRPr="00762113">
        <w:rPr>
          <w:rFonts w:eastAsiaTheme="minorEastAsia"/>
        </w:rPr>
        <w:t xml:space="preserve"> </w:t>
      </w:r>
    </w:p>
    <w:p w:rsidR="00835604" w:rsidRPr="00762113" w:rsidP="002C71B7" w14:paraId="7EAE71A6" w14:textId="77777777">
      <w:pPr>
        <w:pStyle w:val="textregular"/>
        <w:spacing w:after="0"/>
      </w:pPr>
      <w:r w:rsidRPr="00762113">
        <w:t>Where:</w:t>
      </w:r>
    </w:p>
    <w:p w:rsidR="00835604" w:rsidRPr="00762113" w:rsidP="002C71B7" w14:paraId="054AF0F6" w14:textId="3246272E">
      <w:pPr>
        <w:pStyle w:val="textregular"/>
        <w:spacing w:after="0" w:line="276" w:lineRule="auto"/>
      </w:pPr>
      <m:oMath>
        <m:sSub>
          <m:sSubPr>
            <m:ctrlPr>
              <w:rPr>
                <w:rFonts w:ascii="Cambria Math" w:hAnsi="Cambria Math"/>
                <w:i/>
              </w:rPr>
            </m:ctrlPr>
          </m:sSubPr>
          <m:e>
            <m:r>
              <w:rPr>
                <w:rFonts w:ascii="Cambria Math" w:hAnsi="Cambria Math"/>
              </w:rPr>
              <m:t>bidcost</m:t>
            </m:r>
          </m:e>
          <m:sub>
            <m:r>
              <w:rPr>
                <w:rFonts w:ascii="Cambria Math" w:hAnsi="Cambria Math"/>
              </w:rPr>
              <m:t>i</m:t>
            </m:r>
          </m:sub>
        </m:sSub>
      </m:oMath>
      <w:r w:rsidRPr="00762113">
        <w:t xml:space="preserve"> </w:t>
      </w:r>
      <w:r w:rsidRPr="00762113" w:rsidR="00F11819">
        <w:t xml:space="preserve">- </w:t>
      </w:r>
      <w:r w:rsidRPr="00762113">
        <w:t>the cost of bid</w:t>
      </w:r>
      <w:r w:rsidRPr="00762113" w:rsidR="00F11819">
        <w:t xml:space="preserve"> </w:t>
      </w:r>
      <w:r w:rsidRPr="00762113" w:rsidR="00F11819">
        <w:t>i</w:t>
      </w:r>
      <w:r w:rsidRPr="00762113">
        <w:t>;</w:t>
      </w:r>
    </w:p>
    <w:p w:rsidR="00835604" w:rsidRPr="00762113" w:rsidP="002C71B7" w14:paraId="270AB6F4" w14:textId="663C84CB">
      <w:pPr>
        <w:pStyle w:val="textregular"/>
        <w:spacing w:after="0" w:line="276" w:lineRule="auto"/>
      </w:pPr>
      <m:oMath>
        <m:sSub>
          <m:sSubPr>
            <m:ctrlPr>
              <w:rPr>
                <w:rFonts w:ascii="Cambria Math" w:hAnsi="Cambria Math"/>
                <w:i/>
              </w:rPr>
            </m:ctrlPr>
          </m:sSubPr>
          <m:e>
            <m:r>
              <w:rPr>
                <w:rFonts w:ascii="Cambria Math" w:hAnsi="Cambria Math"/>
              </w:rPr>
              <m:t>bidvolume</m:t>
            </m:r>
          </m:e>
          <m:sub>
            <m:r>
              <w:rPr>
                <w:rFonts w:ascii="Cambria Math" w:hAnsi="Cambria Math"/>
              </w:rPr>
              <m:t>i</m:t>
            </m:r>
          </m:sub>
        </m:sSub>
      </m:oMath>
      <w:r w:rsidRPr="00762113">
        <w:t xml:space="preserve"> </w:t>
      </w:r>
      <w:r w:rsidRPr="00762113" w:rsidR="00F11819">
        <w:t xml:space="preserve">- </w:t>
      </w:r>
      <w:r w:rsidRPr="00762113">
        <w:t xml:space="preserve">the volume of bid </w:t>
      </w:r>
      <w:r w:rsidRPr="00762113">
        <w:t>i</w:t>
      </w:r>
      <w:r w:rsidRPr="00762113">
        <w:t>;</w:t>
      </w:r>
    </w:p>
    <w:p w:rsidR="00835604" w:rsidRPr="00762113" w:rsidP="002C71B7" w14:paraId="61198136" w14:textId="109A931C">
      <w:pPr>
        <w:pStyle w:val="textregular"/>
        <w:spacing w:after="0" w:line="276" w:lineRule="auto"/>
      </w:pPr>
      <m:oMath>
        <m:sSub>
          <m:sSubPr>
            <m:ctrlPr>
              <w:rPr>
                <w:rFonts w:ascii="Cambria Math" w:hAnsi="Cambria Math"/>
                <w:i/>
              </w:rPr>
            </m:ctrlPr>
          </m:sSubPr>
          <m:e>
            <m:r>
              <w:rPr>
                <w:rFonts w:ascii="Cambria Math" w:hAnsi="Cambria Math"/>
              </w:rPr>
              <m:t>selected</m:t>
            </m:r>
          </m:e>
          <m:sub>
            <m:r>
              <w:rPr>
                <w:rFonts w:ascii="Cambria Math" w:hAnsi="Cambria Math"/>
              </w:rPr>
              <m:t>i</m:t>
            </m:r>
          </m:sub>
        </m:sSub>
      </m:oMath>
      <w:r w:rsidRPr="00762113">
        <w:t xml:space="preserve"> </w:t>
      </w:r>
      <w:r w:rsidRPr="00762113" w:rsidR="00F11819">
        <w:t xml:space="preserve">- </w:t>
      </w:r>
      <w:r w:rsidRPr="00762113">
        <w:t xml:space="preserve">a </w:t>
      </w:r>
      <w:r w:rsidRPr="00762113">
        <w:t>boolean</w:t>
      </w:r>
      <w:r w:rsidRPr="00762113">
        <w:t xml:space="preserve"> determining whether bid </w:t>
      </w:r>
      <w:r w:rsidRPr="00762113">
        <w:t>i</w:t>
      </w:r>
      <w:r w:rsidRPr="00762113">
        <w:t xml:space="preserve"> is accepted or not;</w:t>
      </w:r>
    </w:p>
    <w:p w:rsidR="00835604" w:rsidRPr="00762113" w:rsidP="002C71B7" w14:paraId="2A7ED4E7" w14:textId="151C93B5">
      <w:pPr>
        <w:pStyle w:val="textregular"/>
        <w:spacing w:after="0" w:line="276" w:lineRule="auto"/>
      </w:pPr>
      <m:oMath>
        <m:sSub>
          <m:sSubPr>
            <m:ctrlPr>
              <w:rPr>
                <w:rFonts w:ascii="Cambria Math" w:hAnsi="Cambria Math"/>
                <w:i/>
              </w:rPr>
            </m:ctrlPr>
          </m:sSubPr>
          <m:e>
            <m:r>
              <w:rPr>
                <w:rFonts w:ascii="Cambria Math" w:hAnsi="Cambria Math"/>
              </w:rPr>
              <m:t>∆V</m:t>
            </m:r>
          </m:e>
          <m:sub>
            <m:r>
              <w:rPr>
                <w:rFonts w:ascii="Cambria Math" w:hAnsi="Cambria Math"/>
              </w:rPr>
              <m:t>da,a</m:t>
            </m:r>
          </m:sub>
        </m:sSub>
      </m:oMath>
      <w:r w:rsidRPr="00762113">
        <w:t xml:space="preserve"> </w:t>
      </w:r>
      <w:r w:rsidRPr="00762113" w:rsidR="00B71142">
        <w:t xml:space="preserve">- </w:t>
      </w:r>
      <w:r w:rsidRPr="00762113">
        <w:t xml:space="preserve">the deviation of the forecast net position of bidding zone </w:t>
      </w:r>
      <w:r w:rsidRPr="00762113" w:rsidR="007739A4">
        <w:t>a</w:t>
      </w:r>
      <w:r w:rsidRPr="00762113">
        <w:t>;</w:t>
      </w:r>
    </w:p>
    <w:p w:rsidR="00835604" w:rsidRPr="00762113" w:rsidP="002C71B7" w14:paraId="5EBA650D" w14:textId="1A74724A">
      <w:pPr>
        <w:pStyle w:val="textregular"/>
        <w:spacing w:after="0" w:line="276" w:lineRule="auto"/>
      </w:pPr>
      <m:oMath>
        <m:sSub>
          <m:sSubPr>
            <m:ctrlPr>
              <w:rPr>
                <w:rFonts w:ascii="Cambria Math" w:hAnsi="Cambria Math"/>
                <w:i/>
              </w:rPr>
            </m:ctrlPr>
          </m:sSubPr>
          <m:e>
            <m:r>
              <w:rPr>
                <w:rFonts w:ascii="Cambria Math" w:hAnsi="Cambria Math"/>
              </w:rPr>
              <m:t>MCP</m:t>
            </m:r>
          </m:e>
          <m:sub>
            <m:r>
              <w:rPr>
                <w:rFonts w:ascii="Cambria Math" w:hAnsi="Cambria Math"/>
              </w:rPr>
              <m:t>a</m:t>
            </m:r>
          </m:sub>
        </m:sSub>
      </m:oMath>
      <w:r w:rsidRPr="00762113">
        <w:t xml:space="preserve"> </w:t>
      </w:r>
      <w:r w:rsidRPr="00762113" w:rsidR="00B71142">
        <w:t xml:space="preserve">- </w:t>
      </w:r>
      <w:r w:rsidRPr="00762113">
        <w:t xml:space="preserve">the forecasted day-ahead market price in bidding zone </w:t>
      </w:r>
      <w:r w:rsidRPr="00762113" w:rsidR="007739A4">
        <w:t>a</w:t>
      </w:r>
      <w:r w:rsidRPr="00762113">
        <w:t>;</w:t>
      </w:r>
    </w:p>
    <w:p w:rsidR="00835604" w:rsidRPr="00762113" w:rsidP="002C71B7" w14:paraId="2FC39A56" w14:textId="2EAE31D2">
      <w:pPr>
        <w:pStyle w:val="textregular"/>
        <w:spacing w:after="0" w:line="276" w:lineRule="auto"/>
      </w:pPr>
      <m:oMath>
        <m:sSub>
          <m:sSubPr>
            <m:ctrlPr>
              <w:rPr>
                <w:rFonts w:ascii="Cambria Math" w:hAnsi="Cambria Math"/>
                <w:i/>
              </w:rPr>
            </m:ctrlPr>
          </m:sSubPr>
          <m:e>
            <m:r>
              <w:rPr>
                <w:rFonts w:ascii="Cambria Math" w:hAnsi="Cambria Math"/>
              </w:rPr>
              <m:t>α</m:t>
            </m:r>
          </m:e>
          <m:sub>
            <m:r>
              <w:rPr>
                <w:rFonts w:ascii="Cambria Math" w:hAnsi="Cambria Math"/>
              </w:rPr>
              <m:t>a</m:t>
            </m:r>
          </m:sub>
        </m:sSub>
      </m:oMath>
      <w:r w:rsidRPr="00762113">
        <w:t xml:space="preserve"> </w:t>
      </w:r>
      <w:r w:rsidRPr="00762113" w:rsidR="00B71142">
        <w:t xml:space="preserve">- </w:t>
      </w:r>
      <w:r w:rsidRPr="00762113">
        <w:t xml:space="preserve">the price/volume sensitivity of day-ahead bidding zone </w:t>
      </w:r>
      <w:r w:rsidRPr="00762113" w:rsidR="007739A4">
        <w:t>a</w:t>
      </w:r>
      <w:r w:rsidRPr="00762113">
        <w:t>.</w:t>
      </w:r>
    </w:p>
    <w:p w:rsidR="00835604" w:rsidRPr="00762113" w:rsidP="00835604" w14:paraId="7E049D52" w14:textId="77777777">
      <w:pPr>
        <w:pStyle w:val="textregular"/>
        <w:rPr>
          <w:rFonts w:eastAsiaTheme="minorEastAsia"/>
        </w:rPr>
      </w:pPr>
    </w:p>
    <w:p w:rsidR="00835604" w:rsidRPr="00762113" w:rsidP="00835604" w14:paraId="2F3F7D5A" w14:textId="72289350">
      <w:pPr>
        <w:pStyle w:val="textregular"/>
        <w:rPr>
          <w:rFonts w:eastAsiaTheme="minorEastAsia"/>
        </w:rPr>
      </w:pPr>
      <w:r w:rsidRPr="00762113">
        <w:rPr>
          <w:rFonts w:eastAsiaTheme="minorEastAsia"/>
        </w:rPr>
        <w:t xml:space="preserve">Due to the fact that only the cost aspect of socio-economic welfare is represented in the objective function, the value of </w:t>
      </w:r>
      <m:oMath>
        <m:sSub>
          <m:sSubPr>
            <m:ctrlPr>
              <w:rPr>
                <w:rFonts w:ascii="Cambria Math" w:hAnsi="Cambria Math"/>
                <w:i/>
              </w:rPr>
            </m:ctrlPr>
          </m:sSubPr>
          <m:e>
            <m:r>
              <w:rPr>
                <w:rFonts w:ascii="Cambria Math" w:hAnsi="Cambria Math"/>
              </w:rPr>
              <m:t>F</m:t>
            </m:r>
          </m:e>
          <m:sub>
            <m:r>
              <w:rPr>
                <w:rFonts w:ascii="Cambria Math" w:hAnsi="Cambria Math"/>
              </w:rPr>
              <m:t>Obj</m:t>
            </m:r>
          </m:sub>
        </m:sSub>
      </m:oMath>
      <w:r w:rsidRPr="00762113">
        <w:rPr>
          <w:rFonts w:eastAsiaTheme="minorEastAsia"/>
        </w:rPr>
        <w:t xml:space="preserve"> shall be minimized during the optimization process, to find the solution with the highest possible welfare.</w:t>
      </w:r>
    </w:p>
    <w:p w:rsidR="0033765C" w:rsidRPr="00762113" w:rsidP="00835604" w14:paraId="55811629" w14:textId="16DA8594">
      <w:pPr>
        <w:pStyle w:val="textregular"/>
        <w:rPr>
          <w:rFonts w:eastAsiaTheme="minorEastAsia"/>
        </w:rPr>
      </w:pPr>
      <w:r w:rsidRPr="00762113">
        <w:rPr>
          <w:rFonts w:eastAsiaTheme="minorEastAsia"/>
        </w:rPr>
        <w:br w:type="page"/>
      </w:r>
    </w:p>
    <w:p w:rsidR="00835604" w:rsidRPr="00762113" w:rsidP="00835604" w14:paraId="31B8AED4" w14:textId="0E448CAD">
      <w:pPr>
        <w:pStyle w:val="headline1"/>
        <w:numPr>
          <w:ilvl w:val="0"/>
          <w:numId w:val="1"/>
        </w:numPr>
      </w:pPr>
      <w:bookmarkStart w:id="11" w:name="_Toc113284208"/>
      <w:r w:rsidRPr="00762113">
        <w:t>Mathematical formulation of the Baltic balancing capacity optimisation algorithm</w:t>
      </w:r>
      <w:bookmarkEnd w:id="11"/>
    </w:p>
    <w:p w:rsidR="00835604" w:rsidRPr="00762113" w:rsidP="00835604" w14:paraId="4A2BD6D2" w14:textId="57D54C78">
      <w:pPr>
        <w:pStyle w:val="textregular"/>
        <w:rPr>
          <w:rFonts w:eastAsiaTheme="minorEastAsia"/>
        </w:rPr>
      </w:pPr>
      <w:r w:rsidRPr="00762113">
        <w:rPr>
          <w:rFonts w:eastAsiaTheme="minorEastAsia"/>
        </w:rPr>
        <w:t>As established in</w:t>
      </w:r>
      <w:r w:rsidRPr="00762113" w:rsidR="001427BC">
        <w:rPr>
          <w:rFonts w:eastAsiaTheme="minorEastAsia"/>
        </w:rPr>
        <w:t xml:space="preserve"> </w:t>
      </w:r>
      <w:r w:rsidRPr="00762113">
        <w:rPr>
          <w:rFonts w:eastAsiaTheme="minorEastAsia"/>
        </w:rPr>
        <w:t>the previous section, the objective function of the balancing capacity procurement algorithm consists of the forecasted cost for the day ahead market and the actual cost of the balancing capacity market. The value of the objective function is minimized and the results with the highest possible welfare, given the inputs, is delivered for each day. The algorithm is also subject to a set of mathematical constraints.</w:t>
      </w:r>
    </w:p>
    <w:p w:rsidR="00835604" w:rsidRPr="00762113" w:rsidP="00835604" w14:paraId="0EDD2410" w14:textId="4CCBB3A2">
      <w:pPr>
        <w:pStyle w:val="headline2"/>
        <w:numPr>
          <w:ilvl w:val="1"/>
          <w:numId w:val="1"/>
        </w:numPr>
        <w:rPr>
          <w:rFonts w:eastAsiaTheme="minorEastAsia"/>
        </w:rPr>
      </w:pPr>
      <w:bookmarkStart w:id="12" w:name="_Toc113284209"/>
      <w:r w:rsidRPr="00762113">
        <w:rPr>
          <w:rFonts w:eastAsiaTheme="minorEastAsia"/>
        </w:rPr>
        <w:t xml:space="preserve">Allocation of </w:t>
      </w:r>
      <w:r w:rsidRPr="00762113" w:rsidR="001B3A51">
        <w:rPr>
          <w:rFonts w:eastAsiaTheme="minorEastAsia"/>
        </w:rPr>
        <w:t>CZC</w:t>
      </w:r>
      <w:bookmarkEnd w:id="12"/>
    </w:p>
    <w:p w:rsidR="00835604" w:rsidRPr="00762113" w:rsidP="00835604" w14:paraId="79179AB2" w14:textId="235B1A8D">
      <w:pPr>
        <w:pStyle w:val="textregular"/>
        <w:rPr>
          <w:rFonts w:eastAsiaTheme="minorEastAsia"/>
        </w:rPr>
      </w:pPr>
      <w:r w:rsidRPr="00762113">
        <w:rPr>
          <w:rFonts w:eastAsiaTheme="minorEastAsia"/>
        </w:rPr>
        <w:t xml:space="preserve">The forecast algorithm will allocate the </w:t>
      </w:r>
      <w:r w:rsidRPr="00762113" w:rsidR="001B3A51">
        <w:rPr>
          <w:rFonts w:eastAsiaTheme="minorEastAsia"/>
        </w:rPr>
        <w:t>CZC</w:t>
      </w:r>
      <w:r w:rsidRPr="00762113">
        <w:rPr>
          <w:rFonts w:eastAsiaTheme="minorEastAsia"/>
        </w:rPr>
        <w:t xml:space="preserve"> for balancing capacity and the exchange of energy in the day-ahead timeframe. The three Baltic bidding zones form an LFC block, within which imbalance setting takes place. As such, up and down regulating bids are never activated simultaneously and </w:t>
      </w:r>
      <w:r w:rsidRPr="00762113" w:rsidR="001B3A51">
        <w:rPr>
          <w:rFonts w:eastAsiaTheme="minorEastAsia"/>
        </w:rPr>
        <w:t>CZC</w:t>
      </w:r>
      <w:r w:rsidRPr="00762113">
        <w:rPr>
          <w:rFonts w:eastAsiaTheme="minorEastAsia"/>
        </w:rPr>
        <w:t xml:space="preserve"> need not be allocated for up and down regulating capacity both, but only the largest of the two must be allocated. Thus, for any existing </w:t>
      </w:r>
      <w:r w:rsidRPr="00762113" w:rsidR="001B3A51">
        <w:rPr>
          <w:rFonts w:eastAsiaTheme="minorEastAsia"/>
        </w:rPr>
        <w:t>CZC</w:t>
      </w:r>
      <w:r w:rsidRPr="00762113">
        <w:rPr>
          <w:rFonts w:eastAsiaTheme="minorEastAsia"/>
        </w:rPr>
        <w:t xml:space="preserve"> between areas </w:t>
      </w:r>
      <w:r w:rsidRPr="00762113">
        <w:rPr>
          <w:rFonts w:eastAsiaTheme="minorEastAsia"/>
          <w:i/>
          <w:iCs/>
        </w:rPr>
        <w:t>a</w:t>
      </w:r>
      <w:r w:rsidRPr="00762113">
        <w:rPr>
          <w:rFonts w:eastAsiaTheme="minorEastAsia"/>
        </w:rPr>
        <w:t xml:space="preserve"> and </w:t>
      </w:r>
      <w:r w:rsidRPr="00762113">
        <w:rPr>
          <w:rFonts w:eastAsiaTheme="minorEastAsia"/>
          <w:i/>
          <w:iCs/>
        </w:rPr>
        <w:t>b</w:t>
      </w:r>
      <w:r w:rsidRPr="00762113">
        <w:rPr>
          <w:rFonts w:eastAsiaTheme="minorEastAsia"/>
        </w:rPr>
        <w:t xml:space="preserve"> within the Baltic LFC block, for both directions, two equations are defined for the allocation of </w:t>
      </w:r>
      <w:r w:rsidRPr="00762113" w:rsidR="001B3A51">
        <w:rPr>
          <w:rFonts w:eastAsiaTheme="minorEastAsia"/>
        </w:rPr>
        <w:t>CZC</w:t>
      </w:r>
      <w:r w:rsidRPr="00762113">
        <w:rPr>
          <w:rFonts w:eastAsiaTheme="minorEastAsia"/>
        </w:rPr>
        <w:t>, as described by equations 5.1 and 5.2, both of which will be active at the same time during the optimisation procedure.</w:t>
      </w:r>
    </w:p>
    <w:p w:rsidR="00835604" w:rsidRPr="00762113" w:rsidP="00835604" w14:paraId="1996AA2F" w14:textId="77777777">
      <w:pPr>
        <w:pStyle w:val="textregular"/>
        <w:rPr>
          <w:rFonts w:eastAsiaTheme="minorEastAsia"/>
        </w:rPr>
      </w:pPr>
      <m:oMath>
        <m:sSubSup>
          <m:sSubSupPr>
            <m:ctrlPr>
              <w:rPr>
                <w:rFonts w:ascii="Cambria Math" w:hAnsi="Cambria Math" w:eastAsiaTheme="minorEastAsia"/>
                <w:i/>
              </w:rPr>
            </m:ctrlPr>
          </m:sSubSupPr>
          <m:e>
            <m:r>
              <w:rPr>
                <w:rFonts w:ascii="Cambria Math" w:hAnsi="Cambria Math" w:eastAsiaTheme="minorEastAsia"/>
              </w:rPr>
              <m:t>V</m:t>
            </m:r>
          </m:e>
          <m:sub>
            <m:r>
              <w:rPr>
                <w:rFonts w:ascii="Cambria Math" w:hAnsi="Cambria Math" w:eastAsiaTheme="minorEastAsia"/>
              </w:rPr>
              <m:t>a→b</m:t>
            </m:r>
          </m:sub>
          <m:sup>
            <m:r>
              <w:rPr>
                <w:rFonts w:ascii="Cambria Math" w:hAnsi="Cambria Math" w:eastAsiaTheme="minorEastAsia"/>
              </w:rPr>
              <m:t>DAM</m:t>
            </m:r>
          </m:sup>
        </m:sSubSup>
        <m:r>
          <w:rPr>
            <w:rFonts w:ascii="Cambria Math" w:hAnsi="Cambria Math" w:eastAsiaTheme="minorEastAsia"/>
          </w:rPr>
          <m:t xml:space="preserve">+ </m:t>
        </m:r>
        <m:sSubSup>
          <m:sSubSupPr>
            <m:ctrlPr>
              <w:rPr>
                <w:rFonts w:ascii="Cambria Math" w:hAnsi="Cambria Math" w:eastAsiaTheme="minorEastAsia"/>
                <w:i/>
              </w:rPr>
            </m:ctrlPr>
          </m:sSubSupPr>
          <m:e>
            <m:r>
              <w:rPr>
                <w:rFonts w:ascii="Cambria Math" w:hAnsi="Cambria Math" w:eastAsiaTheme="minorEastAsia"/>
              </w:rPr>
              <m:t>CZC</m:t>
            </m:r>
          </m:e>
          <m:sub>
            <m:r>
              <w:rPr>
                <w:rFonts w:ascii="Cambria Math" w:hAnsi="Cambria Math" w:eastAsiaTheme="minorEastAsia"/>
              </w:rPr>
              <m:t>a→b</m:t>
            </m:r>
          </m:sub>
          <m:sup>
            <m:r>
              <w:rPr>
                <w:rFonts w:ascii="Cambria Math" w:hAnsi="Cambria Math" w:eastAsiaTheme="minorEastAsia"/>
              </w:rPr>
              <m:t>aFRR+</m:t>
            </m:r>
          </m:sup>
        </m:sSubSup>
        <m:r>
          <w:rPr>
            <w:rFonts w:ascii="Cambria Math" w:hAnsi="Cambria Math" w:eastAsiaTheme="minorEastAsia"/>
          </w:rPr>
          <m:t xml:space="preserve">+ </m:t>
        </m:r>
        <m:sSubSup>
          <m:sSubSupPr>
            <m:ctrlPr>
              <w:rPr>
                <w:rFonts w:ascii="Cambria Math" w:hAnsi="Cambria Math" w:eastAsiaTheme="minorEastAsia"/>
                <w:i/>
              </w:rPr>
            </m:ctrlPr>
          </m:sSubSupPr>
          <m:e>
            <m:r>
              <w:rPr>
                <w:rFonts w:ascii="Cambria Math" w:hAnsi="Cambria Math" w:eastAsiaTheme="minorEastAsia"/>
              </w:rPr>
              <m:t>CZC</m:t>
            </m:r>
          </m:e>
          <m:sub>
            <m:r>
              <w:rPr>
                <w:rFonts w:ascii="Cambria Math" w:hAnsi="Cambria Math" w:eastAsiaTheme="minorEastAsia"/>
              </w:rPr>
              <m:t>a→b</m:t>
            </m:r>
          </m:sub>
          <m:sup>
            <m:r>
              <w:rPr>
                <w:rFonts w:ascii="Cambria Math" w:hAnsi="Cambria Math" w:eastAsiaTheme="minorEastAsia"/>
              </w:rPr>
              <m:t>mFRR+</m:t>
            </m:r>
          </m:sup>
        </m:sSubSup>
        <m:r>
          <w:rPr>
            <w:rFonts w:ascii="Cambria Math" w:hAnsi="Cambria Math" w:eastAsiaTheme="minorEastAsia"/>
          </w:rPr>
          <m:t>≤</m:t>
        </m:r>
        <m:sSub>
          <m:sSubPr>
            <m:ctrlPr>
              <w:rPr>
                <w:rFonts w:ascii="Cambria Math" w:hAnsi="Cambria Math" w:eastAsiaTheme="minorEastAsia"/>
                <w:i/>
              </w:rPr>
            </m:ctrlPr>
          </m:sSubPr>
          <m:e>
            <m:r>
              <w:rPr>
                <w:rFonts w:ascii="Cambria Math" w:hAnsi="Cambria Math" w:eastAsiaTheme="minorEastAsia"/>
              </w:rPr>
              <m:t>NTC</m:t>
            </m:r>
          </m:e>
          <m:sub>
            <m:r>
              <w:rPr>
                <w:rFonts w:ascii="Cambria Math" w:hAnsi="Cambria Math" w:eastAsiaTheme="minorEastAsia"/>
              </w:rPr>
              <m:t>a→b</m:t>
            </m:r>
          </m:sub>
        </m:sSub>
      </m:oMath>
      <w:r w:rsidRPr="00762113">
        <w:rPr>
          <w:rFonts w:eastAsiaTheme="minorEastAsia"/>
        </w:rPr>
        <w:tab/>
        <w:t>(5.1)</w:t>
      </w:r>
    </w:p>
    <w:p w:rsidR="00835604" w:rsidRPr="00762113" w:rsidP="00835604" w14:paraId="440B88F1" w14:textId="77777777">
      <w:pPr>
        <w:pStyle w:val="textregular"/>
        <w:rPr>
          <w:rFonts w:eastAsiaTheme="minorEastAsia"/>
        </w:rPr>
      </w:pPr>
      <m:oMath>
        <m:sSubSup>
          <m:sSubSupPr>
            <m:ctrlPr>
              <w:rPr>
                <w:rFonts w:ascii="Cambria Math" w:hAnsi="Cambria Math" w:eastAsiaTheme="minorEastAsia"/>
                <w:i/>
              </w:rPr>
            </m:ctrlPr>
          </m:sSubSupPr>
          <m:e>
            <m:r>
              <w:rPr>
                <w:rFonts w:ascii="Cambria Math" w:hAnsi="Cambria Math" w:eastAsiaTheme="minorEastAsia"/>
              </w:rPr>
              <m:t>V</m:t>
            </m:r>
          </m:e>
          <m:sub>
            <m:r>
              <w:rPr>
                <w:rFonts w:ascii="Cambria Math" w:hAnsi="Cambria Math" w:eastAsiaTheme="minorEastAsia"/>
              </w:rPr>
              <m:t>a→b</m:t>
            </m:r>
          </m:sub>
          <m:sup>
            <m:r>
              <w:rPr>
                <w:rFonts w:ascii="Cambria Math" w:hAnsi="Cambria Math" w:eastAsiaTheme="minorEastAsia"/>
              </w:rPr>
              <m:t>DAM</m:t>
            </m:r>
          </m:sup>
        </m:sSubSup>
        <m:r>
          <w:rPr>
            <w:rFonts w:ascii="Cambria Math" w:hAnsi="Cambria Math" w:eastAsiaTheme="minorEastAsia"/>
          </w:rPr>
          <m:t xml:space="preserve">+ </m:t>
        </m:r>
        <m:sSubSup>
          <m:sSubSupPr>
            <m:ctrlPr>
              <w:rPr>
                <w:rFonts w:ascii="Cambria Math" w:hAnsi="Cambria Math" w:eastAsiaTheme="minorEastAsia"/>
                <w:i/>
              </w:rPr>
            </m:ctrlPr>
          </m:sSubSupPr>
          <m:e>
            <m:r>
              <w:rPr>
                <w:rFonts w:ascii="Cambria Math" w:hAnsi="Cambria Math" w:eastAsiaTheme="minorEastAsia"/>
              </w:rPr>
              <m:t>CZC</m:t>
            </m:r>
          </m:e>
          <m:sub>
            <m:r>
              <w:rPr>
                <w:rFonts w:ascii="Cambria Math" w:hAnsi="Cambria Math" w:eastAsiaTheme="minorEastAsia"/>
              </w:rPr>
              <m:t>b→a</m:t>
            </m:r>
          </m:sub>
          <m:sup>
            <m:r>
              <w:rPr>
                <w:rFonts w:ascii="Cambria Math" w:hAnsi="Cambria Math" w:eastAsiaTheme="minorEastAsia"/>
              </w:rPr>
              <m:t>aFRR-</m:t>
            </m:r>
          </m:sup>
        </m:sSubSup>
        <m:r>
          <w:rPr>
            <w:rFonts w:ascii="Cambria Math" w:hAnsi="Cambria Math" w:eastAsiaTheme="minorEastAsia"/>
          </w:rPr>
          <m:t xml:space="preserve">+ </m:t>
        </m:r>
        <m:sSubSup>
          <m:sSubSupPr>
            <m:ctrlPr>
              <w:rPr>
                <w:rFonts w:ascii="Cambria Math" w:hAnsi="Cambria Math" w:eastAsiaTheme="minorEastAsia"/>
                <w:i/>
              </w:rPr>
            </m:ctrlPr>
          </m:sSubSupPr>
          <m:e>
            <m:r>
              <w:rPr>
                <w:rFonts w:ascii="Cambria Math" w:hAnsi="Cambria Math" w:eastAsiaTheme="minorEastAsia"/>
              </w:rPr>
              <m:t>CZC</m:t>
            </m:r>
          </m:e>
          <m:sub>
            <m:r>
              <w:rPr>
                <w:rFonts w:ascii="Cambria Math" w:hAnsi="Cambria Math" w:eastAsiaTheme="minorEastAsia"/>
              </w:rPr>
              <m:t>b→a</m:t>
            </m:r>
          </m:sub>
          <m:sup>
            <m:r>
              <w:rPr>
                <w:rFonts w:ascii="Cambria Math" w:hAnsi="Cambria Math" w:eastAsiaTheme="minorEastAsia"/>
              </w:rPr>
              <m:t>mFRR-</m:t>
            </m:r>
          </m:sup>
        </m:sSubSup>
        <m:r>
          <w:rPr>
            <w:rFonts w:ascii="Cambria Math" w:hAnsi="Cambria Math" w:eastAsiaTheme="minorEastAsia"/>
          </w:rPr>
          <m:t>≤</m:t>
        </m:r>
        <m:sSub>
          <m:sSubPr>
            <m:ctrlPr>
              <w:rPr>
                <w:rFonts w:ascii="Cambria Math" w:hAnsi="Cambria Math" w:eastAsiaTheme="minorEastAsia"/>
                <w:i/>
              </w:rPr>
            </m:ctrlPr>
          </m:sSubPr>
          <m:e>
            <m:r>
              <w:rPr>
                <w:rFonts w:ascii="Cambria Math" w:hAnsi="Cambria Math" w:eastAsiaTheme="minorEastAsia"/>
              </w:rPr>
              <m:t>NTC</m:t>
            </m:r>
          </m:e>
          <m:sub>
            <m:r>
              <w:rPr>
                <w:rFonts w:ascii="Cambria Math" w:hAnsi="Cambria Math" w:eastAsiaTheme="minorEastAsia"/>
              </w:rPr>
              <m:t>a→b</m:t>
            </m:r>
          </m:sub>
        </m:sSub>
      </m:oMath>
      <w:r w:rsidRPr="00762113">
        <w:rPr>
          <w:rFonts w:eastAsiaTheme="minorEastAsia"/>
        </w:rPr>
        <w:tab/>
        <w:t>(5.2)</w:t>
      </w:r>
    </w:p>
    <w:p w:rsidR="001427BC" w:rsidRPr="00762113" w:rsidP="00835604" w14:paraId="2E8EA976" w14:textId="1375EAA3">
      <w:pPr>
        <w:pStyle w:val="textregular"/>
        <w:rPr>
          <w:rFonts w:eastAsiaTheme="minorEastAsia"/>
        </w:rPr>
      </w:pPr>
      <w:r w:rsidRPr="00762113">
        <w:rPr>
          <w:rFonts w:eastAsiaTheme="minorEastAsia"/>
        </w:rPr>
        <w:t xml:space="preserve">This aspect of </w:t>
      </w:r>
      <w:r w:rsidRPr="00762113" w:rsidR="001B3A51">
        <w:rPr>
          <w:rFonts w:eastAsiaTheme="minorEastAsia"/>
        </w:rPr>
        <w:t>CZC</w:t>
      </w:r>
      <w:r w:rsidRPr="00762113">
        <w:rPr>
          <w:rFonts w:eastAsiaTheme="minorEastAsia"/>
        </w:rPr>
        <w:t xml:space="preserve"> allocation is further elaborated on in section </w:t>
      </w:r>
      <w:r w:rsidRPr="00762113">
        <w:rPr>
          <w:rFonts w:eastAsiaTheme="minorEastAsia"/>
        </w:rPr>
        <w:fldChar w:fldCharType="begin"/>
      </w:r>
      <w:r w:rsidRPr="00762113">
        <w:rPr>
          <w:rFonts w:eastAsiaTheme="minorEastAsia"/>
        </w:rPr>
        <w:instrText xml:space="preserve"> REF _Ref107403431 \r \h </w:instrText>
      </w:r>
      <w:r w:rsidR="00762113">
        <w:rPr>
          <w:rFonts w:eastAsiaTheme="minorEastAsia"/>
        </w:rPr>
        <w:instrText xml:space="preserve"> \* MERGEFORMAT </w:instrText>
      </w:r>
      <w:r w:rsidRPr="00762113">
        <w:rPr>
          <w:rFonts w:eastAsiaTheme="minorEastAsia"/>
        </w:rPr>
        <w:fldChar w:fldCharType="separate"/>
      </w:r>
      <w:r w:rsidRPr="00762113">
        <w:rPr>
          <w:rFonts w:eastAsiaTheme="minorEastAsia"/>
        </w:rPr>
        <w:t>4</w:t>
      </w:r>
      <w:r w:rsidRPr="00762113">
        <w:rPr>
          <w:rFonts w:eastAsiaTheme="minorEastAsia"/>
        </w:rPr>
        <w:fldChar w:fldCharType="end"/>
      </w:r>
      <w:r w:rsidRPr="00762113">
        <w:rPr>
          <w:rFonts w:eastAsiaTheme="minorEastAsia"/>
        </w:rPr>
        <w:t>.</w:t>
      </w:r>
    </w:p>
    <w:p w:rsidR="00835604" w:rsidRPr="00762113" w:rsidP="00217F20" w14:paraId="0991646A" w14:textId="77777777"/>
    <w:p w:rsidR="00835604" w:rsidRPr="00762113" w:rsidP="00835604" w14:paraId="29C5E856" w14:textId="77777777">
      <w:pPr>
        <w:pStyle w:val="headline2"/>
        <w:numPr>
          <w:ilvl w:val="1"/>
          <w:numId w:val="1"/>
        </w:numPr>
        <w:rPr>
          <w:rFonts w:eastAsiaTheme="minorEastAsia"/>
        </w:rPr>
      </w:pPr>
      <w:bookmarkStart w:id="13" w:name="_Toc113284210"/>
      <w:r w:rsidRPr="00762113">
        <w:rPr>
          <w:rFonts w:eastAsiaTheme="minorEastAsia"/>
        </w:rPr>
        <w:t>Product balances</w:t>
      </w:r>
      <w:bookmarkEnd w:id="13"/>
    </w:p>
    <w:p w:rsidR="00835604" w:rsidRPr="00762113" w:rsidP="00835604" w14:paraId="286EFD11" w14:textId="77777777">
      <w:pPr>
        <w:pStyle w:val="textregular"/>
        <w:rPr>
          <w:rFonts w:eastAsiaTheme="minorEastAsia"/>
        </w:rPr>
      </w:pPr>
      <w:r w:rsidRPr="00762113">
        <w:rPr>
          <w:rFonts w:eastAsiaTheme="minorEastAsia"/>
        </w:rPr>
        <w:t>Product balances are observed for all balancing capacity products (including up and down separately). Due to the nature of the day-ahead market value forecast methodology implemented, the day-ahead energy balance is also observed in the context of the day-ahead energy market proxy.</w:t>
      </w:r>
    </w:p>
    <w:p w:rsidR="00835604" w:rsidRPr="00762113" w:rsidP="00217F20" w14:paraId="44EF3623" w14:textId="77777777"/>
    <w:p w:rsidR="00835604" w:rsidRPr="00762113" w:rsidP="00217F20" w14:paraId="27BA3751" w14:textId="7329F720">
      <w:pPr>
        <w:pStyle w:val="headline3"/>
        <w:numPr>
          <w:ilvl w:val="2"/>
          <w:numId w:val="1"/>
        </w:numPr>
        <w:rPr>
          <w:rFonts w:eastAsiaTheme="minorEastAsia"/>
        </w:rPr>
      </w:pPr>
      <w:bookmarkStart w:id="14" w:name="_Toc113284211"/>
      <w:r w:rsidRPr="00762113">
        <w:rPr>
          <w:rFonts w:eastAsiaTheme="minorEastAsia"/>
        </w:rPr>
        <w:t>The day-ahead energy balance</w:t>
      </w:r>
      <w:bookmarkEnd w:id="14"/>
    </w:p>
    <w:p w:rsidR="00835604" w:rsidRPr="00762113" w:rsidP="00835604" w14:paraId="2DE8E35C" w14:textId="77777777">
      <w:pPr>
        <w:pStyle w:val="textregular"/>
        <w:rPr>
          <w:rFonts w:eastAsiaTheme="minorEastAsia"/>
        </w:rPr>
      </w:pPr>
      <w:r w:rsidRPr="00762113">
        <w:rPr>
          <w:rFonts w:eastAsiaTheme="minorEastAsia"/>
        </w:rPr>
        <w:t>The day-ahead energy balance is established for each of the bidding zones and consists of the forecasted net position of each bidding zone from the reference day. The forecast net position of the bidding zone can be altered during the optimization process, when CZC allocation for the exchange of energy is changed and thus the generation/load levels in bidding zones are also anticipated to be changes. Thus the net positions of bidding zones must change in harmony with the CZC allocation. For each of the bidding zones, the day-ahead energy balance is expressed as shown in equation 5.3</w:t>
      </w:r>
    </w:p>
    <w:p w:rsidR="00835604" w:rsidRPr="00762113" w:rsidP="00835604" w14:paraId="5A671E75" w14:textId="67036A46">
      <w:pPr>
        <w:pStyle w:val="textregular"/>
        <w:rPr>
          <w:rFonts w:eastAsiaTheme="minorEastAsia"/>
        </w:rPr>
      </w:pPr>
      <m:oMath>
        <m:sSub>
          <m:sSubPr>
            <m:ctrlPr>
              <w:rPr>
                <w:rFonts w:ascii="Cambria Math" w:hAnsi="Cambria Math" w:eastAsiaTheme="minorEastAsia"/>
                <w:i/>
              </w:rPr>
            </m:ctrlPr>
          </m:sSubPr>
          <m:e>
            <m:r>
              <w:rPr>
                <w:rFonts w:ascii="Cambria Math" w:hAnsi="Cambria Math" w:eastAsiaTheme="minorEastAsia"/>
              </w:rPr>
              <m:t>NP</m:t>
            </m:r>
          </m:e>
          <m:sub>
            <m:r>
              <w:rPr>
                <w:rFonts w:ascii="Cambria Math" w:hAnsi="Cambria Math" w:eastAsiaTheme="minorEastAsia"/>
              </w:rPr>
              <m:t>FC,a</m:t>
            </m:r>
          </m:sub>
        </m:sSub>
        <m:r>
          <w:rPr>
            <w:rFonts w:ascii="Cambria Math" w:hAnsi="Cambria Math" w:eastAsiaTheme="minorEastAsia"/>
          </w:rPr>
          <m:t>+</m:t>
        </m:r>
        <m:sSub>
          <m:sSubPr>
            <m:ctrlPr>
              <w:rPr>
                <w:rFonts w:ascii="Cambria Math" w:hAnsi="Cambria Math"/>
                <w:i/>
              </w:rPr>
            </m:ctrlPr>
          </m:sSubPr>
          <m:e>
            <m:r>
              <w:rPr>
                <w:rFonts w:ascii="Cambria Math" w:hAnsi="Cambria Math"/>
              </w:rPr>
              <m:t>∆V</m:t>
            </m:r>
          </m:e>
          <m:sub>
            <m:r>
              <w:rPr>
                <w:rFonts w:ascii="Cambria Math" w:hAnsi="Cambria Math"/>
              </w:rPr>
              <m:t>da,a</m:t>
            </m:r>
          </m:sub>
        </m:sSub>
        <m:r>
          <w:rPr>
            <w:rFonts w:ascii="Cambria Math" w:hAnsi="Cambria Math" w:eastAsiaTheme="minorEastAsia"/>
          </w:rPr>
          <m:t xml:space="preserve">+ </m:t>
        </m:r>
        <m:sSub>
          <m:sSubPr>
            <m:ctrlPr>
              <w:rPr>
                <w:rFonts w:ascii="Cambria Math" w:hAnsi="Cambria Math" w:eastAsiaTheme="minorEastAsia"/>
                <w:i/>
              </w:rPr>
            </m:ctrlPr>
          </m:sSubPr>
          <m:e>
            <m:r>
              <w:rPr>
                <w:rFonts w:ascii="Cambria Math" w:hAnsi="Cambria Math" w:eastAsiaTheme="minorEastAsia"/>
              </w:rPr>
              <m:t>V</m:t>
            </m:r>
          </m:e>
          <m:sub>
            <m:r>
              <w:rPr>
                <w:rFonts w:ascii="Cambria Math" w:hAnsi="Cambria Math" w:eastAsiaTheme="minorEastAsia"/>
              </w:rPr>
              <m:t>→a</m:t>
            </m:r>
          </m:sub>
        </m:sSub>
        <m:r>
          <w:rPr>
            <w:rFonts w:ascii="Cambria Math" w:hAnsi="Cambria Math"/>
          </w:rPr>
          <m:t xml:space="preserve">- </m:t>
        </m:r>
        <m:sSub>
          <m:sSubPr>
            <m:ctrlPr>
              <w:rPr>
                <w:rFonts w:ascii="Cambria Math" w:hAnsi="Cambria Math" w:eastAsiaTheme="minorEastAsia"/>
                <w:i/>
              </w:rPr>
            </m:ctrlPr>
          </m:sSubPr>
          <m:e>
            <m:r>
              <w:rPr>
                <w:rFonts w:ascii="Cambria Math" w:hAnsi="Cambria Math" w:eastAsiaTheme="minorEastAsia"/>
              </w:rPr>
              <m:t>V</m:t>
            </m:r>
          </m:e>
          <m:sub>
            <m:r>
              <w:rPr>
                <w:rFonts w:ascii="Cambria Math" w:hAnsi="Cambria Math" w:eastAsiaTheme="minorEastAsia"/>
              </w:rPr>
              <m:t>a→</m:t>
            </m:r>
          </m:sub>
        </m:sSub>
        <m:r>
          <w:rPr>
            <w:rFonts w:ascii="Cambria Math" w:hAnsi="Cambria Math"/>
          </w:rPr>
          <m:t xml:space="preserve">=0 </m:t>
        </m:r>
      </m:oMath>
      <w:r w:rsidRPr="00762113">
        <w:rPr>
          <w:rFonts w:eastAsiaTheme="minorEastAsia"/>
        </w:rPr>
        <w:tab/>
        <w:t>(5.3)</w:t>
      </w:r>
    </w:p>
    <w:p w:rsidR="00835604" w:rsidRPr="00762113" w:rsidP="001427BC" w14:paraId="410846C5" w14:textId="77777777">
      <w:pPr>
        <w:pStyle w:val="textregular"/>
        <w:spacing w:after="0"/>
        <w:rPr>
          <w:rFonts w:eastAsiaTheme="minorEastAsia"/>
        </w:rPr>
      </w:pPr>
      <w:r w:rsidRPr="00762113">
        <w:rPr>
          <w:rFonts w:eastAsiaTheme="minorEastAsia"/>
        </w:rPr>
        <w:t>Where:</w:t>
      </w:r>
    </w:p>
    <w:p w:rsidR="00835604" w:rsidRPr="00762113" w:rsidP="001427BC" w14:paraId="758FCC5A" w14:textId="5FC49257">
      <w:pPr>
        <w:pStyle w:val="textregular"/>
        <w:spacing w:after="0"/>
        <w:rPr>
          <w:rFonts w:eastAsiaTheme="minorEastAsia"/>
        </w:rPr>
      </w:pPr>
      <m:oMath>
        <m:sSub>
          <m:sSubPr>
            <m:ctrlPr>
              <w:rPr>
                <w:rFonts w:ascii="Cambria Math" w:hAnsi="Cambria Math" w:eastAsiaTheme="minorEastAsia"/>
                <w:i/>
              </w:rPr>
            </m:ctrlPr>
          </m:sSubPr>
          <m:e>
            <m:r>
              <w:rPr>
                <w:rFonts w:ascii="Cambria Math" w:hAnsi="Cambria Math" w:eastAsiaTheme="minorEastAsia"/>
              </w:rPr>
              <m:t>NP</m:t>
            </m:r>
          </m:e>
          <m:sub>
            <m:r>
              <w:rPr>
                <w:rFonts w:ascii="Cambria Math" w:hAnsi="Cambria Math" w:eastAsiaTheme="minorEastAsia"/>
              </w:rPr>
              <m:t>FC,a</m:t>
            </m:r>
          </m:sub>
        </m:sSub>
      </m:oMath>
      <w:r w:rsidRPr="00762113">
        <w:rPr>
          <w:rFonts w:eastAsiaTheme="minorEastAsia"/>
        </w:rPr>
        <w:t xml:space="preserve"> – forecasted net position of the bidding zone </w:t>
      </w:r>
      <w:r w:rsidRPr="00762113" w:rsidR="001848A3">
        <w:rPr>
          <w:rFonts w:eastAsiaTheme="minorEastAsia"/>
          <w:i/>
          <w:iCs/>
        </w:rPr>
        <w:t>a</w:t>
      </w:r>
      <w:r w:rsidRPr="00762113">
        <w:rPr>
          <w:rFonts w:eastAsiaTheme="minorEastAsia"/>
        </w:rPr>
        <w:t xml:space="preserve">, according to the reference day; </w:t>
      </w:r>
    </w:p>
    <w:p w:rsidR="00835604" w:rsidRPr="00762113" w:rsidP="001427BC" w14:paraId="289FA244" w14:textId="36C433E1">
      <w:pPr>
        <w:pStyle w:val="textregular"/>
        <w:spacing w:after="0"/>
        <w:rPr>
          <w:rFonts w:eastAsiaTheme="minorEastAsia"/>
        </w:rPr>
      </w:pPr>
      <m:oMath>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da,a</m:t>
            </m:r>
          </m:sub>
        </m:sSub>
      </m:oMath>
      <w:r w:rsidRPr="00762113">
        <w:rPr>
          <w:rFonts w:eastAsiaTheme="minorEastAsia"/>
        </w:rPr>
        <w:t xml:space="preserve"> – adjustments in the net position of bidding zone </w:t>
      </w:r>
      <w:r w:rsidRPr="00762113" w:rsidR="00A10308">
        <w:rPr>
          <w:rFonts w:eastAsiaTheme="minorEastAsia"/>
          <w:i/>
          <w:iCs/>
        </w:rPr>
        <w:t>a</w:t>
      </w:r>
      <w:r w:rsidRPr="00762113">
        <w:rPr>
          <w:rFonts w:eastAsiaTheme="minorEastAsia"/>
        </w:rPr>
        <w:t xml:space="preserve"> due to changes in day-ahead price (the adjustment can be positive or negative);</w:t>
      </w:r>
    </w:p>
    <w:p w:rsidR="00835604" w:rsidRPr="00762113" w:rsidP="001427BC" w14:paraId="0F20D110" w14:textId="3AB04557">
      <w:pPr>
        <w:pStyle w:val="textregular"/>
        <w:spacing w:after="0"/>
        <w:rPr>
          <w:rFonts w:eastAsiaTheme="minorEastAsia"/>
          <w:i/>
          <w:iCs/>
        </w:rPr>
      </w:pPr>
      <m:oMath>
        <m:sSub>
          <m:sSubPr>
            <m:ctrlPr>
              <w:rPr>
                <w:rFonts w:ascii="Cambria Math" w:hAnsi="Cambria Math" w:eastAsiaTheme="minorEastAsia"/>
                <w:i/>
              </w:rPr>
            </m:ctrlPr>
          </m:sSubPr>
          <m:e>
            <m:r>
              <w:rPr>
                <w:rFonts w:ascii="Cambria Math" w:hAnsi="Cambria Math" w:eastAsiaTheme="minorEastAsia"/>
              </w:rPr>
              <m:t>V</m:t>
            </m:r>
          </m:e>
          <m:sub>
            <m:r>
              <w:rPr>
                <w:rFonts w:ascii="Cambria Math" w:hAnsi="Cambria Math" w:eastAsiaTheme="minorEastAsia"/>
              </w:rPr>
              <m:t>→a</m:t>
            </m:r>
          </m:sub>
        </m:sSub>
      </m:oMath>
      <w:r w:rsidRPr="00762113">
        <w:rPr>
          <w:rFonts w:eastAsiaTheme="minorEastAsia"/>
        </w:rPr>
        <w:t xml:space="preserve"> - sum of forecasted import energy volumes of bidding zone </w:t>
      </w:r>
      <w:r w:rsidRPr="00762113" w:rsidR="001848A3">
        <w:rPr>
          <w:rFonts w:eastAsiaTheme="minorEastAsia"/>
        </w:rPr>
        <w:t>a</w:t>
      </w:r>
      <w:r w:rsidRPr="00762113">
        <w:rPr>
          <w:rFonts w:eastAsiaTheme="minorEastAsia"/>
          <w:i/>
          <w:iCs/>
        </w:rPr>
        <w:t>;</w:t>
      </w:r>
    </w:p>
    <w:p w:rsidR="00835604" w:rsidRPr="00762113" w:rsidP="001427BC" w14:paraId="79011BCA" w14:textId="7BABA0CF">
      <w:pPr>
        <w:pStyle w:val="textregular"/>
        <w:spacing w:after="0"/>
        <w:rPr>
          <w:rFonts w:eastAsiaTheme="minorEastAsia"/>
          <w:i/>
          <w:iCs/>
        </w:rPr>
      </w:pPr>
      <m:oMath>
        <m:sSub>
          <m:sSubPr>
            <m:ctrlPr>
              <w:rPr>
                <w:rFonts w:ascii="Cambria Math" w:hAnsi="Cambria Math" w:eastAsiaTheme="minorEastAsia"/>
                <w:i/>
              </w:rPr>
            </m:ctrlPr>
          </m:sSubPr>
          <m:e>
            <m:r>
              <w:rPr>
                <w:rFonts w:ascii="Cambria Math" w:hAnsi="Cambria Math" w:eastAsiaTheme="minorEastAsia"/>
              </w:rPr>
              <m:t>V</m:t>
            </m:r>
          </m:e>
          <m:sub>
            <m:r>
              <w:rPr>
                <w:rFonts w:ascii="Cambria Math" w:hAnsi="Cambria Math" w:eastAsiaTheme="minorEastAsia"/>
              </w:rPr>
              <m:t>a→</m:t>
            </m:r>
          </m:sub>
        </m:sSub>
      </m:oMath>
      <w:r w:rsidRPr="00762113">
        <w:rPr>
          <w:rFonts w:eastAsiaTheme="minorEastAsia"/>
        </w:rPr>
        <w:t xml:space="preserve"> - sum of forecasted export energy volumes of bidding zone </w:t>
      </w:r>
      <w:r w:rsidRPr="00762113" w:rsidR="001848A3">
        <w:rPr>
          <w:rFonts w:eastAsiaTheme="minorEastAsia"/>
        </w:rPr>
        <w:t>a</w:t>
      </w:r>
      <w:r w:rsidRPr="00762113">
        <w:rPr>
          <w:rFonts w:eastAsiaTheme="minorEastAsia"/>
          <w:i/>
          <w:iCs/>
        </w:rPr>
        <w:t>.</w:t>
      </w:r>
    </w:p>
    <w:p w:rsidR="00835604" w:rsidRPr="00762113" w:rsidP="00CC6F10" w14:paraId="3A941170" w14:textId="77777777"/>
    <w:p w:rsidR="00835604" w:rsidRPr="00762113" w:rsidP="00835604" w14:paraId="5D6DD5AB" w14:textId="77777777">
      <w:pPr>
        <w:pStyle w:val="headline3"/>
        <w:numPr>
          <w:ilvl w:val="2"/>
          <w:numId w:val="1"/>
        </w:numPr>
        <w:rPr>
          <w:rFonts w:eastAsiaTheme="minorEastAsia"/>
        </w:rPr>
      </w:pPr>
      <w:bookmarkStart w:id="15" w:name="_Toc113284212"/>
      <w:r w:rsidRPr="00762113">
        <w:rPr>
          <w:rFonts w:eastAsiaTheme="minorEastAsia"/>
        </w:rPr>
        <w:t>The balancing capacity balance</w:t>
      </w:r>
      <w:bookmarkEnd w:id="15"/>
    </w:p>
    <w:p w:rsidR="00835604" w:rsidRPr="00762113" w:rsidP="00835604" w14:paraId="59AAF51C" w14:textId="279F81B5">
      <w:pPr>
        <w:pStyle w:val="textregular"/>
        <w:rPr>
          <w:rFonts w:eastAsiaTheme="minorEastAsia"/>
        </w:rPr>
      </w:pPr>
      <w:r w:rsidRPr="00762113">
        <w:rPr>
          <w:rFonts w:eastAsiaTheme="minorEastAsia"/>
        </w:rPr>
        <w:t xml:space="preserve">Because the Baltic TSOs implement an extensive balancing capacity sharing arrangement within the Baltic LFC block, the balancing capacity balance equation is not completely analogous to the day-ahead energy balance equation. Namely, in the case of sharing, a bidding zone can have access to the same resource it is dispatching via </w:t>
      </w:r>
      <w:r w:rsidRPr="00762113" w:rsidR="001B3A51">
        <w:rPr>
          <w:rFonts w:eastAsiaTheme="minorEastAsia"/>
        </w:rPr>
        <w:t>CZC</w:t>
      </w:r>
      <w:r w:rsidRPr="00762113">
        <w:rPr>
          <w:rFonts w:eastAsiaTheme="minorEastAsia"/>
        </w:rPr>
        <w:t xml:space="preserve"> to other bidding zones. Furthermore, because all the capacity is envisaged to be shared, there is no export of balancing capacity aspect in the balancing capacity balance equation. In conclusion, the balancing capacity balance equation is described by equation 5.4.</w:t>
      </w:r>
    </w:p>
    <w:p w:rsidR="00835604" w:rsidRPr="00762113" w:rsidP="00835604" w14:paraId="0E8A13E8" w14:textId="47DB063E">
      <w:pPr>
        <w:pStyle w:val="textregular"/>
        <w:rPr>
          <w:rFonts w:eastAsiaTheme="minorEastAsia"/>
        </w:rPr>
      </w:pPr>
      <m:oMath>
        <m:nary>
          <m:naryPr>
            <m:chr m:val="∑"/>
            <m:limLoc m:val="undOvr"/>
            <m:supHide/>
            <m:ctrlPr>
              <w:rPr>
                <w:rFonts w:ascii="Cambria Math" w:hAnsi="Cambria Math"/>
                <w:i/>
              </w:rPr>
            </m:ctrlPr>
          </m:naryPr>
          <m:sub>
            <m:r>
              <w:rPr>
                <w:rFonts w:ascii="Cambria Math" w:hAnsi="Cambria Math"/>
              </w:rPr>
              <m:t>i</m:t>
            </m:r>
          </m:sub>
          <m:sup/>
          <m:e>
            <m:d>
              <m:dPr>
                <m:ctrlPr>
                  <w:rPr>
                    <w:rFonts w:ascii="Cambria Math" w:hAnsi="Cambria Math"/>
                    <w:i/>
                  </w:rPr>
                </m:ctrlPr>
              </m:dPr>
              <m:e>
                <m:sSub>
                  <m:sSubPr>
                    <m:ctrlPr>
                      <w:rPr>
                        <w:rFonts w:ascii="Cambria Math" w:hAnsi="Cambria Math"/>
                        <w:i/>
                      </w:rPr>
                    </m:ctrlPr>
                  </m:sSubPr>
                  <m:e>
                    <m:r>
                      <w:rPr>
                        <w:rFonts w:ascii="Cambria Math" w:hAnsi="Cambria Math"/>
                      </w:rPr>
                      <m:t>bidvolume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selected</m:t>
                    </m:r>
                  </m:e>
                  <m:sub>
                    <m:r>
                      <w:rPr>
                        <w:rFonts w:ascii="Cambria Math" w:hAnsi="Cambria Math"/>
                      </w:rPr>
                      <m:t>i</m:t>
                    </m:r>
                  </m:sub>
                </m:sSub>
              </m:e>
            </m:d>
          </m:e>
        </m:nary>
        <m:r>
          <m:rPr>
            <m:sty m:val="p"/>
          </m:rPr>
          <w:rPr>
            <w:rFonts w:ascii="Cambria Math" w:hAnsi="Cambria Math" w:eastAsiaTheme="minorEastAsia"/>
          </w:rPr>
          <m:t xml:space="preserve">+ </m:t>
        </m:r>
        <m:sSubSup>
          <m:sSubSupPr>
            <m:ctrlPr>
              <w:rPr>
                <w:rFonts w:ascii="Cambria Math" w:hAnsi="Cambria Math" w:eastAsiaTheme="minorEastAsia"/>
              </w:rPr>
            </m:ctrlPr>
          </m:sSubSupPr>
          <m:e>
            <m:r>
              <w:rPr>
                <w:rFonts w:ascii="Cambria Math" w:hAnsi="Cambria Math" w:eastAsiaTheme="minorEastAsia"/>
              </w:rPr>
              <m:t>V</m:t>
            </m:r>
          </m:e>
          <m:sub>
            <m:r>
              <w:rPr>
                <w:rFonts w:ascii="Cambria Math" w:hAnsi="Cambria Math" w:eastAsiaTheme="minorEastAsia"/>
              </w:rPr>
              <m:t>→a</m:t>
            </m:r>
          </m:sub>
          <m:sup>
            <m:r>
              <w:rPr>
                <w:rFonts w:ascii="Cambria Math" w:hAnsi="Cambria Math" w:eastAsiaTheme="minorEastAsia"/>
              </w:rPr>
              <m:t>BC</m:t>
            </m:r>
          </m:sup>
        </m:sSubSup>
        <m:r>
          <w:rPr>
            <w:rFonts w:ascii="Cambria Math" w:hAnsi="Cambria Math" w:eastAsiaTheme="minorEastAsia"/>
          </w:rPr>
          <m:t>≥</m:t>
        </m:r>
        <m:sSubSup>
          <m:sSubSupPr>
            <m:ctrlPr>
              <w:rPr>
                <w:rFonts w:ascii="Cambria Math" w:hAnsi="Cambria Math" w:eastAsiaTheme="minorEastAsia"/>
                <w:i/>
              </w:rPr>
            </m:ctrlPr>
          </m:sSubSupPr>
          <m:e>
            <m:r>
              <w:rPr>
                <w:rFonts w:ascii="Cambria Math" w:hAnsi="Cambria Math" w:eastAsiaTheme="minorEastAsia"/>
              </w:rPr>
              <m:t>D</m:t>
            </m:r>
          </m:e>
          <m:sub>
            <m:r>
              <w:rPr>
                <w:rFonts w:ascii="Cambria Math" w:hAnsi="Cambria Math" w:eastAsiaTheme="minorEastAsia"/>
              </w:rPr>
              <m:t>a</m:t>
            </m:r>
          </m:sub>
          <m:sup>
            <m:r>
              <w:rPr>
                <w:rFonts w:ascii="Cambria Math" w:hAnsi="Cambria Math" w:eastAsiaTheme="minorEastAsia"/>
              </w:rPr>
              <m:t>BC</m:t>
            </m:r>
          </m:sup>
        </m:sSubSup>
      </m:oMath>
      <w:r w:rsidRPr="00762113">
        <w:rPr>
          <w:rFonts w:eastAsiaTheme="minorEastAsia"/>
        </w:rPr>
        <w:tab/>
      </w:r>
      <w:r w:rsidRPr="00762113">
        <w:rPr>
          <w:rFonts w:eastAsiaTheme="minorEastAsia"/>
        </w:rPr>
        <w:tab/>
        <w:t>(5.4)</w:t>
      </w:r>
    </w:p>
    <w:p w:rsidR="00835604" w:rsidRPr="00762113" w:rsidP="001427BC" w14:paraId="622A71DD" w14:textId="77777777">
      <w:pPr>
        <w:pStyle w:val="textregular"/>
        <w:spacing w:after="0"/>
        <w:rPr>
          <w:rFonts w:eastAsiaTheme="minorEastAsia"/>
        </w:rPr>
      </w:pPr>
      <w:r w:rsidRPr="00762113">
        <w:rPr>
          <w:rFonts w:eastAsiaTheme="minorEastAsia"/>
        </w:rPr>
        <w:t>Where</w:t>
      </w:r>
    </w:p>
    <w:p w:rsidR="00835604" w:rsidRPr="00762113" w:rsidP="001427BC" w14:paraId="115F092C" w14:textId="4FACE4E6">
      <w:pPr>
        <w:pStyle w:val="textregular"/>
        <w:spacing w:after="0"/>
        <w:rPr>
          <w:rFonts w:eastAsiaTheme="minorEastAsia"/>
          <w:i/>
          <w:iCs/>
        </w:rPr>
      </w:pPr>
      <m:oMath>
        <m:sSub>
          <m:sSubPr>
            <m:ctrlPr>
              <w:rPr>
                <w:rFonts w:ascii="Cambria Math" w:hAnsi="Cambria Math"/>
                <w:i/>
              </w:rPr>
            </m:ctrlPr>
          </m:sSubPr>
          <m:e>
            <m:r>
              <w:rPr>
                <w:rFonts w:ascii="Cambria Math" w:hAnsi="Cambria Math"/>
              </w:rPr>
              <m:t>bidvolume</m:t>
            </m:r>
          </m:e>
          <m:sub>
            <m:r>
              <w:rPr>
                <w:rFonts w:ascii="Cambria Math" w:hAnsi="Cambria Math"/>
              </w:rPr>
              <m:t>i</m:t>
            </m:r>
          </m:sub>
        </m:sSub>
      </m:oMath>
      <w:r w:rsidRPr="00762113">
        <w:rPr>
          <w:rFonts w:eastAsiaTheme="minorEastAsia"/>
        </w:rPr>
        <w:t xml:space="preserve"> – is the volume of bid </w:t>
      </w:r>
      <w:r w:rsidRPr="00762113">
        <w:rPr>
          <w:rFonts w:eastAsiaTheme="minorEastAsia"/>
          <w:i/>
          <w:iCs/>
        </w:rPr>
        <w:t>i</w:t>
      </w:r>
      <w:r w:rsidRPr="00762113">
        <w:rPr>
          <w:rFonts w:eastAsiaTheme="minorEastAsia"/>
          <w:i/>
          <w:iCs/>
        </w:rPr>
        <w:t xml:space="preserve"> </w:t>
      </w:r>
      <w:r w:rsidRPr="00762113">
        <w:rPr>
          <w:rFonts w:eastAsiaTheme="minorEastAsia"/>
        </w:rPr>
        <w:t xml:space="preserve">which is located in bidding zone </w:t>
      </w:r>
      <w:r w:rsidRPr="00762113" w:rsidR="0083135B">
        <w:rPr>
          <w:rFonts w:eastAsiaTheme="minorEastAsia"/>
          <w:i/>
          <w:iCs/>
        </w:rPr>
        <w:t>a</w:t>
      </w:r>
      <w:r w:rsidRPr="00762113">
        <w:rPr>
          <w:rFonts w:eastAsiaTheme="minorEastAsia"/>
          <w:i/>
          <w:iCs/>
        </w:rPr>
        <w:t>;</w:t>
      </w:r>
    </w:p>
    <w:p w:rsidR="00835604" w:rsidRPr="00762113" w:rsidP="001427BC" w14:paraId="05EFA751" w14:textId="3D908B63">
      <w:pPr>
        <w:pStyle w:val="textregular"/>
        <w:spacing w:after="0"/>
        <w:rPr>
          <w:rFonts w:eastAsiaTheme="minorEastAsia"/>
          <w:iCs/>
        </w:rPr>
      </w:pPr>
      <m:oMath>
        <m:sSub>
          <m:sSubPr>
            <m:ctrlPr>
              <w:rPr>
                <w:rFonts w:ascii="Cambria Math" w:hAnsi="Cambria Math"/>
                <w:i/>
              </w:rPr>
            </m:ctrlPr>
          </m:sSubPr>
          <m:e>
            <m:r>
              <w:rPr>
                <w:rFonts w:ascii="Cambria Math" w:hAnsi="Cambria Math"/>
              </w:rPr>
              <m:t>selected</m:t>
            </m:r>
          </m:e>
          <m:sub>
            <m:r>
              <w:rPr>
                <w:rFonts w:ascii="Cambria Math" w:hAnsi="Cambria Math"/>
              </w:rPr>
              <m:t>i</m:t>
            </m:r>
          </m:sub>
        </m:sSub>
      </m:oMath>
      <w:r w:rsidRPr="00762113">
        <w:rPr>
          <w:rFonts w:eastAsiaTheme="minorEastAsia"/>
          <w:i/>
        </w:rPr>
        <w:t xml:space="preserve"> – </w:t>
      </w:r>
      <w:r w:rsidRPr="00762113">
        <w:rPr>
          <w:rFonts w:eastAsiaTheme="minorEastAsia"/>
          <w:iCs/>
        </w:rPr>
        <w:t xml:space="preserve">Boolean variable that determines whether bid </w:t>
      </w:r>
      <w:r w:rsidRPr="00762113">
        <w:rPr>
          <w:rFonts w:eastAsiaTheme="minorEastAsia"/>
          <w:i/>
        </w:rPr>
        <w:t>i</w:t>
      </w:r>
      <w:r w:rsidRPr="00762113">
        <w:rPr>
          <w:rFonts w:eastAsiaTheme="minorEastAsia"/>
          <w:iCs/>
        </w:rPr>
        <w:t xml:space="preserve"> in bidding zone </w:t>
      </w:r>
      <w:r w:rsidRPr="00762113" w:rsidR="0083135B">
        <w:rPr>
          <w:rFonts w:eastAsiaTheme="minorEastAsia"/>
          <w:i/>
        </w:rPr>
        <w:t>a</w:t>
      </w:r>
      <w:r w:rsidRPr="00762113">
        <w:rPr>
          <w:rFonts w:eastAsiaTheme="minorEastAsia"/>
          <w:iCs/>
        </w:rPr>
        <w:t xml:space="preserve"> is accepted;</w:t>
      </w:r>
    </w:p>
    <w:p w:rsidR="00835604" w:rsidRPr="00762113" w:rsidP="001427BC" w14:paraId="55F28918" w14:textId="70698AEF">
      <w:pPr>
        <w:pStyle w:val="textregular"/>
        <w:spacing w:after="0"/>
        <w:rPr>
          <w:rFonts w:eastAsiaTheme="minorEastAsia"/>
          <w:iCs/>
        </w:rPr>
      </w:pPr>
      <m:oMath>
        <m:sSubSup>
          <m:sSubSupPr>
            <m:ctrlPr>
              <w:rPr>
                <w:rFonts w:ascii="Cambria Math" w:hAnsi="Cambria Math" w:eastAsiaTheme="minorEastAsia"/>
              </w:rPr>
            </m:ctrlPr>
          </m:sSubSupPr>
          <m:e>
            <m:r>
              <w:rPr>
                <w:rFonts w:ascii="Cambria Math" w:hAnsi="Cambria Math" w:eastAsiaTheme="minorEastAsia"/>
              </w:rPr>
              <m:t>V</m:t>
            </m:r>
          </m:e>
          <m:sub>
            <m:r>
              <w:rPr>
                <w:rFonts w:ascii="Cambria Math" w:hAnsi="Cambria Math" w:eastAsiaTheme="minorEastAsia"/>
              </w:rPr>
              <m:t>→a</m:t>
            </m:r>
          </m:sub>
          <m:sup>
            <m:r>
              <w:rPr>
                <w:rFonts w:ascii="Cambria Math" w:hAnsi="Cambria Math" w:eastAsiaTheme="minorEastAsia"/>
              </w:rPr>
              <m:t>BC</m:t>
            </m:r>
          </m:sup>
        </m:sSubSup>
      </m:oMath>
      <w:r w:rsidRPr="00762113">
        <w:rPr>
          <w:rFonts w:eastAsiaTheme="minorEastAsia"/>
          <w:i/>
        </w:rPr>
        <w:t xml:space="preserve">- </w:t>
      </w:r>
      <w:r w:rsidRPr="00762113">
        <w:rPr>
          <w:rFonts w:eastAsiaTheme="minorEastAsia"/>
          <w:iCs/>
        </w:rPr>
        <w:t>total volume of imported balancing capacity from other bidding zones;</w:t>
      </w:r>
    </w:p>
    <w:p w:rsidR="00835604" w:rsidRPr="00762113" w:rsidP="001427BC" w14:paraId="5482402C" w14:textId="65ADDAF7">
      <w:pPr>
        <w:pStyle w:val="textregular"/>
        <w:spacing w:after="0"/>
        <w:rPr>
          <w:rFonts w:eastAsiaTheme="minorEastAsia"/>
          <w:i/>
          <w:iCs/>
        </w:rPr>
      </w:pPr>
      <m:oMath>
        <m:sSubSup>
          <m:sSubSupPr>
            <m:ctrlPr>
              <w:rPr>
                <w:rFonts w:ascii="Cambria Math" w:hAnsi="Cambria Math" w:eastAsiaTheme="minorEastAsia"/>
                <w:i/>
              </w:rPr>
            </m:ctrlPr>
          </m:sSubSupPr>
          <m:e>
            <m:r>
              <w:rPr>
                <w:rFonts w:ascii="Cambria Math" w:hAnsi="Cambria Math" w:eastAsiaTheme="minorEastAsia"/>
              </w:rPr>
              <m:t>D</m:t>
            </m:r>
          </m:e>
          <m:sub>
            <m:r>
              <w:rPr>
                <w:rFonts w:ascii="Cambria Math" w:hAnsi="Cambria Math" w:eastAsiaTheme="minorEastAsia"/>
              </w:rPr>
              <m:t>a</m:t>
            </m:r>
          </m:sub>
          <m:sup>
            <m:r>
              <w:rPr>
                <w:rFonts w:ascii="Cambria Math" w:hAnsi="Cambria Math" w:eastAsiaTheme="minorEastAsia"/>
              </w:rPr>
              <m:t>BC</m:t>
            </m:r>
          </m:sup>
        </m:sSubSup>
      </m:oMath>
      <w:r w:rsidRPr="00762113">
        <w:rPr>
          <w:rFonts w:eastAsiaTheme="minorEastAsia"/>
        </w:rPr>
        <w:t xml:space="preserve"> – balancing capacity demand for a product in bidding zone </w:t>
      </w:r>
      <w:r w:rsidRPr="00762113" w:rsidR="0083135B">
        <w:rPr>
          <w:rFonts w:eastAsiaTheme="minorEastAsia"/>
        </w:rPr>
        <w:t>a</w:t>
      </w:r>
      <w:r w:rsidRPr="00762113">
        <w:rPr>
          <w:rFonts w:eastAsiaTheme="minorEastAsia"/>
          <w:i/>
          <w:iCs/>
        </w:rPr>
        <w:t>.</w:t>
      </w:r>
    </w:p>
    <w:p w:rsidR="00835604" w:rsidRPr="00762113" w:rsidP="00835604" w14:paraId="23E4CBC0" w14:textId="77777777">
      <w:pPr>
        <w:pStyle w:val="textregular"/>
        <w:rPr>
          <w:rFonts w:eastAsiaTheme="minorEastAsia"/>
        </w:rPr>
      </w:pPr>
    </w:p>
    <w:p w:rsidR="00835604" w:rsidRPr="00762113" w:rsidP="00835604" w14:paraId="1B695094" w14:textId="77777777">
      <w:pPr>
        <w:pStyle w:val="headline3"/>
        <w:numPr>
          <w:ilvl w:val="2"/>
          <w:numId w:val="1"/>
        </w:numPr>
        <w:rPr>
          <w:rFonts w:eastAsiaTheme="minorEastAsia"/>
        </w:rPr>
      </w:pPr>
      <w:bookmarkStart w:id="16" w:name="_Toc113284213"/>
      <w:r w:rsidRPr="00762113">
        <w:rPr>
          <w:rFonts w:eastAsiaTheme="minorEastAsia"/>
        </w:rPr>
        <w:t>The balancing capacity export restriction</w:t>
      </w:r>
      <w:bookmarkEnd w:id="16"/>
    </w:p>
    <w:p w:rsidR="00835604" w:rsidRPr="00762113" w:rsidP="00835604" w14:paraId="324510B6" w14:textId="7A870675">
      <w:pPr>
        <w:pStyle w:val="textregular"/>
        <w:rPr>
          <w:rFonts w:eastAsiaTheme="minorEastAsia"/>
        </w:rPr>
      </w:pPr>
      <w:r w:rsidRPr="00762113">
        <w:rPr>
          <w:rFonts w:eastAsiaTheme="minorEastAsia"/>
        </w:rPr>
        <w:t xml:space="preserve">Due to the nature of sharing of reserves and the special equation for the balance of balancing capacity equation, a special </w:t>
      </w:r>
      <w:r w:rsidRPr="00762113" w:rsidR="00936B0F">
        <w:rPr>
          <w:rFonts w:eastAsiaTheme="minorEastAsia"/>
        </w:rPr>
        <w:t xml:space="preserve">constraint </w:t>
      </w:r>
      <w:r w:rsidRPr="00762113">
        <w:rPr>
          <w:rFonts w:eastAsiaTheme="minorEastAsia"/>
        </w:rPr>
        <w:t xml:space="preserve">needs to be set in place which modifies the amount of balancing capacity which can be shared between bidding zones a and b. In essence, balancing capacity which has been imported from bidding zone b to bidding zone a, cannot be shared back from bidding zone a to bidding zone b. The mathematical formulation is defined by equation </w:t>
      </w:r>
    </w:p>
    <w:p w:rsidR="00835604" w:rsidRPr="00762113" w:rsidP="00835604" w14:paraId="1E9EF2E1" w14:textId="77777777">
      <w:pPr>
        <w:pStyle w:val="textregular"/>
        <w:rPr>
          <w:rFonts w:eastAsiaTheme="minorEastAsia"/>
        </w:rPr>
      </w:pPr>
      <m:oMath>
        <m:sSubSup>
          <m:sSubSupPr>
            <m:ctrlPr>
              <w:rPr>
                <w:rFonts w:ascii="Cambria Math" w:hAnsi="Cambria Math" w:eastAsiaTheme="minorEastAsia"/>
              </w:rPr>
            </m:ctrlPr>
          </m:sSubSupPr>
          <m:e>
            <m:r>
              <w:rPr>
                <w:rFonts w:ascii="Cambria Math" w:hAnsi="Cambria Math" w:eastAsiaTheme="minorEastAsia"/>
              </w:rPr>
              <m:t>V</m:t>
            </m:r>
          </m:e>
          <m:sub>
            <m:r>
              <w:rPr>
                <w:rFonts w:ascii="Cambria Math" w:hAnsi="Cambria Math" w:eastAsiaTheme="minorEastAsia"/>
              </w:rPr>
              <m:t>a→b</m:t>
            </m:r>
          </m:sub>
          <m:sup>
            <m:r>
              <w:rPr>
                <w:rFonts w:ascii="Cambria Math" w:hAnsi="Cambria Math" w:eastAsiaTheme="minorEastAsia"/>
              </w:rPr>
              <m:t>BC</m:t>
            </m:r>
          </m:sup>
        </m:sSubSup>
        <m:r>
          <w:rPr>
            <w:rFonts w:ascii="Cambria Math" w:hAnsi="Cambria Math" w:eastAsiaTheme="minorEastAsia"/>
          </w:rPr>
          <m:t xml:space="preserve">≤ </m:t>
        </m:r>
        <m:nary>
          <m:naryPr>
            <m:chr m:val="∑"/>
            <m:limLoc m:val="undOvr"/>
            <m:supHide/>
            <m:ctrlPr>
              <w:rPr>
                <w:rFonts w:ascii="Cambria Math" w:hAnsi="Cambria Math"/>
                <w:i/>
              </w:rPr>
            </m:ctrlPr>
          </m:naryPr>
          <m:sub>
            <m:r>
              <w:rPr>
                <w:rFonts w:ascii="Cambria Math" w:hAnsi="Cambria Math"/>
              </w:rPr>
              <m:t>i</m:t>
            </m:r>
          </m:sub>
          <m:sup/>
          <m:e>
            <m:d>
              <m:dPr>
                <m:ctrlPr>
                  <w:rPr>
                    <w:rFonts w:ascii="Cambria Math" w:hAnsi="Cambria Math"/>
                    <w:i/>
                  </w:rPr>
                </m:ctrlPr>
              </m:dPr>
              <m:e>
                <m:sSub>
                  <m:sSubPr>
                    <m:ctrlPr>
                      <w:rPr>
                        <w:rFonts w:ascii="Cambria Math" w:hAnsi="Cambria Math"/>
                        <w:i/>
                      </w:rPr>
                    </m:ctrlPr>
                  </m:sSubPr>
                  <m:e>
                    <m:r>
                      <w:rPr>
                        <w:rFonts w:ascii="Cambria Math" w:hAnsi="Cambria Math"/>
                      </w:rPr>
                      <m:t>bidvolume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selected</m:t>
                    </m:r>
                  </m:e>
                  <m:sub>
                    <m:r>
                      <w:rPr>
                        <w:rFonts w:ascii="Cambria Math" w:hAnsi="Cambria Math"/>
                      </w:rPr>
                      <m:t>i</m:t>
                    </m:r>
                  </m:sub>
                </m:sSub>
              </m:e>
            </m:d>
          </m:e>
        </m:nary>
        <m:r>
          <m:rPr>
            <m:sty m:val="p"/>
          </m:rPr>
          <w:rPr>
            <w:rFonts w:ascii="Cambria Math" w:hAnsi="Cambria Math" w:eastAsiaTheme="minorEastAsia"/>
          </w:rPr>
          <m:t>+</m:t>
        </m:r>
        <m:sSubSup>
          <m:sSubSupPr>
            <m:ctrlPr>
              <w:rPr>
                <w:rFonts w:ascii="Cambria Math" w:hAnsi="Cambria Math" w:eastAsiaTheme="minorEastAsia"/>
              </w:rPr>
            </m:ctrlPr>
          </m:sSubSupPr>
          <m:e>
            <m:r>
              <w:rPr>
                <w:rFonts w:ascii="Cambria Math" w:hAnsi="Cambria Math" w:eastAsiaTheme="minorEastAsia"/>
              </w:rPr>
              <m:t>V</m:t>
            </m:r>
          </m:e>
          <m:sub>
            <m:r>
              <w:rPr>
                <w:rFonts w:ascii="Cambria Math" w:hAnsi="Cambria Math" w:eastAsiaTheme="minorEastAsia"/>
              </w:rPr>
              <m:t>→a</m:t>
            </m:r>
          </m:sub>
          <m:sup>
            <m:r>
              <w:rPr>
                <w:rFonts w:ascii="Cambria Math" w:hAnsi="Cambria Math" w:eastAsiaTheme="minorEastAsia"/>
              </w:rPr>
              <m:t>BC</m:t>
            </m:r>
          </m:sup>
        </m:sSubSup>
        <m:r>
          <m:rPr>
            <m:sty m:val="p"/>
          </m:rPr>
          <w:rPr>
            <w:rFonts w:ascii="Cambria Math" w:hAnsi="Cambria Math" w:eastAsiaTheme="minorEastAsia"/>
          </w:rPr>
          <m:t xml:space="preserve">- </m:t>
        </m:r>
        <m:sSubSup>
          <m:sSubSupPr>
            <m:ctrlPr>
              <w:rPr>
                <w:rFonts w:ascii="Cambria Math" w:hAnsi="Cambria Math" w:eastAsiaTheme="minorEastAsia"/>
              </w:rPr>
            </m:ctrlPr>
          </m:sSubSupPr>
          <m:e>
            <m:r>
              <w:rPr>
                <w:rFonts w:ascii="Cambria Math" w:hAnsi="Cambria Math" w:eastAsiaTheme="minorEastAsia"/>
              </w:rPr>
              <m:t>V</m:t>
            </m:r>
          </m:e>
          <m:sub>
            <m:r>
              <w:rPr>
                <w:rFonts w:ascii="Cambria Math" w:hAnsi="Cambria Math" w:eastAsiaTheme="minorEastAsia"/>
              </w:rPr>
              <m:t>b→a</m:t>
            </m:r>
          </m:sub>
          <m:sup>
            <m:r>
              <w:rPr>
                <w:rFonts w:ascii="Cambria Math" w:hAnsi="Cambria Math" w:eastAsiaTheme="minorEastAsia"/>
              </w:rPr>
              <m:t>BC</m:t>
            </m:r>
          </m:sup>
        </m:sSubSup>
        <m:r>
          <m:rPr>
            <m:sty m:val="p"/>
          </m:rPr>
          <w:rPr>
            <w:rFonts w:ascii="Cambria Math" w:hAnsi="Cambria Math" w:eastAsiaTheme="minorEastAsia"/>
          </w:rPr>
          <m:t xml:space="preserve"> </m:t>
        </m:r>
      </m:oMath>
      <w:r w:rsidRPr="00762113">
        <w:rPr>
          <w:rFonts w:eastAsiaTheme="minorEastAsia"/>
        </w:rPr>
        <w:tab/>
      </w:r>
      <w:r w:rsidRPr="00762113">
        <w:rPr>
          <w:rFonts w:eastAsiaTheme="minorEastAsia"/>
        </w:rPr>
        <w:tab/>
        <w:t>(5.5)</w:t>
      </w:r>
    </w:p>
    <w:p w:rsidR="00835604" w:rsidRPr="00762113" w:rsidP="00835604" w14:paraId="52D876A2" w14:textId="77777777">
      <w:pPr>
        <w:pStyle w:val="textregular"/>
        <w:rPr>
          <w:rFonts w:eastAsiaTheme="minorEastAsia"/>
        </w:rPr>
      </w:pPr>
    </w:p>
    <w:p w:rsidR="0033765C" w:rsidRPr="00762113" w:rsidP="00835604" w14:paraId="554BF6F9" w14:textId="6B4E345D">
      <w:pPr>
        <w:pStyle w:val="textregular"/>
        <w:rPr>
          <w:rFonts w:eastAsiaTheme="minorEastAsia"/>
        </w:rPr>
      </w:pPr>
      <w:r w:rsidRPr="00762113">
        <w:rPr>
          <w:rFonts w:eastAsiaTheme="minorEastAsia"/>
        </w:rPr>
        <w:br w:type="page"/>
      </w:r>
    </w:p>
    <w:p w:rsidR="00DB45EA" w:rsidRPr="00762113" w:rsidP="00DB45EA" w14:paraId="3E2A3248" w14:textId="03B3E6EE">
      <w:pPr>
        <w:pStyle w:val="headline1"/>
        <w:numPr>
          <w:ilvl w:val="0"/>
          <w:numId w:val="1"/>
        </w:numPr>
      </w:pPr>
      <w:bookmarkStart w:id="17" w:name="_Ref107403431"/>
      <w:bookmarkStart w:id="18" w:name="_Toc113284214"/>
      <w:r w:rsidRPr="00762113">
        <w:t>CZC</w:t>
      </w:r>
      <w:r w:rsidRPr="00762113" w:rsidR="001F2A97">
        <w:t xml:space="preserve"> allocation</w:t>
      </w:r>
      <w:r w:rsidRPr="00762113" w:rsidR="00955355">
        <w:t xml:space="preserve"> determination</w:t>
      </w:r>
      <w:bookmarkEnd w:id="17"/>
      <w:bookmarkEnd w:id="18"/>
    </w:p>
    <w:p w:rsidR="00DB45EA" w:rsidRPr="00762113" w:rsidP="00275B33" w14:paraId="16E09274" w14:textId="6AA15323">
      <w:pPr>
        <w:jc w:val="both"/>
        <w:rPr>
          <w:b/>
        </w:rPr>
      </w:pPr>
      <w:r w:rsidRPr="00762113">
        <w:rPr>
          <w:bCs/>
        </w:rPr>
        <w:t xml:space="preserve">Netting </w:t>
      </w:r>
      <w:r w:rsidRPr="00762113">
        <w:t xml:space="preserve">of </w:t>
      </w:r>
      <w:r w:rsidRPr="00762113" w:rsidR="000A0DE4">
        <w:t>CZC</w:t>
      </w:r>
      <w:r w:rsidRPr="00762113">
        <w:t xml:space="preserve"> allocated to the exchange of balancing capacity or sharing of reserves is not possible between</w:t>
      </w:r>
      <w:r w:rsidRPr="00762113">
        <w:rPr>
          <w:b/>
        </w:rPr>
        <w:t xml:space="preserve"> </w:t>
      </w:r>
      <w:r w:rsidRPr="00762113">
        <w:t>standard upward and downward balancing capacity bids</w:t>
      </w:r>
      <w:r w:rsidRPr="00762113">
        <w:rPr>
          <w:b/>
        </w:rPr>
        <w:t xml:space="preserve"> and </w:t>
      </w:r>
      <w:r w:rsidRPr="00762113">
        <w:t>standard balancing capacity bids from different standard balancing capacity products</w:t>
      </w:r>
      <w:r w:rsidRPr="00762113">
        <w:rPr>
          <w:b/>
        </w:rPr>
        <w:t xml:space="preserve">. </w:t>
      </w:r>
    </w:p>
    <w:p w:rsidR="00DB45EA" w:rsidRPr="00762113" w:rsidP="00275B33" w14:paraId="1E498B2F" w14:textId="38209E87">
      <w:pPr>
        <w:jc w:val="both"/>
        <w:rPr>
          <w:bCs/>
        </w:rPr>
      </w:pPr>
      <w:r w:rsidRPr="00762113">
        <w:rPr>
          <w:bCs/>
        </w:rPr>
        <w:t xml:space="preserve">However, </w:t>
      </w:r>
      <w:r w:rsidRPr="00762113" w:rsidR="004843F2">
        <w:rPr>
          <w:bCs/>
        </w:rPr>
        <w:t xml:space="preserve">for standard balancing capacity products of opposite directions, the same CZC </w:t>
      </w:r>
      <w:r w:rsidRPr="00762113" w:rsidR="000A0DE4">
        <w:rPr>
          <w:bCs/>
        </w:rPr>
        <w:t>can be used. For example, if</w:t>
      </w:r>
      <w:r w:rsidRPr="00762113" w:rsidR="007D1C0C">
        <w:rPr>
          <w:bCs/>
        </w:rPr>
        <w:t xml:space="preserve"> CZC is allocated to exchange or share </w:t>
      </w:r>
      <w:r w:rsidRPr="00762113" w:rsidR="00131EE7">
        <w:rPr>
          <w:bCs/>
        </w:rPr>
        <w:t>mFRR</w:t>
      </w:r>
      <w:r w:rsidRPr="00762113" w:rsidR="00131EE7">
        <w:rPr>
          <w:bCs/>
        </w:rPr>
        <w:t xml:space="preserve"> up from BZ A to BZ B, and also CZC is allocated to exchange or share </w:t>
      </w:r>
      <w:r w:rsidRPr="00762113" w:rsidR="00131EE7">
        <w:rPr>
          <w:bCs/>
        </w:rPr>
        <w:t>mFRR</w:t>
      </w:r>
      <w:r w:rsidRPr="00762113" w:rsidR="00131EE7">
        <w:rPr>
          <w:bCs/>
        </w:rPr>
        <w:t xml:space="preserve"> down from BZ B to BZ A, then the resulting CZC allocation on the border of BZ A and B would be of the same direction. Because the Baltic LFC block shall engage in common imbalance management, there will be no simultaneous activation of up and down balancing products, </w:t>
      </w:r>
      <w:r w:rsidRPr="00762113" w:rsidR="001F12F5">
        <w:rPr>
          <w:bCs/>
        </w:rPr>
        <w:t>it is not necessary to allocate enough CZC to accommodate the balancing energy flows of both products.</w:t>
      </w:r>
      <w:r w:rsidRPr="00762113" w:rsidR="004D7DEF">
        <w:rPr>
          <w:bCs/>
        </w:rPr>
        <w:t xml:space="preserve"> </w:t>
      </w:r>
      <w:r w:rsidRPr="00762113" w:rsidR="00C11C23">
        <w:rPr>
          <w:bCs/>
        </w:rPr>
        <w:t xml:space="preserve">Therefore, within the Baltic LFC block </w:t>
      </w:r>
      <w:r w:rsidRPr="00762113" w:rsidR="008B5C31">
        <w:rPr>
          <w:bCs/>
        </w:rPr>
        <w:t xml:space="preserve">when </w:t>
      </w:r>
      <w:r w:rsidRPr="00762113" w:rsidR="00C00337">
        <w:rPr>
          <w:bCs/>
        </w:rPr>
        <w:t>standard balancing capacity products</w:t>
      </w:r>
      <w:r w:rsidRPr="00762113" w:rsidR="00163EE3">
        <w:rPr>
          <w:bCs/>
        </w:rPr>
        <w:t xml:space="preserve"> of up and down direction</w:t>
      </w:r>
      <w:r w:rsidRPr="00762113" w:rsidR="00C00337">
        <w:rPr>
          <w:bCs/>
        </w:rPr>
        <w:t xml:space="preserve"> are to be allocated such that the </w:t>
      </w:r>
      <w:r w:rsidRPr="00762113" w:rsidR="00B54CED">
        <w:rPr>
          <w:bCs/>
        </w:rPr>
        <w:t>CZC allocation would be cumulative, instead the highest of the two is allocated.</w:t>
      </w:r>
      <w:r w:rsidRPr="00762113" w:rsidR="00845B49">
        <w:rPr>
          <w:bCs/>
        </w:rPr>
        <w:t xml:space="preserve"> This is in line with the envisaged imbalance management of the Baltic LFC block as well as </w:t>
      </w:r>
      <w:r w:rsidRPr="00762113" w:rsidR="0030618C">
        <w:rPr>
          <w:bCs/>
        </w:rPr>
        <w:t>maximizes the usage of existing CZC assets. The comparison between netting and the double usage of CZC is illustrated</w:t>
      </w:r>
      <w:r w:rsidRPr="00762113" w:rsidR="00063472">
        <w:rPr>
          <w:bCs/>
        </w:rPr>
        <w:t xml:space="preserve"> in the image below. On the image, netting is illustrated on the left (not possible); </w:t>
      </w:r>
      <w:r w:rsidRPr="00762113" w:rsidR="00E34374">
        <w:rPr>
          <w:bCs/>
        </w:rPr>
        <w:t>overlapping usage of CZC is illustrated on the right (possible).</w:t>
      </w:r>
    </w:p>
    <w:p w:rsidR="00EF4AA4" w:rsidRPr="00762113" w:rsidP="00DB45EA" w14:paraId="751E92AE" w14:textId="52B6BAFF">
      <w:pPr>
        <w:rPr>
          <w:bCs/>
        </w:rPr>
      </w:pPr>
      <w:r w:rsidRPr="00762113">
        <w:rPr>
          <w:noProof/>
        </w:rPr>
        <mc:AlternateContent>
          <mc:Choice Requires="wps">
            <w:drawing>
              <wp:anchor distT="0" distB="0" distL="114300" distR="114300" simplePos="0" relativeHeight="251671552" behindDoc="0" locked="0" layoutInCell="1" allowOverlap="1">
                <wp:simplePos x="0" y="0"/>
                <wp:positionH relativeFrom="column">
                  <wp:posOffset>3441700</wp:posOffset>
                </wp:positionH>
                <wp:positionV relativeFrom="paragraph">
                  <wp:posOffset>1708785</wp:posOffset>
                </wp:positionV>
                <wp:extent cx="1459865" cy="657225"/>
                <wp:effectExtent l="19050" t="19050" r="26035" b="47625"/>
                <wp:wrapNone/>
                <wp:docPr id="18" name="Arrow: Left 18"/>
                <wp:cNvGraphicFramePr/>
                <a:graphic xmlns:a="http://schemas.openxmlformats.org/drawingml/2006/main">
                  <a:graphicData uri="http://schemas.microsoft.com/office/word/2010/wordprocessingShape">
                    <wps:wsp xmlns:wps="http://schemas.microsoft.com/office/word/2010/wordprocessingShape">
                      <wps:cNvSpPr/>
                      <wps:spPr>
                        <a:xfrm>
                          <a:off x="0" y="0"/>
                          <a:ext cx="1459865" cy="6572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D33E1" w:rsidRPr="00792A3D" w:rsidP="004D33E1" w14:textId="068B1EF4">
                            <w:pPr>
                              <w:jc w:val="center"/>
                              <w:rPr>
                                <w:sz w:val="14"/>
                                <w:szCs w:val="14"/>
                              </w:rPr>
                            </w:pPr>
                            <w:r>
                              <w:rPr>
                                <w:sz w:val="14"/>
                                <w:szCs w:val="14"/>
                              </w:rPr>
                              <w:t xml:space="preserve">CZC allocation = </w:t>
                            </w:r>
                            <w:r w:rsidR="00702CB8">
                              <w:rPr>
                                <w:sz w:val="14"/>
                                <w:szCs w:val="14"/>
                              </w:rPr>
                              <w:t>max(60;40)</w:t>
                            </w:r>
                            <w:r>
                              <w:rPr>
                                <w:sz w:val="14"/>
                                <w:szCs w:val="14"/>
                              </w:rPr>
                              <w:t xml:space="preserve"> = </w:t>
                            </w:r>
                            <w:r w:rsidR="002E4C8A">
                              <w:rPr>
                                <w:sz w:val="14"/>
                                <w:szCs w:val="14"/>
                              </w:rPr>
                              <w:t>60</w:t>
                            </w:r>
                            <w:r>
                              <w:rPr>
                                <w:sz w:val="14"/>
                                <w:szCs w:val="14"/>
                              </w:rPr>
                              <w:t xml:space="preserve"> MW</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8" o:spid="_x0000_s1033" type="#_x0000_t66" style="width:114.95pt;height:51.75pt;margin-top:134.55pt;margin-left:271pt;mso-height-percent:0;mso-height-relative:margin;mso-width-percent:0;mso-width-relative:margin;mso-wrap-distance-bottom:0;mso-wrap-distance-left:9pt;mso-wrap-distance-right:9pt;mso-wrap-distance-top:0;mso-wrap-style:square;position:absolute;visibility:visible;v-text-anchor:middle;z-index:251672576" adj="4862" fillcolor="#4472c4" strokecolor="#1f3763" strokeweight="1pt">
                <v:textbox>
                  <w:txbxContent>
                    <w:p w:rsidR="004D33E1" w:rsidRPr="00792A3D" w:rsidP="004D33E1" w14:paraId="46B85AFA" w14:textId="068B1EF4">
                      <w:pPr>
                        <w:jc w:val="center"/>
                        <w:rPr>
                          <w:sz w:val="14"/>
                          <w:szCs w:val="14"/>
                        </w:rPr>
                      </w:pPr>
                      <w:r>
                        <w:rPr>
                          <w:sz w:val="14"/>
                          <w:szCs w:val="14"/>
                        </w:rPr>
                        <w:t xml:space="preserve">CZC allocation = </w:t>
                      </w:r>
                      <w:r w:rsidR="00702CB8">
                        <w:rPr>
                          <w:sz w:val="14"/>
                          <w:szCs w:val="14"/>
                        </w:rPr>
                        <w:t>max(</w:t>
                      </w:r>
                      <w:r w:rsidR="00702CB8">
                        <w:rPr>
                          <w:sz w:val="14"/>
                          <w:szCs w:val="14"/>
                        </w:rPr>
                        <w:t>60;40)</w:t>
                      </w:r>
                      <w:r>
                        <w:rPr>
                          <w:sz w:val="14"/>
                          <w:szCs w:val="14"/>
                        </w:rPr>
                        <w:t xml:space="preserve"> = </w:t>
                      </w:r>
                      <w:r w:rsidR="002E4C8A">
                        <w:rPr>
                          <w:sz w:val="14"/>
                          <w:szCs w:val="14"/>
                        </w:rPr>
                        <w:t>60</w:t>
                      </w:r>
                      <w:r>
                        <w:rPr>
                          <w:sz w:val="14"/>
                          <w:szCs w:val="14"/>
                        </w:rPr>
                        <w:t xml:space="preserve"> MW</w:t>
                      </w:r>
                    </w:p>
                  </w:txbxContent>
                </v:textbox>
              </v:shape>
            </w:pict>
          </mc:Fallback>
        </mc:AlternateContent>
      </w:r>
      <w:r w:rsidRPr="00762113">
        <w:rPr>
          <w:noProof/>
        </w:rPr>
        <mc:AlternateContent>
          <mc:Choice Requires="wps">
            <w:drawing>
              <wp:anchor distT="0" distB="0" distL="114300" distR="114300" simplePos="0" relativeHeight="251669504" behindDoc="0" locked="0" layoutInCell="1" allowOverlap="1">
                <wp:simplePos x="0" y="0"/>
                <wp:positionH relativeFrom="column">
                  <wp:posOffset>3679825</wp:posOffset>
                </wp:positionH>
                <wp:positionV relativeFrom="paragraph">
                  <wp:posOffset>1178560</wp:posOffset>
                </wp:positionV>
                <wp:extent cx="1228725" cy="621665"/>
                <wp:effectExtent l="19050" t="19050" r="28575" b="45085"/>
                <wp:wrapNone/>
                <wp:docPr id="16" name="Arrow: Left 16"/>
                <wp:cNvGraphicFramePr/>
                <a:graphic xmlns:a="http://schemas.openxmlformats.org/drawingml/2006/main">
                  <a:graphicData uri="http://schemas.microsoft.com/office/word/2010/wordprocessingShape">
                    <wps:wsp xmlns:wps="http://schemas.microsoft.com/office/word/2010/wordprocessingShape">
                      <wps:cNvSpPr/>
                      <wps:spPr>
                        <a:xfrm>
                          <a:off x="0" y="0"/>
                          <a:ext cx="1228725" cy="621665"/>
                        </a:xfrm>
                        <a:prstGeom prst="left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D33E1" w:rsidRPr="00792A3D" w:rsidP="004D33E1" w14:textId="3BF080A5">
                            <w:pPr>
                              <w:jc w:val="center"/>
                              <w:rPr>
                                <w:sz w:val="14"/>
                                <w:szCs w:val="14"/>
                              </w:rPr>
                            </w:pPr>
                            <w:r w:rsidRPr="00792A3D">
                              <w:rPr>
                                <w:sz w:val="14"/>
                                <w:szCs w:val="14"/>
                              </w:rPr>
                              <w:t>mFRR</w:t>
                            </w:r>
                            <w:r w:rsidRPr="00792A3D">
                              <w:rPr>
                                <w:sz w:val="14"/>
                                <w:szCs w:val="14"/>
                              </w:rPr>
                              <w:t xml:space="preserve"> </w:t>
                            </w:r>
                            <w:r w:rsidR="00702CB8">
                              <w:rPr>
                                <w:sz w:val="14"/>
                                <w:szCs w:val="14"/>
                              </w:rPr>
                              <w:t>down</w:t>
                            </w:r>
                            <w:r w:rsidRPr="00792A3D">
                              <w:rPr>
                                <w:sz w:val="14"/>
                                <w:szCs w:val="14"/>
                              </w:rPr>
                              <w:t xml:space="preserve"> exchange  from </w:t>
                            </w:r>
                            <w:r w:rsidR="00702CB8">
                              <w:rPr>
                                <w:sz w:val="14"/>
                                <w:szCs w:val="14"/>
                              </w:rPr>
                              <w:t>A</w:t>
                            </w:r>
                            <w:r>
                              <w:rPr>
                                <w:sz w:val="14"/>
                                <w:szCs w:val="14"/>
                              </w:rPr>
                              <w:t xml:space="preserve"> t</w:t>
                            </w:r>
                            <w:r w:rsidRPr="00792A3D">
                              <w:rPr>
                                <w:sz w:val="14"/>
                                <w:szCs w:val="14"/>
                              </w:rPr>
                              <w:t xml:space="preserve">o </w:t>
                            </w:r>
                            <w:r w:rsidR="00702CB8">
                              <w:rPr>
                                <w:sz w:val="14"/>
                                <w:szCs w:val="14"/>
                              </w:rPr>
                              <w:t>B</w:t>
                            </w:r>
                            <w:r w:rsidRPr="00792A3D">
                              <w:rPr>
                                <w:sz w:val="14"/>
                                <w:szCs w:val="14"/>
                              </w:rPr>
                              <w:t xml:space="preserve"> = </w:t>
                            </w:r>
                            <w:r>
                              <w:rPr>
                                <w:sz w:val="14"/>
                                <w:szCs w:val="14"/>
                              </w:rPr>
                              <w:t>4</w:t>
                            </w:r>
                            <w:r w:rsidRPr="00792A3D">
                              <w:rPr>
                                <w:sz w:val="14"/>
                                <w:szCs w:val="14"/>
                              </w:rPr>
                              <w:t>0 MW</w:t>
                            </w:r>
                          </w:p>
                          <w:p w:rsidR="004D33E1" w:rsidRPr="00792A3D" w:rsidP="004D33E1" w14:textId="77777777">
                            <w:pPr>
                              <w:rPr>
                                <w:sz w:val="20"/>
                                <w:szCs w:val="20"/>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Left 16" o:spid="_x0000_s1034" type="#_x0000_t66" style="width:96.75pt;height:48.95pt;margin-top:92.8pt;margin-left:289.75pt;mso-height-percent:0;mso-height-relative:margin;mso-width-percent:0;mso-width-relative:margin;mso-wrap-distance-bottom:0;mso-wrap-distance-left:9pt;mso-wrap-distance-right:9pt;mso-wrap-distance-top:0;mso-wrap-style:square;position:absolute;visibility:visible;v-text-anchor:middle;z-index:251670528" adj="5464" fillcolor="#8eaadb" strokecolor="#1f3763" strokeweight="1pt">
                <v:textbox>
                  <w:txbxContent>
                    <w:p w:rsidR="004D33E1" w:rsidRPr="00792A3D" w:rsidP="004D33E1" w14:paraId="6EE5E1F7" w14:textId="3BF080A5">
                      <w:pPr>
                        <w:jc w:val="center"/>
                        <w:rPr>
                          <w:sz w:val="14"/>
                          <w:szCs w:val="14"/>
                        </w:rPr>
                      </w:pPr>
                      <w:r w:rsidRPr="00792A3D">
                        <w:rPr>
                          <w:sz w:val="14"/>
                          <w:szCs w:val="14"/>
                        </w:rPr>
                        <w:t>mFRR</w:t>
                      </w:r>
                      <w:r w:rsidRPr="00792A3D">
                        <w:rPr>
                          <w:sz w:val="14"/>
                          <w:szCs w:val="14"/>
                        </w:rPr>
                        <w:t xml:space="preserve"> </w:t>
                      </w:r>
                      <w:r w:rsidR="00702CB8">
                        <w:rPr>
                          <w:sz w:val="14"/>
                          <w:szCs w:val="14"/>
                        </w:rPr>
                        <w:t>down</w:t>
                      </w:r>
                      <w:r w:rsidRPr="00792A3D">
                        <w:rPr>
                          <w:sz w:val="14"/>
                          <w:szCs w:val="14"/>
                        </w:rPr>
                        <w:t xml:space="preserve"> </w:t>
                      </w:r>
                      <w:r w:rsidRPr="00792A3D">
                        <w:rPr>
                          <w:sz w:val="14"/>
                          <w:szCs w:val="14"/>
                        </w:rPr>
                        <w:t>exchange  from</w:t>
                      </w:r>
                      <w:r w:rsidRPr="00792A3D">
                        <w:rPr>
                          <w:sz w:val="14"/>
                          <w:szCs w:val="14"/>
                        </w:rPr>
                        <w:t xml:space="preserve"> </w:t>
                      </w:r>
                      <w:r w:rsidR="00702CB8">
                        <w:rPr>
                          <w:sz w:val="14"/>
                          <w:szCs w:val="14"/>
                        </w:rPr>
                        <w:t>A</w:t>
                      </w:r>
                      <w:r>
                        <w:rPr>
                          <w:sz w:val="14"/>
                          <w:szCs w:val="14"/>
                        </w:rPr>
                        <w:t xml:space="preserve"> t</w:t>
                      </w:r>
                      <w:r w:rsidRPr="00792A3D">
                        <w:rPr>
                          <w:sz w:val="14"/>
                          <w:szCs w:val="14"/>
                        </w:rPr>
                        <w:t xml:space="preserve">o </w:t>
                      </w:r>
                      <w:r w:rsidR="00702CB8">
                        <w:rPr>
                          <w:sz w:val="14"/>
                          <w:szCs w:val="14"/>
                        </w:rPr>
                        <w:t>B</w:t>
                      </w:r>
                      <w:r w:rsidRPr="00792A3D">
                        <w:rPr>
                          <w:sz w:val="14"/>
                          <w:szCs w:val="14"/>
                        </w:rPr>
                        <w:t xml:space="preserve"> = </w:t>
                      </w:r>
                      <w:r>
                        <w:rPr>
                          <w:sz w:val="14"/>
                          <w:szCs w:val="14"/>
                        </w:rPr>
                        <w:t>4</w:t>
                      </w:r>
                      <w:r w:rsidRPr="00792A3D">
                        <w:rPr>
                          <w:sz w:val="14"/>
                          <w:szCs w:val="14"/>
                        </w:rPr>
                        <w:t>0 MW</w:t>
                      </w:r>
                    </w:p>
                    <w:p w:rsidR="004D33E1" w:rsidRPr="00792A3D" w:rsidP="004D33E1" w14:paraId="041ABB3E" w14:textId="77777777">
                      <w:pPr>
                        <w:rPr>
                          <w:sz w:val="20"/>
                          <w:szCs w:val="20"/>
                        </w:rPr>
                      </w:pPr>
                    </w:p>
                  </w:txbxContent>
                </v:textbox>
              </v:shape>
            </w:pict>
          </mc:Fallback>
        </mc:AlternateContent>
      </w:r>
      <w:r w:rsidRPr="00762113">
        <w:rPr>
          <w:bCs/>
          <w:noProof/>
        </w:rPr>
        <mc:AlternateContent>
          <mc:Choice Requires="wps">
            <w:drawing>
              <wp:anchor distT="0" distB="0" distL="114300" distR="114300" simplePos="0" relativeHeight="251673600" behindDoc="0" locked="0" layoutInCell="1" allowOverlap="1">
                <wp:simplePos x="0" y="0"/>
                <wp:positionH relativeFrom="column">
                  <wp:posOffset>4904105</wp:posOffset>
                </wp:positionH>
                <wp:positionV relativeFrom="paragraph">
                  <wp:posOffset>670560</wp:posOffset>
                </wp:positionV>
                <wp:extent cx="0" cy="1418590"/>
                <wp:effectExtent l="0" t="0" r="38100" b="29210"/>
                <wp:wrapNone/>
                <wp:docPr id="19" name="Straight Connector 19"/>
                <wp:cNvGraphicFramePr/>
                <a:graphic xmlns:a="http://schemas.openxmlformats.org/drawingml/2006/main">
                  <a:graphicData uri="http://schemas.microsoft.com/office/word/2010/wordprocessingShape">
                    <wps:wsp xmlns:wps="http://schemas.microsoft.com/office/word/2010/wordprocessingShape">
                      <wps:cNvCnPr/>
                      <wps:spPr>
                        <a:xfrm flipH="1">
                          <a:off x="0" y="0"/>
                          <a:ext cx="0" cy="14185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35" style="flip:x;mso-width-percent:0;mso-width-relative:margin;mso-wrap-distance-bottom:0;mso-wrap-distance-left:9pt;mso-wrap-distance-right:9pt;mso-wrap-distance-top:0;mso-wrap-style:square;position:absolute;visibility:visible;z-index:251692032" from="386.15pt,52.8pt" to="386.15pt,164.5pt" strokecolor="#4472c4" strokeweight="0.5pt">
                <v:stroke joinstyle="miter"/>
              </v:line>
            </w:pict>
          </mc:Fallback>
        </mc:AlternateContent>
      </w:r>
      <w:r w:rsidRPr="00762113">
        <w:rPr>
          <w:bCs/>
          <w:noProof/>
        </w:rPr>
        <mc:AlternateContent>
          <mc:Choice Requires="wps">
            <w:drawing>
              <wp:anchor distT="0" distB="0" distL="114300" distR="114300" simplePos="0" relativeHeight="251674624" behindDoc="0" locked="0" layoutInCell="1" allowOverlap="1">
                <wp:simplePos x="0" y="0"/>
                <wp:positionH relativeFrom="column">
                  <wp:posOffset>4488180</wp:posOffset>
                </wp:positionH>
                <wp:positionV relativeFrom="paragraph">
                  <wp:posOffset>135890</wp:posOffset>
                </wp:positionV>
                <wp:extent cx="813435" cy="521970"/>
                <wp:effectExtent l="0" t="0" r="24765" b="11430"/>
                <wp:wrapNone/>
                <wp:docPr id="20" name="Flowchart: Process 20"/>
                <wp:cNvGraphicFramePr/>
                <a:graphic xmlns:a="http://schemas.openxmlformats.org/drawingml/2006/main">
                  <a:graphicData uri="http://schemas.microsoft.com/office/word/2010/wordprocessingShape">
                    <wps:wsp xmlns:wps="http://schemas.microsoft.com/office/word/2010/wordprocessingShape">
                      <wps:cNvSpPr/>
                      <wps:spPr>
                        <a:xfrm>
                          <a:off x="0" y="0"/>
                          <a:ext cx="813435" cy="52197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4374" w:rsidP="00E34374" w14:textId="77777777">
                            <w:pPr>
                              <w:jc w:val="center"/>
                            </w:pPr>
                            <w:r>
                              <w:t>CZC allocation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20" o:spid="_x0000_s1036" type="#_x0000_t109" style="width:64.05pt;height:41.1pt;margin-top:10.7pt;margin-left:353.4pt;mso-height-percent:0;mso-height-relative:margin;mso-width-percent:0;mso-width-relative:margin;mso-wrap-distance-bottom:0;mso-wrap-distance-left:9pt;mso-wrap-distance-right:9pt;mso-wrap-distance-top:0;mso-wrap-style:square;position:absolute;visibility:visible;v-text-anchor:middle;z-index:251675648" fillcolor="#4472c4" strokecolor="#1f3763" strokeweight="1pt">
                <v:textbox>
                  <w:txbxContent>
                    <w:p w:rsidR="00E34374" w:rsidP="00E34374" w14:paraId="51226B6C" w14:textId="77777777">
                      <w:pPr>
                        <w:jc w:val="center"/>
                      </w:pPr>
                      <w:r>
                        <w:t>CZC allocation</w:t>
                      </w:r>
                    </w:p>
                  </w:txbxContent>
                </v:textbox>
              </v:shape>
            </w:pict>
          </mc:Fallback>
        </mc:AlternateContent>
      </w:r>
      <w:r w:rsidRPr="00762113">
        <w:rPr>
          <w:noProof/>
        </w:rPr>
        <mc:AlternateContent>
          <mc:Choice Requires="wps">
            <w:drawing>
              <wp:anchor distT="0" distB="0" distL="114300" distR="114300" simplePos="0" relativeHeight="251667456" behindDoc="0" locked="0" layoutInCell="1" allowOverlap="1">
                <wp:simplePos x="0" y="0"/>
                <wp:positionH relativeFrom="column">
                  <wp:posOffset>3443605</wp:posOffset>
                </wp:positionH>
                <wp:positionV relativeFrom="paragraph">
                  <wp:posOffset>556260</wp:posOffset>
                </wp:positionV>
                <wp:extent cx="1468755" cy="621665"/>
                <wp:effectExtent l="19050" t="19050" r="17145" b="45085"/>
                <wp:wrapNone/>
                <wp:docPr id="15" name="Arrow: Left 15"/>
                <wp:cNvGraphicFramePr/>
                <a:graphic xmlns:a="http://schemas.openxmlformats.org/drawingml/2006/main">
                  <a:graphicData uri="http://schemas.microsoft.com/office/word/2010/wordprocessingShape">
                    <wps:wsp xmlns:wps="http://schemas.microsoft.com/office/word/2010/wordprocessingShape">
                      <wps:cNvSpPr/>
                      <wps:spPr>
                        <a:xfrm>
                          <a:off x="0" y="0"/>
                          <a:ext cx="1468755" cy="621665"/>
                        </a:xfrm>
                        <a:prstGeom prst="left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D33E1" w:rsidRPr="00792A3D" w:rsidP="004D33E1" w14:textId="77777777">
                            <w:pPr>
                              <w:jc w:val="center"/>
                              <w:rPr>
                                <w:sz w:val="14"/>
                                <w:szCs w:val="14"/>
                              </w:rPr>
                            </w:pPr>
                            <w:r w:rsidRPr="00792A3D">
                              <w:rPr>
                                <w:sz w:val="14"/>
                                <w:szCs w:val="14"/>
                              </w:rPr>
                              <w:t>mFRR</w:t>
                            </w:r>
                            <w:r w:rsidRPr="00792A3D">
                              <w:rPr>
                                <w:sz w:val="14"/>
                                <w:szCs w:val="14"/>
                              </w:rPr>
                              <w:t xml:space="preserve"> up exchange  from A to B = 60 MW</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Left 15" o:spid="_x0000_s1037" type="#_x0000_t66" style="width:115.65pt;height:48.95pt;margin-top:43.8pt;margin-left:271.15pt;mso-height-percent:0;mso-height-relative:margin;mso-width-percent:0;mso-width-relative:margin;mso-wrap-distance-bottom:0;mso-wrap-distance-left:9pt;mso-wrap-distance-right:9pt;mso-wrap-distance-top:0;mso-wrap-style:square;position:absolute;visibility:visible;v-text-anchor:middle;z-index:251668480" adj="4571" fillcolor="#8eaadb" strokecolor="#1f3763" strokeweight="1pt">
                <v:textbox>
                  <w:txbxContent>
                    <w:p w:rsidR="004D33E1" w:rsidRPr="00792A3D" w:rsidP="004D33E1" w14:paraId="26CBFFD5" w14:textId="77777777">
                      <w:pPr>
                        <w:jc w:val="center"/>
                        <w:rPr>
                          <w:sz w:val="14"/>
                          <w:szCs w:val="14"/>
                        </w:rPr>
                      </w:pPr>
                      <w:r w:rsidRPr="00792A3D">
                        <w:rPr>
                          <w:sz w:val="14"/>
                          <w:szCs w:val="14"/>
                        </w:rPr>
                        <w:t>mFRR</w:t>
                      </w:r>
                      <w:r w:rsidRPr="00792A3D">
                        <w:rPr>
                          <w:sz w:val="14"/>
                          <w:szCs w:val="14"/>
                        </w:rPr>
                        <w:t xml:space="preserve"> up </w:t>
                      </w:r>
                      <w:r w:rsidRPr="00792A3D">
                        <w:rPr>
                          <w:sz w:val="14"/>
                          <w:szCs w:val="14"/>
                        </w:rPr>
                        <w:t>exchange  from</w:t>
                      </w:r>
                      <w:r w:rsidRPr="00792A3D">
                        <w:rPr>
                          <w:sz w:val="14"/>
                          <w:szCs w:val="14"/>
                        </w:rPr>
                        <w:t xml:space="preserve"> A to B = 60 MW</w:t>
                      </w:r>
                    </w:p>
                  </w:txbxContent>
                </v:textbox>
              </v:shape>
            </w:pict>
          </mc:Fallback>
        </mc:AlternateContent>
      </w:r>
      <w:r w:rsidRPr="00762113" w:rsidR="00E34374">
        <w:rPr>
          <w:bCs/>
          <w:noProof/>
        </w:rPr>
        <mc:AlternateContent>
          <mc:Choice Requires="wps">
            <w:drawing>
              <wp:anchor distT="0" distB="0" distL="114300" distR="114300" simplePos="0" relativeHeight="251663360" behindDoc="0" locked="0" layoutInCell="1" allowOverlap="1">
                <wp:simplePos x="0" y="0"/>
                <wp:positionH relativeFrom="column">
                  <wp:posOffset>803835</wp:posOffset>
                </wp:positionH>
                <wp:positionV relativeFrom="paragraph">
                  <wp:posOffset>46734</wp:posOffset>
                </wp:positionV>
                <wp:extent cx="813460" cy="522514"/>
                <wp:effectExtent l="0" t="0" r="24765" b="11430"/>
                <wp:wrapNone/>
                <wp:docPr id="13" name="Flowchart: Process 13"/>
                <wp:cNvGraphicFramePr/>
                <a:graphic xmlns:a="http://schemas.openxmlformats.org/drawingml/2006/main">
                  <a:graphicData uri="http://schemas.microsoft.com/office/word/2010/wordprocessingShape">
                    <wps:wsp xmlns:wps="http://schemas.microsoft.com/office/word/2010/wordprocessingShape">
                      <wps:cNvSpPr/>
                      <wps:spPr>
                        <a:xfrm>
                          <a:off x="0" y="0"/>
                          <a:ext cx="813460" cy="522514"/>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4BD1" w:rsidP="00AA4BD1" w14:textId="579CC91A">
                            <w:pPr>
                              <w:jc w:val="center"/>
                            </w:pPr>
                            <w:r>
                              <w:t>CZC</w:t>
                            </w:r>
                            <w:r w:rsidR="00E34374">
                              <w:t xml:space="preserve"> allocation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lowchart: Process 13" o:spid="_x0000_s1038" type="#_x0000_t109" style="width:64.05pt;height:41.15pt;margin-top:3.7pt;margin-left:63.3pt;mso-height-percent:0;mso-height-relative:margin;mso-width-percent:0;mso-width-relative:margin;mso-wrap-distance-bottom:0;mso-wrap-distance-left:9pt;mso-wrap-distance-right:9pt;mso-wrap-distance-top:0;mso-wrap-style:square;position:absolute;visibility:visible;v-text-anchor:middle;z-index:251664384" fillcolor="#4472c4" strokecolor="#1f3763" strokeweight="1pt">
                <v:textbox>
                  <w:txbxContent>
                    <w:p w:rsidR="00AA4BD1" w:rsidP="00AA4BD1" w14:paraId="30627BC3" w14:textId="579CC91A">
                      <w:pPr>
                        <w:jc w:val="center"/>
                      </w:pPr>
                      <w:r>
                        <w:t>CZC</w:t>
                      </w:r>
                      <w:r w:rsidR="00E34374">
                        <w:t xml:space="preserve"> allocation</w:t>
                      </w:r>
                    </w:p>
                  </w:txbxContent>
                </v:textbox>
              </v:shape>
            </w:pict>
          </mc:Fallback>
        </mc:AlternateContent>
      </w:r>
      <w:r w:rsidRPr="00762113">
        <w:rPr>
          <w:bCs/>
          <w:noProof/>
        </w:rPr>
        <mc:AlternateContent>
          <mc:Choice Requires="wps">
            <w:drawing>
              <wp:anchor distT="0" distB="0" distL="114300" distR="114300" simplePos="0" relativeHeight="251658240" behindDoc="0" locked="0" layoutInCell="1" allowOverlap="1">
                <wp:simplePos x="0" y="0"/>
                <wp:positionH relativeFrom="column">
                  <wp:posOffset>1207794</wp:posOffset>
                </wp:positionH>
                <wp:positionV relativeFrom="paragraph">
                  <wp:posOffset>134620</wp:posOffset>
                </wp:positionV>
                <wp:extent cx="0" cy="1419101"/>
                <wp:effectExtent l="0" t="0" r="38100" b="2921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wps:spPr>
                        <a:xfrm flipH="1">
                          <a:off x="0" y="0"/>
                          <a:ext cx="0" cy="141910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39" style="flip:x;mso-width-percent:0;mso-width-relative:margin;mso-wrap-distance-bottom:0;mso-wrap-distance-left:9pt;mso-wrap-distance-right:9pt;mso-wrap-distance-top:0;mso-wrap-style:square;position:absolute;visibility:visible;z-index:251691008" from="95.1pt,10.6pt" to="95.1pt,122.35pt" strokecolor="#4472c4" strokeweight="0.5pt">
                <v:stroke joinstyle="miter"/>
              </v:line>
            </w:pict>
          </mc:Fallback>
        </mc:AlternateContent>
      </w:r>
    </w:p>
    <w:p w:rsidR="003114DC" w:rsidRPr="00762113" w:rsidP="00DB45EA" w14:paraId="19D9814C" w14:textId="5258787C">
      <w:pPr>
        <w:rPr>
          <w:bCs/>
        </w:rPr>
      </w:pPr>
    </w:p>
    <w:p w:rsidR="003114DC" w:rsidRPr="00762113" w:rsidP="00AA4BD1" w14:paraId="2634F68B" w14:textId="3B57F54D">
      <w:r w:rsidRPr="00762113">
        <w:rPr>
          <w:bCs/>
          <w:noProof/>
        </w:rPr>
        <mc:AlternateContent>
          <mc:Choice Requires="wps">
            <w:drawing>
              <wp:anchor distT="0" distB="0" distL="114300" distR="114300" simplePos="0" relativeHeight="251659264" behindDoc="0" locked="0" layoutInCell="1" allowOverlap="1">
                <wp:simplePos x="0" y="0"/>
                <wp:positionH relativeFrom="column">
                  <wp:posOffset>-252656</wp:posOffset>
                </wp:positionH>
                <wp:positionV relativeFrom="paragraph">
                  <wp:posOffset>151179</wp:posOffset>
                </wp:positionV>
                <wp:extent cx="1468821" cy="621665"/>
                <wp:effectExtent l="19050" t="19050" r="17145" b="45085"/>
                <wp:wrapNone/>
                <wp:docPr id="11" name="Arrow: Left 11"/>
                <wp:cNvGraphicFramePr/>
                <a:graphic xmlns:a="http://schemas.openxmlformats.org/drawingml/2006/main">
                  <a:graphicData uri="http://schemas.microsoft.com/office/word/2010/wordprocessingShape">
                    <wps:wsp xmlns:wps="http://schemas.microsoft.com/office/word/2010/wordprocessingShape">
                      <wps:cNvSpPr/>
                      <wps:spPr>
                        <a:xfrm>
                          <a:off x="0" y="0"/>
                          <a:ext cx="1468821" cy="621665"/>
                        </a:xfrm>
                        <a:prstGeom prst="left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50519" w:rsidRPr="00792A3D" w:rsidP="00850519" w14:textId="2ADA44C0">
                            <w:pPr>
                              <w:jc w:val="center"/>
                              <w:rPr>
                                <w:sz w:val="14"/>
                                <w:szCs w:val="14"/>
                              </w:rPr>
                            </w:pPr>
                            <w:r w:rsidRPr="00792A3D">
                              <w:rPr>
                                <w:sz w:val="14"/>
                                <w:szCs w:val="14"/>
                              </w:rPr>
                              <w:t>mFRR</w:t>
                            </w:r>
                            <w:r w:rsidRPr="00792A3D">
                              <w:rPr>
                                <w:sz w:val="14"/>
                                <w:szCs w:val="14"/>
                              </w:rPr>
                              <w:t xml:space="preserve"> up</w:t>
                            </w:r>
                            <w:r w:rsidRPr="00792A3D" w:rsidR="00792A3D">
                              <w:rPr>
                                <w:sz w:val="14"/>
                                <w:szCs w:val="14"/>
                              </w:rPr>
                              <w:t xml:space="preserve"> exchange </w:t>
                            </w:r>
                            <w:r w:rsidRPr="00792A3D">
                              <w:rPr>
                                <w:sz w:val="14"/>
                                <w:szCs w:val="14"/>
                              </w:rPr>
                              <w:t xml:space="preserve"> from A to B </w:t>
                            </w:r>
                            <w:r w:rsidRPr="00792A3D" w:rsidR="00792A3D">
                              <w:rPr>
                                <w:sz w:val="14"/>
                                <w:szCs w:val="14"/>
                              </w:rPr>
                              <w:t>= 60 MW</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Left 11" o:spid="_x0000_s1040" type="#_x0000_t66" style="width:115.65pt;height:48.95pt;margin-top:11.9pt;margin-left:-19.9pt;mso-height-percent:0;mso-height-relative:margin;mso-width-percent:0;mso-width-relative:margin;mso-wrap-distance-bottom:0;mso-wrap-distance-left:9pt;mso-wrap-distance-right:9pt;mso-wrap-distance-top:0;mso-wrap-style:square;position:absolute;visibility:visible;v-text-anchor:middle;z-index:251660288" adj="4571" fillcolor="#8eaadb" strokecolor="#1f3763" strokeweight="1pt">
                <v:textbox>
                  <w:txbxContent>
                    <w:p w:rsidR="00850519" w:rsidRPr="00792A3D" w:rsidP="00850519" w14:paraId="210C6260" w14:textId="2ADA44C0">
                      <w:pPr>
                        <w:jc w:val="center"/>
                        <w:rPr>
                          <w:sz w:val="14"/>
                          <w:szCs w:val="14"/>
                        </w:rPr>
                      </w:pPr>
                      <w:r w:rsidRPr="00792A3D">
                        <w:rPr>
                          <w:sz w:val="14"/>
                          <w:szCs w:val="14"/>
                        </w:rPr>
                        <w:t>mFRR</w:t>
                      </w:r>
                      <w:r w:rsidRPr="00792A3D">
                        <w:rPr>
                          <w:sz w:val="14"/>
                          <w:szCs w:val="14"/>
                        </w:rPr>
                        <w:t xml:space="preserve"> up</w:t>
                      </w:r>
                      <w:r w:rsidRPr="00792A3D" w:rsidR="00792A3D">
                        <w:rPr>
                          <w:sz w:val="14"/>
                          <w:szCs w:val="14"/>
                        </w:rPr>
                        <w:t xml:space="preserve"> </w:t>
                      </w:r>
                      <w:r w:rsidRPr="00792A3D" w:rsidR="00792A3D">
                        <w:rPr>
                          <w:sz w:val="14"/>
                          <w:szCs w:val="14"/>
                        </w:rPr>
                        <w:t xml:space="preserve">exchange </w:t>
                      </w:r>
                      <w:r w:rsidRPr="00792A3D">
                        <w:rPr>
                          <w:sz w:val="14"/>
                          <w:szCs w:val="14"/>
                        </w:rPr>
                        <w:t xml:space="preserve"> from</w:t>
                      </w:r>
                      <w:r w:rsidRPr="00792A3D">
                        <w:rPr>
                          <w:sz w:val="14"/>
                          <w:szCs w:val="14"/>
                        </w:rPr>
                        <w:t xml:space="preserve"> A to B </w:t>
                      </w:r>
                      <w:r w:rsidRPr="00792A3D" w:rsidR="00792A3D">
                        <w:rPr>
                          <w:sz w:val="14"/>
                          <w:szCs w:val="14"/>
                        </w:rPr>
                        <w:t>= 60 MW</w:t>
                      </w:r>
                    </w:p>
                  </w:txbxContent>
                </v:textbox>
              </v:shape>
            </w:pict>
          </mc:Fallback>
        </mc:AlternateContent>
      </w:r>
      <w:r w:rsidRPr="00762113">
        <w:rPr>
          <w:bCs/>
          <w:noProof/>
        </w:rPr>
        <mc:AlternateContent>
          <mc:Choice Requires="wps">
            <w:drawing>
              <wp:anchor distT="0" distB="0" distL="114300" distR="114300" simplePos="0" relativeHeight="251661312" behindDoc="0" locked="0" layoutInCell="1" allowOverlap="1">
                <wp:simplePos x="0" y="0"/>
                <wp:positionH relativeFrom="column">
                  <wp:posOffset>1213946</wp:posOffset>
                </wp:positionH>
                <wp:positionV relativeFrom="paragraph">
                  <wp:posOffset>151179</wp:posOffset>
                </wp:positionV>
                <wp:extent cx="1205345" cy="622218"/>
                <wp:effectExtent l="0" t="19050" r="33020" b="45085"/>
                <wp:wrapNone/>
                <wp:docPr id="12" name="Arrow: Left 12"/>
                <wp:cNvGraphicFramePr/>
                <a:graphic xmlns:a="http://schemas.openxmlformats.org/drawingml/2006/main">
                  <a:graphicData uri="http://schemas.microsoft.com/office/word/2010/wordprocessingShape">
                    <wps:wsp xmlns:wps="http://schemas.microsoft.com/office/word/2010/wordprocessingShape">
                      <wps:cNvSpPr/>
                      <wps:spPr>
                        <a:xfrm flipH="1">
                          <a:off x="0" y="0"/>
                          <a:ext cx="1205345" cy="622218"/>
                        </a:xfrm>
                        <a:prstGeom prst="left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92A3D" w:rsidRPr="00792A3D" w:rsidP="00792A3D" w14:textId="4CA26049">
                            <w:pPr>
                              <w:jc w:val="center"/>
                              <w:rPr>
                                <w:sz w:val="14"/>
                                <w:szCs w:val="14"/>
                              </w:rPr>
                            </w:pPr>
                            <w:r w:rsidRPr="00792A3D">
                              <w:rPr>
                                <w:sz w:val="14"/>
                                <w:szCs w:val="14"/>
                              </w:rPr>
                              <w:t>mFRR</w:t>
                            </w:r>
                            <w:r w:rsidRPr="00792A3D">
                              <w:rPr>
                                <w:sz w:val="14"/>
                                <w:szCs w:val="14"/>
                              </w:rPr>
                              <w:t xml:space="preserve"> up exchange  from </w:t>
                            </w:r>
                            <w:r>
                              <w:rPr>
                                <w:sz w:val="14"/>
                                <w:szCs w:val="14"/>
                              </w:rPr>
                              <w:t>B t</w:t>
                            </w:r>
                            <w:r w:rsidRPr="00792A3D">
                              <w:rPr>
                                <w:sz w:val="14"/>
                                <w:szCs w:val="14"/>
                              </w:rPr>
                              <w:t xml:space="preserve">o </w:t>
                            </w:r>
                            <w:r>
                              <w:rPr>
                                <w:sz w:val="14"/>
                                <w:szCs w:val="14"/>
                              </w:rPr>
                              <w:t>A</w:t>
                            </w:r>
                            <w:r w:rsidRPr="00792A3D">
                              <w:rPr>
                                <w:sz w:val="14"/>
                                <w:szCs w:val="14"/>
                              </w:rPr>
                              <w:t xml:space="preserve"> = </w:t>
                            </w:r>
                            <w:r>
                              <w:rPr>
                                <w:sz w:val="14"/>
                                <w:szCs w:val="14"/>
                              </w:rPr>
                              <w:t>4</w:t>
                            </w:r>
                            <w:r w:rsidRPr="00792A3D">
                              <w:rPr>
                                <w:sz w:val="14"/>
                                <w:szCs w:val="14"/>
                              </w:rPr>
                              <w:t>0 MW</w:t>
                            </w:r>
                          </w:p>
                          <w:p w:rsidR="00850519" w:rsidRPr="00792A3D" w:rsidP="00850519" w14:textId="66279F1F">
                            <w:pPr>
                              <w:rPr>
                                <w:sz w:val="20"/>
                                <w:szCs w:val="20"/>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Left 12" o:spid="_x0000_s1041" type="#_x0000_t66" style="width:94.9pt;height:49pt;margin-top:11.9pt;margin-left:95.6pt;flip:x;mso-height-percent:0;mso-height-relative:margin;mso-width-percent:0;mso-width-relative:margin;mso-wrap-distance-bottom:0;mso-wrap-distance-left:9pt;mso-wrap-distance-right:9pt;mso-wrap-distance-top:0;mso-wrap-style:square;position:absolute;visibility:visible;v-text-anchor:middle;z-index:251662336" adj="5575" fillcolor="#8eaadb" strokecolor="#1f3763" strokeweight="1pt">
                <v:textbox>
                  <w:txbxContent>
                    <w:p w:rsidR="00792A3D" w:rsidRPr="00792A3D" w:rsidP="00792A3D" w14:paraId="57BDFED2" w14:textId="4CA26049">
                      <w:pPr>
                        <w:jc w:val="center"/>
                        <w:rPr>
                          <w:sz w:val="14"/>
                          <w:szCs w:val="14"/>
                        </w:rPr>
                      </w:pPr>
                      <w:r w:rsidRPr="00792A3D">
                        <w:rPr>
                          <w:sz w:val="14"/>
                          <w:szCs w:val="14"/>
                        </w:rPr>
                        <w:t>mFRR</w:t>
                      </w:r>
                      <w:r w:rsidRPr="00792A3D">
                        <w:rPr>
                          <w:sz w:val="14"/>
                          <w:szCs w:val="14"/>
                        </w:rPr>
                        <w:t xml:space="preserve"> up </w:t>
                      </w:r>
                      <w:r w:rsidRPr="00792A3D">
                        <w:rPr>
                          <w:sz w:val="14"/>
                          <w:szCs w:val="14"/>
                        </w:rPr>
                        <w:t>exchange  from</w:t>
                      </w:r>
                      <w:r w:rsidRPr="00792A3D">
                        <w:rPr>
                          <w:sz w:val="14"/>
                          <w:szCs w:val="14"/>
                        </w:rPr>
                        <w:t xml:space="preserve"> </w:t>
                      </w:r>
                      <w:r>
                        <w:rPr>
                          <w:sz w:val="14"/>
                          <w:szCs w:val="14"/>
                        </w:rPr>
                        <w:t>B t</w:t>
                      </w:r>
                      <w:r w:rsidRPr="00792A3D">
                        <w:rPr>
                          <w:sz w:val="14"/>
                          <w:szCs w:val="14"/>
                        </w:rPr>
                        <w:t xml:space="preserve">o </w:t>
                      </w:r>
                      <w:r>
                        <w:rPr>
                          <w:sz w:val="14"/>
                          <w:szCs w:val="14"/>
                        </w:rPr>
                        <w:t>A</w:t>
                      </w:r>
                      <w:r w:rsidRPr="00792A3D">
                        <w:rPr>
                          <w:sz w:val="14"/>
                          <w:szCs w:val="14"/>
                        </w:rPr>
                        <w:t xml:space="preserve"> = </w:t>
                      </w:r>
                      <w:r>
                        <w:rPr>
                          <w:sz w:val="14"/>
                          <w:szCs w:val="14"/>
                        </w:rPr>
                        <w:t>4</w:t>
                      </w:r>
                      <w:r w:rsidRPr="00792A3D">
                        <w:rPr>
                          <w:sz w:val="14"/>
                          <w:szCs w:val="14"/>
                        </w:rPr>
                        <w:t>0 MW</w:t>
                      </w:r>
                    </w:p>
                    <w:p w:rsidR="00850519" w:rsidRPr="00792A3D" w:rsidP="00850519" w14:paraId="59BF7408" w14:textId="66279F1F">
                      <w:pPr>
                        <w:rPr>
                          <w:sz w:val="20"/>
                          <w:szCs w:val="20"/>
                        </w:rPr>
                      </w:pPr>
                    </w:p>
                  </w:txbxContent>
                </v:textbox>
              </v:shape>
            </w:pict>
          </mc:Fallback>
        </mc:AlternateContent>
      </w:r>
    </w:p>
    <w:p w:rsidR="003114DC" w:rsidRPr="00762113" w:rsidP="00AA4BD1" w14:paraId="17ED2178" w14:textId="45D2B4CF"/>
    <w:p w:rsidR="00AA4BD1" w:rsidRPr="00762113" w:rsidP="00AA4BD1" w14:paraId="63F7230C" w14:textId="19CF1C23"/>
    <w:p w:rsidR="00AA4BD1" w:rsidRPr="00762113" w:rsidP="00AA4BD1" w14:paraId="2B97F8E4" w14:textId="66B3623F"/>
    <w:p w:rsidR="00AA4BD1" w:rsidRPr="00762113" w:rsidP="00AA4BD1" w14:paraId="6853F3C7" w14:textId="77777777"/>
    <w:p w:rsidR="00AA4BD1" w:rsidRPr="00762113" w:rsidP="00AA4BD1" w14:paraId="01DB2EDC" w14:textId="0F45869B"/>
    <w:p w:rsidR="00AA4BD1" w:rsidRPr="00762113" w:rsidP="00AA4BD1" w14:paraId="5ACECFF8" w14:textId="0F44ED69">
      <w:r w:rsidRPr="00762113">
        <w:rPr>
          <w:bCs/>
          <w:noProof/>
        </w:rPr>
        <mc:AlternateContent>
          <mc:Choice Requires="wps">
            <w:drawing>
              <wp:anchor distT="0" distB="0" distL="114300" distR="114300" simplePos="0" relativeHeight="251665408" behindDoc="0" locked="0" layoutInCell="1" allowOverlap="1">
                <wp:simplePos x="0" y="0"/>
                <wp:positionH relativeFrom="column">
                  <wp:posOffset>174856</wp:posOffset>
                </wp:positionH>
                <wp:positionV relativeFrom="paragraph">
                  <wp:posOffset>18844</wp:posOffset>
                </wp:positionV>
                <wp:extent cx="1032782" cy="657843"/>
                <wp:effectExtent l="19050" t="19050" r="15240" b="47625"/>
                <wp:wrapNone/>
                <wp:docPr id="14" name="Arrow: Left 14"/>
                <wp:cNvGraphicFramePr/>
                <a:graphic xmlns:a="http://schemas.openxmlformats.org/drawingml/2006/main">
                  <a:graphicData uri="http://schemas.microsoft.com/office/word/2010/wordprocessingShape">
                    <wps:wsp xmlns:wps="http://schemas.microsoft.com/office/word/2010/wordprocessingShape">
                      <wps:cNvSpPr/>
                      <wps:spPr>
                        <a:xfrm>
                          <a:off x="0" y="0"/>
                          <a:ext cx="1032782" cy="657843"/>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92A3D" w:rsidRPr="00792A3D" w:rsidP="00792A3D" w14:textId="7DECC242">
                            <w:pPr>
                              <w:jc w:val="center"/>
                              <w:rPr>
                                <w:sz w:val="14"/>
                                <w:szCs w:val="14"/>
                              </w:rPr>
                            </w:pPr>
                            <w:r>
                              <w:rPr>
                                <w:sz w:val="14"/>
                                <w:szCs w:val="14"/>
                              </w:rPr>
                              <w:t>CZC allocation = 60 – 40 = 20 MW</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Left 14" o:spid="_x0000_s1042" type="#_x0000_t66" style="width:81.3pt;height:51.8pt;margin-top:1.5pt;margin-left:13.75pt;mso-height-percent:0;mso-height-relative:margin;mso-width-percent:0;mso-width-relative:margin;mso-wrap-distance-bottom:0;mso-wrap-distance-left:9pt;mso-wrap-distance-right:9pt;mso-wrap-distance-top:0;mso-wrap-style:square;position:absolute;visibility:visible;v-text-anchor:middle;z-index:251666432" adj="6879" fillcolor="#4472c4" strokecolor="#1f3763" strokeweight="1pt">
                <v:textbox>
                  <w:txbxContent>
                    <w:p w:rsidR="00792A3D" w:rsidRPr="00792A3D" w:rsidP="00792A3D" w14:paraId="4D9AB011" w14:textId="7DECC242">
                      <w:pPr>
                        <w:jc w:val="center"/>
                        <w:rPr>
                          <w:sz w:val="14"/>
                          <w:szCs w:val="14"/>
                        </w:rPr>
                      </w:pPr>
                      <w:r>
                        <w:rPr>
                          <w:sz w:val="14"/>
                          <w:szCs w:val="14"/>
                        </w:rPr>
                        <w:t>CZC allocation = 60 – 40 = 20 MW</w:t>
                      </w:r>
                    </w:p>
                  </w:txbxContent>
                </v:textbox>
              </v:shape>
            </w:pict>
          </mc:Fallback>
        </mc:AlternateContent>
      </w:r>
    </w:p>
    <w:p w:rsidR="00AA4BD1" w:rsidRPr="00762113" w:rsidP="00AA4BD1" w14:paraId="55D3170E" w14:textId="4D3A6BB4"/>
    <w:p w:rsidR="00AA4BD1" w:rsidRPr="00762113" w:rsidP="00AA4BD1" w14:paraId="0C19E513" w14:textId="4452663C"/>
    <w:p w:rsidR="00AA4BD1" w:rsidRPr="00762113" w:rsidP="00AA4BD1" w14:paraId="378A6870" w14:textId="77777777"/>
    <w:p w:rsidR="00AA4BD1" w:rsidRPr="00762113" w:rsidP="00AA4BD1" w14:paraId="3BF1BF66" w14:textId="77777777"/>
    <w:p w:rsidR="00AA4BD1" w:rsidRPr="00762113" w:rsidP="00AA4BD1" w14:paraId="2C625E15" w14:textId="77777777"/>
    <w:p w:rsidR="0033765C" w:rsidRPr="00762113" w:rsidP="00AA4BD1" w14:paraId="6765010D" w14:textId="40FF2620">
      <w:r w:rsidRPr="00762113">
        <w:br w:type="page"/>
      </w:r>
    </w:p>
    <w:p w:rsidR="00382234" w:rsidRPr="00762113" w:rsidP="00382234" w14:paraId="5AEEAB37" w14:textId="78AF11BD">
      <w:pPr>
        <w:pStyle w:val="headline1"/>
        <w:numPr>
          <w:ilvl w:val="0"/>
          <w:numId w:val="1"/>
        </w:numPr>
      </w:pPr>
      <w:bookmarkStart w:id="19" w:name="_Ref107484266"/>
      <w:bookmarkStart w:id="20" w:name="_Toc113284215"/>
      <w:r w:rsidRPr="00762113">
        <w:t xml:space="preserve">The maximum and optimal volume of </w:t>
      </w:r>
      <w:r w:rsidRPr="00762113" w:rsidR="72FBFD76">
        <w:t>allocated</w:t>
      </w:r>
      <w:r w:rsidRPr="00762113" w:rsidR="72FBFD76">
        <w:rPr>
          <w:spacing w:val="5"/>
        </w:rPr>
        <w:t xml:space="preserve"> </w:t>
      </w:r>
      <w:r w:rsidRPr="00762113" w:rsidR="58E023B2">
        <w:t>CZC</w:t>
      </w:r>
      <w:r w:rsidRPr="00762113" w:rsidR="72FBFD76">
        <w:t xml:space="preserve"> for</w:t>
      </w:r>
      <w:r w:rsidRPr="00762113" w:rsidR="72FBFD76">
        <w:rPr>
          <w:spacing w:val="12"/>
        </w:rPr>
        <w:t xml:space="preserve"> </w:t>
      </w:r>
      <w:r w:rsidRPr="00762113" w:rsidR="72FBFD76">
        <w:t>the</w:t>
      </w:r>
      <w:r w:rsidRPr="00762113" w:rsidR="72FBFD76">
        <w:rPr>
          <w:spacing w:val="12"/>
        </w:rPr>
        <w:t xml:space="preserve"> </w:t>
      </w:r>
      <w:r w:rsidRPr="00762113" w:rsidR="72FBFD76">
        <w:t>exchange</w:t>
      </w:r>
      <w:r w:rsidRPr="00762113" w:rsidR="72FBFD76">
        <w:rPr>
          <w:spacing w:val="11"/>
        </w:rPr>
        <w:t xml:space="preserve"> </w:t>
      </w:r>
      <w:r w:rsidRPr="00762113" w:rsidR="72FBFD76">
        <w:t>of balancing</w:t>
      </w:r>
      <w:r w:rsidRPr="00762113" w:rsidR="72FBFD76">
        <w:rPr>
          <w:spacing w:val="26"/>
        </w:rPr>
        <w:t xml:space="preserve"> </w:t>
      </w:r>
      <w:r w:rsidRPr="00762113" w:rsidR="72FBFD76">
        <w:t>capacity</w:t>
      </w:r>
      <w:r w:rsidRPr="00762113" w:rsidR="72FBFD76">
        <w:rPr>
          <w:spacing w:val="11"/>
        </w:rPr>
        <w:t xml:space="preserve"> </w:t>
      </w:r>
      <w:r w:rsidRPr="00762113" w:rsidR="72FBFD76">
        <w:t>or</w:t>
      </w:r>
      <w:r w:rsidRPr="00762113" w:rsidR="72FBFD76">
        <w:rPr>
          <w:spacing w:val="-7"/>
        </w:rPr>
        <w:t xml:space="preserve"> </w:t>
      </w:r>
      <w:r w:rsidRPr="00762113" w:rsidR="72FBFD76">
        <w:t>sharing</w:t>
      </w:r>
      <w:r w:rsidRPr="00762113" w:rsidR="72FBFD76">
        <w:rPr>
          <w:spacing w:val="11"/>
        </w:rPr>
        <w:t xml:space="preserve"> </w:t>
      </w:r>
      <w:r w:rsidRPr="00762113" w:rsidR="72FBFD76">
        <w:t>of</w:t>
      </w:r>
      <w:r w:rsidRPr="00762113" w:rsidR="72FBFD76">
        <w:rPr>
          <w:spacing w:val="2"/>
        </w:rPr>
        <w:t xml:space="preserve"> </w:t>
      </w:r>
      <w:r w:rsidRPr="00762113" w:rsidR="72FBFD76">
        <w:t>reserves</w:t>
      </w:r>
      <w:bookmarkEnd w:id="19"/>
      <w:bookmarkEnd w:id="20"/>
    </w:p>
    <w:p w:rsidR="00145EC7" w:rsidRPr="00762113" w:rsidP="00B05794" w14:paraId="40FB0BDB" w14:textId="684200CA">
      <w:pPr>
        <w:autoSpaceDE w:val="0"/>
        <w:autoSpaceDN w:val="0"/>
        <w:adjustRightInd w:val="0"/>
        <w:jc w:val="both"/>
        <w:rPr>
          <w:rFonts w:ascii="Calibri" w:hAnsi="Calibri" w:cs="Calibri"/>
          <w:lang w:val="lt-LT"/>
        </w:rPr>
      </w:pPr>
      <w:r w:rsidRPr="00762113">
        <w:rPr>
          <w:rFonts w:ascii="Calibri" w:hAnsi="Calibri" w:cs="Calibri"/>
          <w:lang w:val="lt-LT"/>
        </w:rPr>
        <w:t xml:space="preserve">In the </w:t>
      </w:r>
      <w:r w:rsidRPr="00762113" w:rsidR="000B794D">
        <w:t>CZC Study 1</w:t>
      </w:r>
      <w:r w:rsidRPr="00762113" w:rsidR="00CE51F0">
        <w:t xml:space="preserve"> </w:t>
      </w:r>
      <w:r w:rsidRPr="00762113">
        <w:rPr>
          <w:rFonts w:ascii="Calibri" w:hAnsi="Calibri" w:cs="Calibri"/>
          <w:lang w:val="lt-LT"/>
        </w:rPr>
        <w:t xml:space="preserve">serious limitations have been identified with the maximum allocation level on the exchange of balancing capacity </w:t>
      </w:r>
      <w:r w:rsidRPr="00762113" w:rsidR="00BA51AC">
        <w:rPr>
          <w:rFonts w:ascii="Calibri" w:hAnsi="Calibri" w:cs="Calibri"/>
          <w:lang w:val="lt-LT"/>
        </w:rPr>
        <w:t>established by ACER decision 10/2021</w:t>
      </w:r>
      <w:r w:rsidRPr="00762113">
        <w:rPr>
          <w:rFonts w:ascii="Calibri" w:hAnsi="Calibri" w:cs="Calibri"/>
          <w:lang w:val="lt-LT"/>
        </w:rPr>
        <w:t xml:space="preserve"> (20% in normal situations, 50% in case of scarcity). In particular, it was found that the normal situation maximum allocation level prevented the procurement of the necessary reserve and led to frequent balancing capacity scarcity situations. </w:t>
      </w:r>
    </w:p>
    <w:p w:rsidR="00145EC7" w:rsidRPr="00762113" w:rsidP="00B05794" w14:paraId="60B11A31" w14:textId="383E5F64">
      <w:pPr>
        <w:jc w:val="both"/>
        <w:rPr>
          <w:sz w:val="28"/>
          <w:szCs w:val="28"/>
        </w:rPr>
      </w:pPr>
      <w:r w:rsidRPr="00762113">
        <w:rPr>
          <w:rFonts w:ascii="Calibri" w:hAnsi="Calibri" w:cs="Calibri"/>
          <w:lang w:val="lt-LT"/>
        </w:rPr>
        <w:t xml:space="preserve">The Baltic TSOs see that (i) a certain level of CZC allocation is necessary to avoid balancing capacity scarcity and (ii) a possibly higher level of CZC is necessary to reach the optimal allocation between balancing capacity and energy markets. </w:t>
      </w:r>
    </w:p>
    <w:p w:rsidR="00BE6E18" w:rsidRPr="00762113" w:rsidP="00B05794" w14:paraId="644105EC" w14:textId="6A1FEC94">
      <w:pPr>
        <w:jc w:val="both"/>
      </w:pPr>
      <w:r w:rsidRPr="00762113">
        <w:t>In order to assess the impacts of CZC allocation on balancing capacity procurement and reserve sharing, a sensitivity study has been designed in CZC Study 2.</w:t>
      </w:r>
      <w:r w:rsidRPr="00762113" w:rsidR="0067566D">
        <w:t xml:space="preserve"> </w:t>
      </w:r>
      <w:r w:rsidRPr="00762113">
        <w:t>The impact of th</w:t>
      </w:r>
      <w:r w:rsidRPr="00762113" w:rsidR="00547AFA">
        <w:t>e</w:t>
      </w:r>
      <w:r w:rsidRPr="00762113">
        <w:t xml:space="preserve"> maximum allocation limit is studied on the four reference weeks identified with four key performance indicators:</w:t>
      </w:r>
    </w:p>
    <w:p w:rsidR="00BE6E18" w:rsidRPr="00762113" w:rsidP="00B05794" w14:paraId="2D8D152A" w14:textId="15C93B15">
      <w:pPr>
        <w:jc w:val="both"/>
      </w:pPr>
      <w:r w:rsidRPr="00762113">
        <w:t xml:space="preserve">- Balancing capacity procurement where the ability to procure the necessary balancing capacity is </w:t>
      </w:r>
      <w:r w:rsidRPr="00762113">
        <w:t>analyzed</w:t>
      </w:r>
      <w:r w:rsidRPr="00762113">
        <w:t xml:space="preserve"> depending on the maximum allocation limit</w:t>
      </w:r>
      <w:r w:rsidRPr="00762113" w:rsidR="002112A9">
        <w:t>;</w:t>
      </w:r>
    </w:p>
    <w:p w:rsidR="00BE6E18" w:rsidRPr="00762113" w:rsidP="00B05794" w14:paraId="1871AB5A" w14:textId="45ED6AD3">
      <w:pPr>
        <w:jc w:val="both"/>
      </w:pPr>
      <w:r w:rsidRPr="00762113">
        <w:t xml:space="preserve">- System costs where the system costs for the day-ahead energy and balancing capacity markets are assessed for the Baltic countries and their </w:t>
      </w:r>
      <w:r w:rsidRPr="00762113">
        <w:t>neighbors</w:t>
      </w:r>
      <w:r w:rsidRPr="00762113" w:rsidR="002112A9">
        <w:t>;</w:t>
      </w:r>
    </w:p>
    <w:p w:rsidR="00BE6E18" w:rsidRPr="00762113" w:rsidP="00B05794" w14:paraId="5BC74CEC" w14:textId="611FC977">
      <w:pPr>
        <w:jc w:val="both"/>
      </w:pPr>
      <w:r w:rsidRPr="00762113">
        <w:t xml:space="preserve">- Cross-zonal capacity usage where the usage of interconnectors within the Baltics and with </w:t>
      </w:r>
      <w:r w:rsidRPr="00762113">
        <w:t>neighboring</w:t>
      </w:r>
      <w:r w:rsidRPr="00762113">
        <w:t xml:space="preserve"> countries is </w:t>
      </w:r>
      <w:r w:rsidRPr="00762113">
        <w:t>analyzed</w:t>
      </w:r>
      <w:r w:rsidRPr="00762113" w:rsidR="002112A9">
        <w:t>;</w:t>
      </w:r>
    </w:p>
    <w:p w:rsidR="00145EC7" w:rsidRPr="00762113" w:rsidP="00B05794" w14:paraId="07479F78" w14:textId="44753A27">
      <w:pPr>
        <w:jc w:val="both"/>
      </w:pPr>
      <w:r w:rsidRPr="00762113">
        <w:t xml:space="preserve">- Day-ahead energy market prices where the prices for energy within the Baltics and with </w:t>
      </w:r>
      <w:r w:rsidRPr="00762113">
        <w:t>neighboring</w:t>
      </w:r>
      <w:r w:rsidRPr="00762113">
        <w:t xml:space="preserve"> countries are </w:t>
      </w:r>
      <w:r w:rsidRPr="00762113">
        <w:t>analyzed</w:t>
      </w:r>
      <w:r w:rsidRPr="00762113" w:rsidR="002112A9">
        <w:t>.</w:t>
      </w:r>
    </w:p>
    <w:p w:rsidR="000E52F2" w:rsidRPr="00762113" w14:paraId="483C59BB" w14:textId="77777777">
      <w:pPr>
        <w:jc w:val="both"/>
      </w:pPr>
    </w:p>
    <w:p w:rsidR="008F1008" w:rsidRPr="00762113" w:rsidP="00B05794" w14:paraId="0FD0213A" w14:textId="1B7A91E9">
      <w:pPr>
        <w:jc w:val="both"/>
      </w:pPr>
      <w:r w:rsidRPr="00762113">
        <w:t xml:space="preserve">Simulations </w:t>
      </w:r>
      <w:r w:rsidRPr="00762113" w:rsidR="00E259F7">
        <w:t>wer</w:t>
      </w:r>
      <w:r w:rsidRPr="00762113">
        <w:t>e performed with a maximum allocation limit for the exchange of balancing capacity ranging from 100% to 0% with 5% steps (21 simulations).</w:t>
      </w:r>
    </w:p>
    <w:p w:rsidR="00145EC7" w:rsidRPr="00762113" w:rsidP="00E259F7" w14:paraId="3EADCD1B" w14:textId="3E977208">
      <w:pPr>
        <w:jc w:val="both"/>
      </w:pPr>
      <w:r w:rsidRPr="00762113">
        <w:t>With a 100% limit, the co-optimization is able to allocate the CZC between the energy and balancing capacity markets freely, effectively finding the optimal solution (least overall cost). When reducing the maximum allocation limit on the exchange of balancing capacity, the system is more constrained and the total cost increases.</w:t>
      </w:r>
    </w:p>
    <w:p w:rsidR="00F314BA" w:rsidRPr="00762113" w:rsidP="00E259F7" w14:paraId="50420268" w14:textId="77777777">
      <w:pPr>
        <w:jc w:val="both"/>
      </w:pPr>
    </w:p>
    <w:p w:rsidR="00F314BA" w:rsidRPr="00762113" w:rsidP="00F314BA" w14:paraId="52D9529E" w14:textId="77777777">
      <w:pPr>
        <w:jc w:val="both"/>
      </w:pPr>
      <w:r w:rsidRPr="00762113">
        <w:t xml:space="preserve">In the Baltic CCR, the dimensioning of FRR is directly linked to the NTC with </w:t>
      </w:r>
      <w:r w:rsidRPr="00762113">
        <w:t>neighboring</w:t>
      </w:r>
      <w:r w:rsidRPr="00762113">
        <w:t xml:space="preserve"> countries. Upward FRR must cover the loss of an interconnector when importing energy and downward FRR must cover the loss of an interconnector when exporting energy.</w:t>
      </w:r>
    </w:p>
    <w:p w:rsidR="00F314BA" w:rsidRPr="00762113" w:rsidP="000E11DE" w14:paraId="76435F79" w14:textId="77777777">
      <w:pPr>
        <w:jc w:val="both"/>
      </w:pPr>
      <w:r w:rsidRPr="00762113">
        <w:t xml:space="preserve">In case of balancing capacity scarcity, it might be necessary to reduce the NTC with </w:t>
      </w:r>
      <w:r w:rsidRPr="00762113">
        <w:t>neighboring</w:t>
      </w:r>
      <w:r w:rsidRPr="00762113">
        <w:t xml:space="preserve"> countries so as to avoid the exposure to an imbalance that could not be mitigated.</w:t>
      </w:r>
    </w:p>
    <w:p w:rsidR="00F314BA" w:rsidRPr="00762113" w:rsidP="000E11DE" w14:paraId="11B28A43" w14:textId="32456CEC">
      <w:pPr>
        <w:jc w:val="both"/>
      </w:pPr>
      <w:r w:rsidRPr="00762113">
        <w:t xml:space="preserve">To model the NTC reduction in the case of balancing capacity scarcity, two iterations of the simulation were performed. In the first simulation, NTCs with </w:t>
      </w:r>
      <w:r w:rsidRPr="00762113">
        <w:t>neighboring</w:t>
      </w:r>
      <w:r w:rsidRPr="00762113">
        <w:t xml:space="preserve"> countries are not limited and balancing capacity scarcity situations can be observed. In the second simulation, the NTC with </w:t>
      </w:r>
      <w:r w:rsidRPr="00762113">
        <w:t>neighboring</w:t>
      </w:r>
      <w:r w:rsidRPr="00762113">
        <w:t xml:space="preserve"> countries (Estonia-Finland and Lithuania-Sweden) are reduced as a result of the balancing capacity scarcity. NTC reductions are applied as follows:</w:t>
      </w:r>
    </w:p>
    <w:p w:rsidR="00F314BA" w:rsidRPr="00762113" w:rsidP="000E11DE" w14:paraId="096EF5FF" w14:textId="77777777">
      <w:pPr>
        <w:jc w:val="both"/>
      </w:pPr>
      <w:r w:rsidRPr="00762113">
        <w:t>- The available capacity for imports to Estonia from Finland (resp. exports from Estonia to Finland) is reduced by the amount of upward (resp. downward) reserve scarcity observed in Estonia.</w:t>
      </w:r>
    </w:p>
    <w:p w:rsidR="00F314BA" w:rsidRPr="00762113" w:rsidP="000E11DE" w14:paraId="00E00052" w14:textId="77777777">
      <w:pPr>
        <w:jc w:val="both"/>
      </w:pPr>
      <w:r w:rsidRPr="00762113">
        <w:t>- The available capacity for imports to Lithuania from Sweden (resp. exports from Lithuania to Sweden) is reduced by the amount of upward (resp. downward) reserve scarcity observed in Lithuania.</w:t>
      </w:r>
    </w:p>
    <w:p w:rsidR="00B548DF" w:rsidRPr="00762113" w:rsidP="000E11DE" w14:paraId="415F5608" w14:textId="2CF0BCC8">
      <w:pPr>
        <w:jc w:val="both"/>
      </w:pPr>
    </w:p>
    <w:p w:rsidR="00B548DF" w:rsidRPr="00762113" w:rsidP="00B548DF" w14:paraId="2A871C79" w14:textId="300E4473">
      <w:pPr>
        <w:pStyle w:val="ListParagraph"/>
        <w:numPr>
          <w:ilvl w:val="1"/>
          <w:numId w:val="1"/>
        </w:numPr>
      </w:pPr>
      <w:r w:rsidRPr="00762113">
        <w:t>Balancing</w:t>
      </w:r>
      <w:r w:rsidRPr="00762113">
        <w:t xml:space="preserve"> </w:t>
      </w:r>
      <w:r w:rsidRPr="00762113">
        <w:t>capacity</w:t>
      </w:r>
      <w:r w:rsidRPr="00762113">
        <w:t xml:space="preserve"> </w:t>
      </w:r>
      <w:r w:rsidRPr="00762113">
        <w:t>procurement</w:t>
      </w:r>
    </w:p>
    <w:p w:rsidR="00B548DF" w:rsidRPr="00762113" w:rsidP="00B548DF" w14:paraId="2E64AEB8" w14:textId="32EC7323">
      <w:pPr>
        <w:pStyle w:val="ListParagraph"/>
        <w:ind w:left="792"/>
      </w:pPr>
    </w:p>
    <w:p w:rsidR="00B548DF" w:rsidRPr="00762113" w:rsidP="00B05794" w14:paraId="324A2027" w14:textId="0DC835B9">
      <w:pPr>
        <w:autoSpaceDE w:val="0"/>
        <w:autoSpaceDN w:val="0"/>
        <w:adjustRightInd w:val="0"/>
        <w:spacing w:after="63"/>
        <w:jc w:val="both"/>
        <w:rPr>
          <w:rFonts w:ascii="Calibri" w:hAnsi="Calibri" w:cs="Calibri"/>
          <w:color w:val="252525"/>
          <w:lang w:val="lt-LT"/>
        </w:rPr>
      </w:pPr>
      <w:r w:rsidRPr="00762113">
        <w:rPr>
          <w:rFonts w:ascii="Calibri" w:hAnsi="Calibri" w:cs="Calibri"/>
          <w:color w:val="252525"/>
          <w:lang w:val="lt-LT"/>
        </w:rPr>
        <w:t>In CZC Study 2 following observations has been made:</w:t>
      </w:r>
    </w:p>
    <w:p w:rsidR="00B548DF" w:rsidRPr="00762113" w:rsidP="00B05794" w14:paraId="23CE81C3" w14:textId="09DD6AFB">
      <w:pPr>
        <w:autoSpaceDE w:val="0"/>
        <w:autoSpaceDN w:val="0"/>
        <w:adjustRightInd w:val="0"/>
        <w:spacing w:after="63"/>
        <w:jc w:val="both"/>
        <w:rPr>
          <w:rFonts w:ascii="Calibri" w:hAnsi="Calibri" w:cs="Calibri"/>
          <w:color w:val="000000"/>
          <w:lang w:val="lt-LT"/>
        </w:rPr>
      </w:pPr>
      <w:r w:rsidRPr="00762113">
        <w:rPr>
          <w:rFonts w:ascii="Calibri" w:hAnsi="Calibri" w:cs="Calibri"/>
          <w:color w:val="252525"/>
          <w:lang w:val="lt-LT"/>
        </w:rPr>
        <w:t xml:space="preserve">- When sufficient CZC is allocated to the exchange of balancing capacity, reserve is procured where it is cost-efficient. The reserve sharing target is met and the Baltic countries share a total of 710 MW of FRR procured in both directions. </w:t>
      </w:r>
    </w:p>
    <w:p w:rsidR="00B548DF" w:rsidRPr="00762113" w:rsidP="00B05794" w14:paraId="4454DD9F" w14:textId="77777777">
      <w:pPr>
        <w:autoSpaceDE w:val="0"/>
        <w:autoSpaceDN w:val="0"/>
        <w:adjustRightInd w:val="0"/>
        <w:spacing w:after="63"/>
        <w:jc w:val="both"/>
        <w:rPr>
          <w:rFonts w:ascii="Calibri" w:hAnsi="Calibri" w:cs="Calibri"/>
          <w:color w:val="000000"/>
          <w:lang w:val="lt-LT"/>
        </w:rPr>
      </w:pPr>
      <w:r w:rsidRPr="00762113">
        <w:rPr>
          <w:rFonts w:ascii="Calibri" w:hAnsi="Calibri" w:cs="Calibri"/>
          <w:color w:val="252525"/>
          <w:lang w:val="lt-LT"/>
        </w:rPr>
        <w:t xml:space="preserve">- With lower levels of CZC allocated to the exchange of balancing capacity, reserve is procured where it is available and exchanged within the set limits. The reserve sharing target cannot be met and the Baltic countries procure larger amount of FRR overall (up to 1800 MW in the least favorable cases). </w:t>
      </w:r>
    </w:p>
    <w:p w:rsidR="00B548DF" w:rsidRPr="00762113" w:rsidP="00B05794" w14:paraId="06C6F70E" w14:textId="77777777">
      <w:pPr>
        <w:autoSpaceDE w:val="0"/>
        <w:autoSpaceDN w:val="0"/>
        <w:adjustRightInd w:val="0"/>
        <w:jc w:val="both"/>
        <w:rPr>
          <w:rFonts w:ascii="Calibri" w:hAnsi="Calibri" w:cs="Calibri"/>
          <w:color w:val="000000"/>
          <w:lang w:val="lt-LT"/>
        </w:rPr>
      </w:pPr>
      <w:r w:rsidRPr="00762113">
        <w:rPr>
          <w:rFonts w:ascii="Calibri" w:hAnsi="Calibri" w:cs="Calibri"/>
          <w:color w:val="252525"/>
          <w:lang w:val="lt-LT"/>
        </w:rPr>
        <w:t xml:space="preserve">- With insufficient levels of CZC allocated to the exchange of balancing capacity, sufficient reserve cannot be procured, creating scarcity situations. The scarcity situations increase as the maximum allocation limit decreases. </w:t>
      </w:r>
    </w:p>
    <w:p w:rsidR="0062324D" w:rsidRPr="00762113" w:rsidP="000E11DE" w14:paraId="45885A33" w14:textId="77777777">
      <w:pPr>
        <w:jc w:val="both"/>
      </w:pPr>
    </w:p>
    <w:p w:rsidR="0062324D" w:rsidRPr="00762113" w:rsidP="00B05794" w14:paraId="5813BCE2" w14:textId="28239650">
      <w:pPr>
        <w:pStyle w:val="ListParagraph"/>
        <w:numPr>
          <w:ilvl w:val="1"/>
          <w:numId w:val="1"/>
        </w:numPr>
      </w:pPr>
      <w:r w:rsidRPr="00762113">
        <w:t xml:space="preserve">System </w:t>
      </w:r>
      <w:r w:rsidRPr="00762113">
        <w:t>costs</w:t>
      </w:r>
    </w:p>
    <w:p w:rsidR="0062324D" w:rsidRPr="00762113" w:rsidP="000E11DE" w14:paraId="22AC273F" w14:textId="77777777">
      <w:pPr>
        <w:jc w:val="both"/>
      </w:pPr>
    </w:p>
    <w:p w:rsidR="0062324D" w:rsidRPr="00762113" w:rsidP="00B05794" w14:paraId="6DB186E4" w14:textId="77777777">
      <w:pPr>
        <w:autoSpaceDE w:val="0"/>
        <w:autoSpaceDN w:val="0"/>
        <w:adjustRightInd w:val="0"/>
        <w:jc w:val="both"/>
        <w:rPr>
          <w:rFonts w:ascii="Calibri" w:hAnsi="Calibri" w:cs="Calibri"/>
          <w:color w:val="000000"/>
          <w:lang w:val="lt-LT"/>
        </w:rPr>
      </w:pPr>
      <w:r w:rsidRPr="00762113">
        <w:rPr>
          <w:rFonts w:ascii="Calibri" w:hAnsi="Calibri" w:cs="Calibri"/>
          <w:color w:val="252525"/>
          <w:lang w:val="lt-LT"/>
        </w:rPr>
        <w:t xml:space="preserve">Comparing system costs allows to assess the economic efficiency for both the day-ahead energy and the balancing capacity markets as a function of the maximum allocation limit. </w:t>
      </w:r>
    </w:p>
    <w:p w:rsidR="00B548DF" w:rsidRPr="00762113" w14:paraId="2E93D56D" w14:textId="77777777">
      <w:pPr>
        <w:autoSpaceDE w:val="0"/>
        <w:autoSpaceDN w:val="0"/>
        <w:adjustRightInd w:val="0"/>
        <w:jc w:val="both"/>
        <w:rPr>
          <w:rFonts w:ascii="Calibri" w:hAnsi="Calibri" w:cs="Calibri"/>
          <w:color w:val="252525"/>
          <w:lang w:val="lt-LT"/>
        </w:rPr>
      </w:pPr>
      <w:r w:rsidRPr="00762113">
        <w:rPr>
          <w:rFonts w:ascii="Calibri" w:hAnsi="Calibri" w:cs="Calibri"/>
          <w:color w:val="252525"/>
          <w:lang w:val="lt-LT"/>
        </w:rPr>
        <w:t xml:space="preserve">Figure </w:t>
      </w:r>
      <w:r w:rsidRPr="00762113" w:rsidR="000E11DE">
        <w:rPr>
          <w:rFonts w:ascii="Calibri" w:hAnsi="Calibri" w:cs="Calibri"/>
          <w:color w:val="252525"/>
          <w:lang w:val="lt-LT"/>
        </w:rPr>
        <w:t>X</w:t>
      </w:r>
      <w:r w:rsidRPr="00762113">
        <w:rPr>
          <w:rFonts w:ascii="Calibri" w:hAnsi="Calibri" w:cs="Calibri"/>
          <w:color w:val="252525"/>
          <w:lang w:val="lt-LT"/>
        </w:rPr>
        <w:t xml:space="preserve"> shows the total system costs for the Baltic countries (day-ahead energy and balancing capacity markets combined) and for the neighboring countries (day-ahead energy market only) as a function of the allocation limit on the exchange of balancing capacity</w:t>
      </w:r>
      <w:r w:rsidRPr="00762113">
        <w:rPr>
          <w:rFonts w:ascii="Calibri" w:hAnsi="Calibri" w:cs="Calibri"/>
          <w:color w:val="252525"/>
          <w:lang w:val="lt-LT"/>
        </w:rPr>
        <w:t>.</w:t>
      </w:r>
    </w:p>
    <w:p w:rsidR="0062324D" w:rsidRPr="00762113" w:rsidP="00B05794" w14:paraId="4E90BB95" w14:textId="25F45B74">
      <w:pPr>
        <w:autoSpaceDE w:val="0"/>
        <w:autoSpaceDN w:val="0"/>
        <w:adjustRightInd w:val="0"/>
        <w:jc w:val="both"/>
        <w:rPr>
          <w:rFonts w:ascii="Calibri" w:hAnsi="Calibri" w:cs="Calibri"/>
          <w:color w:val="000000"/>
          <w:lang w:val="lt-LT"/>
        </w:rPr>
      </w:pPr>
      <w:r w:rsidRPr="00762113">
        <w:rPr>
          <w:rFonts w:ascii="Calibri" w:hAnsi="Calibri" w:cs="Calibri"/>
          <w:color w:val="252525"/>
          <w:lang w:val="lt-LT"/>
        </w:rPr>
        <w:t xml:space="preserve">Two main observations can be made: </w:t>
      </w:r>
    </w:p>
    <w:p w:rsidR="0062324D" w:rsidRPr="00762113" w:rsidP="00B05794" w14:paraId="21792C8E" w14:textId="77777777">
      <w:pPr>
        <w:autoSpaceDE w:val="0"/>
        <w:autoSpaceDN w:val="0"/>
        <w:adjustRightInd w:val="0"/>
        <w:spacing w:after="65"/>
        <w:jc w:val="both"/>
        <w:rPr>
          <w:rFonts w:ascii="Calibri" w:hAnsi="Calibri" w:cs="Calibri"/>
          <w:color w:val="000000"/>
          <w:lang w:val="lt-LT"/>
        </w:rPr>
      </w:pPr>
      <w:r w:rsidRPr="00762113">
        <w:rPr>
          <w:rFonts w:ascii="Calibri" w:hAnsi="Calibri" w:cs="Calibri"/>
          <w:color w:val="252525"/>
          <w:lang w:val="lt-LT"/>
        </w:rPr>
        <w:t xml:space="preserve">- For the neighboring countries, total system costs are stable and tend not to be affected by the limit on the exchange of balancing capacity within the Baltic countries (high allocation limit restricting the exchange of energy within the Baltic countries or low allocation limit with scarcity resulting in NTC reductions with the neighboring countries). </w:t>
      </w:r>
    </w:p>
    <w:p w:rsidR="0062324D" w:rsidRPr="00762113" w:rsidP="00B05794" w14:paraId="40AF0CDE" w14:textId="77777777">
      <w:pPr>
        <w:autoSpaceDE w:val="0"/>
        <w:autoSpaceDN w:val="0"/>
        <w:adjustRightInd w:val="0"/>
        <w:jc w:val="both"/>
        <w:rPr>
          <w:rFonts w:ascii="Calibri" w:hAnsi="Calibri" w:cs="Calibri"/>
          <w:color w:val="252525"/>
          <w:lang w:val="lt-LT"/>
        </w:rPr>
      </w:pPr>
      <w:r w:rsidRPr="00762113">
        <w:rPr>
          <w:rFonts w:ascii="Calibri" w:hAnsi="Calibri" w:cs="Calibri"/>
          <w:color w:val="252525"/>
          <w:lang w:val="lt-LT"/>
        </w:rPr>
        <w:t xml:space="preserve">- For the Baltic countries, total system costs are relatively stable until scarcity appears for maximum allocation levels below 50%. In the Winter week, the generation dispatch is very constrained regardless of the maximum allocation limit, leading to stable total system costs. </w:t>
      </w:r>
    </w:p>
    <w:p w:rsidR="002E727F" w:rsidRPr="00762113" w:rsidP="0062324D" w14:paraId="7B08437F" w14:textId="77777777">
      <w:pPr>
        <w:autoSpaceDE w:val="0"/>
        <w:autoSpaceDN w:val="0"/>
        <w:adjustRightInd w:val="0"/>
        <w:rPr>
          <w:rFonts w:ascii="Calibri" w:hAnsi="Calibri" w:cs="Calibri"/>
          <w:color w:val="252525"/>
          <w:lang w:val="lt-LT"/>
        </w:rPr>
      </w:pPr>
    </w:p>
    <w:p w:rsidR="002E727F" w:rsidRPr="00762113" w:rsidP="0062324D" w14:paraId="68B1BD88" w14:textId="50B7C704">
      <w:pPr>
        <w:autoSpaceDE w:val="0"/>
        <w:autoSpaceDN w:val="0"/>
        <w:adjustRightInd w:val="0"/>
        <w:rPr>
          <w:rFonts w:ascii="Calibri" w:hAnsi="Calibri" w:cs="Calibri"/>
          <w:color w:val="000000"/>
          <w:lang w:val="lt-LT"/>
        </w:rPr>
      </w:pPr>
      <w:r w:rsidRPr="00762113">
        <w:rPr>
          <w:b/>
          <w:bCs/>
          <w:color w:val="16469C"/>
        </w:rPr>
        <w:t>Figure X. Total system costs</w:t>
      </w:r>
    </w:p>
    <w:p w:rsidR="0062324D" w:rsidRPr="00762113" w:rsidP="00F314BA" w14:paraId="683CE137" w14:textId="77777777">
      <w:pPr>
        <w:jc w:val="both"/>
      </w:pPr>
    </w:p>
    <w:p w:rsidR="00E8414A" w:rsidRPr="00762113" w:rsidP="00B05794" w14:paraId="479D3724" w14:textId="60F1E9B1">
      <w:pPr>
        <w:jc w:val="both"/>
      </w:pPr>
      <w:r w:rsidRPr="00762113">
        <w:rPr>
          <w:noProof/>
        </w:rPr>
        <w:drawing>
          <wp:inline distT="0" distB="0" distL="0" distR="0">
            <wp:extent cx="3009900" cy="1599168"/>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469854" name="Picture 1"/>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3076868" cy="1634748"/>
                    </a:xfrm>
                    <a:prstGeom prst="rect">
                      <a:avLst/>
                    </a:prstGeom>
                    <a:noFill/>
                    <a:ln>
                      <a:noFill/>
                    </a:ln>
                  </pic:spPr>
                </pic:pic>
              </a:graphicData>
            </a:graphic>
          </wp:inline>
        </w:drawing>
      </w:r>
      <w:r w:rsidRPr="00762113" w:rsidR="00052EC6">
        <w:t xml:space="preserve"> </w:t>
      </w:r>
      <w:r w:rsidRPr="00762113" w:rsidR="00052EC6">
        <w:rPr>
          <w:noProof/>
        </w:rPr>
        <w:drawing>
          <wp:inline distT="0" distB="0" distL="0" distR="0">
            <wp:extent cx="2970530" cy="1573826"/>
            <wp:effectExtent l="0" t="0" r="127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601095" name="Picture 2"/>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2984798" cy="1581385"/>
                    </a:xfrm>
                    <a:prstGeom prst="rect">
                      <a:avLst/>
                    </a:prstGeom>
                    <a:noFill/>
                    <a:ln>
                      <a:noFill/>
                    </a:ln>
                  </pic:spPr>
                </pic:pic>
              </a:graphicData>
            </a:graphic>
          </wp:inline>
        </w:drawing>
      </w:r>
    </w:p>
    <w:p w:rsidR="00B97942" w:rsidRPr="00762113" w:rsidP="00E259F7" w14:paraId="6A3DD780" w14:textId="6D8C71E9">
      <w:pPr>
        <w:jc w:val="both"/>
      </w:pPr>
      <w:r w:rsidRPr="00762113">
        <w:rPr>
          <w:noProof/>
        </w:rPr>
        <w:drawing>
          <wp:inline distT="0" distB="0" distL="0" distR="0">
            <wp:extent cx="2986501" cy="1576070"/>
            <wp:effectExtent l="0" t="0" r="4445"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021158" name="Picture 3"/>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3048538" cy="1608809"/>
                    </a:xfrm>
                    <a:prstGeom prst="rect">
                      <a:avLst/>
                    </a:prstGeom>
                    <a:noFill/>
                    <a:ln>
                      <a:noFill/>
                    </a:ln>
                  </pic:spPr>
                </pic:pic>
              </a:graphicData>
            </a:graphic>
          </wp:inline>
        </w:drawing>
      </w:r>
      <w:r w:rsidRPr="00762113">
        <w:t xml:space="preserve"> </w:t>
      </w:r>
      <w:r w:rsidRPr="00762113">
        <w:rPr>
          <w:noProof/>
        </w:rPr>
        <w:drawing>
          <wp:inline distT="0" distB="0" distL="0" distR="0">
            <wp:extent cx="2983865" cy="1585973"/>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776875" name="Picture 4"/>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flipH="1">
                      <a:off x="0" y="0"/>
                      <a:ext cx="3005277" cy="1597354"/>
                    </a:xfrm>
                    <a:prstGeom prst="rect">
                      <a:avLst/>
                    </a:prstGeom>
                    <a:noFill/>
                    <a:ln>
                      <a:noFill/>
                    </a:ln>
                  </pic:spPr>
                </pic:pic>
              </a:graphicData>
            </a:graphic>
          </wp:inline>
        </w:drawing>
      </w:r>
    </w:p>
    <w:p w:rsidR="00B97942" w:rsidRPr="00762113" w:rsidP="00E259F7" w14:paraId="5ACA36B5" w14:textId="213021C6">
      <w:pPr>
        <w:jc w:val="both"/>
      </w:pPr>
      <w:r w:rsidRPr="00762113">
        <w:rPr>
          <w:noProof/>
        </w:rPr>
        <w:drawing>
          <wp:inline distT="0" distB="0" distL="0" distR="0">
            <wp:extent cx="2984082" cy="1584824"/>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276665" name="Picture 5"/>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flipH="1">
                      <a:off x="0" y="0"/>
                      <a:ext cx="3055171" cy="1622579"/>
                    </a:xfrm>
                    <a:prstGeom prst="rect">
                      <a:avLst/>
                    </a:prstGeom>
                    <a:noFill/>
                    <a:ln>
                      <a:noFill/>
                    </a:ln>
                  </pic:spPr>
                </pic:pic>
              </a:graphicData>
            </a:graphic>
          </wp:inline>
        </w:drawing>
      </w:r>
      <w:r w:rsidRPr="00762113" w:rsidR="00F45DC8">
        <w:t xml:space="preserve"> </w:t>
      </w:r>
      <w:r w:rsidRPr="00762113" w:rsidR="00F45DC8">
        <w:rPr>
          <w:noProof/>
        </w:rPr>
        <w:drawing>
          <wp:inline distT="0" distB="0" distL="0" distR="0">
            <wp:extent cx="2983865" cy="1599565"/>
            <wp:effectExtent l="0" t="0" r="6985"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803281" name="Picture 6"/>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flipH="1">
                      <a:off x="0" y="0"/>
                      <a:ext cx="3013902" cy="1615667"/>
                    </a:xfrm>
                    <a:prstGeom prst="rect">
                      <a:avLst/>
                    </a:prstGeom>
                    <a:noFill/>
                    <a:ln>
                      <a:noFill/>
                    </a:ln>
                  </pic:spPr>
                </pic:pic>
              </a:graphicData>
            </a:graphic>
          </wp:inline>
        </w:drawing>
      </w:r>
    </w:p>
    <w:p w:rsidR="00F45DC8" w:rsidRPr="00762113" w14:paraId="39D310FA" w14:textId="248AB57B">
      <w:pPr>
        <w:jc w:val="both"/>
      </w:pPr>
      <w:r w:rsidRPr="00762113">
        <w:rPr>
          <w:noProof/>
        </w:rPr>
        <w:drawing>
          <wp:inline distT="0" distB="0" distL="0" distR="0">
            <wp:extent cx="2994660" cy="1580375"/>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526354" name="Picture 7"/>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3024651" cy="1596202"/>
                    </a:xfrm>
                    <a:prstGeom prst="rect">
                      <a:avLst/>
                    </a:prstGeom>
                    <a:noFill/>
                    <a:ln>
                      <a:noFill/>
                    </a:ln>
                  </pic:spPr>
                </pic:pic>
              </a:graphicData>
            </a:graphic>
          </wp:inline>
        </w:drawing>
      </w:r>
      <w:r w:rsidRPr="00762113" w:rsidR="003B2159">
        <w:t xml:space="preserve"> </w:t>
      </w:r>
      <w:r w:rsidRPr="00762113" w:rsidR="003B2159">
        <w:rPr>
          <w:noProof/>
        </w:rPr>
        <w:drawing>
          <wp:inline distT="0" distB="0" distL="0" distR="0">
            <wp:extent cx="2984127" cy="1579245"/>
            <wp:effectExtent l="0" t="0" r="6985"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624854" name="Picture 8"/>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3026865" cy="1601862"/>
                    </a:xfrm>
                    <a:prstGeom prst="rect">
                      <a:avLst/>
                    </a:prstGeom>
                    <a:noFill/>
                    <a:ln>
                      <a:noFill/>
                    </a:ln>
                  </pic:spPr>
                </pic:pic>
              </a:graphicData>
            </a:graphic>
          </wp:inline>
        </w:drawing>
      </w:r>
    </w:p>
    <w:p w:rsidR="003E479D" w:rsidRPr="00762113" w14:paraId="00ED6B2E" w14:textId="7B6A108F">
      <w:pPr>
        <w:jc w:val="both"/>
      </w:pPr>
    </w:p>
    <w:p w:rsidR="003E479D" w:rsidRPr="00762113" w:rsidP="003E479D" w14:paraId="2F0A322A" w14:textId="574619AB">
      <w:pPr>
        <w:pStyle w:val="ListParagraph"/>
        <w:numPr>
          <w:ilvl w:val="1"/>
          <w:numId w:val="1"/>
        </w:numPr>
      </w:pPr>
      <w:r w:rsidRPr="00762113">
        <w:t>Cross-</w:t>
      </w:r>
      <w:r w:rsidRPr="00762113">
        <w:t>zonal</w:t>
      </w:r>
      <w:r w:rsidRPr="00762113">
        <w:t xml:space="preserve"> </w:t>
      </w:r>
      <w:r w:rsidRPr="00762113">
        <w:t>capacity</w:t>
      </w:r>
      <w:r w:rsidRPr="00762113">
        <w:t xml:space="preserve"> </w:t>
      </w:r>
      <w:r w:rsidRPr="00762113">
        <w:t>usage</w:t>
      </w:r>
    </w:p>
    <w:p w:rsidR="003E479D" w:rsidRPr="00762113" w:rsidP="003E479D" w14:paraId="3753A79D" w14:textId="759523CB">
      <w:pPr>
        <w:rPr>
          <w:color w:val="252525"/>
        </w:rPr>
      </w:pPr>
      <w:r w:rsidRPr="00762113">
        <w:rPr>
          <w:color w:val="252525"/>
        </w:rPr>
        <w:t>It has been observed that w</w:t>
      </w:r>
      <w:r w:rsidRPr="00762113">
        <w:rPr>
          <w:color w:val="252525"/>
        </w:rPr>
        <w:t xml:space="preserve">ithin the Baltics, the CZC usage increases as the allocation limit increases. Restricting the CZC usage for the exchange of balancing capacity does not necessarily result in greater energy exchange as more generation capacity is dedicated to local balancing capacity procurement. With </w:t>
      </w:r>
      <w:r w:rsidRPr="00762113">
        <w:rPr>
          <w:color w:val="252525"/>
        </w:rPr>
        <w:t>neighboring</w:t>
      </w:r>
      <w:r w:rsidRPr="00762113">
        <w:rPr>
          <w:color w:val="252525"/>
        </w:rPr>
        <w:t xml:space="preserve"> countries, the CZC usage generally decreases as the CZC allocation limit increases. Similarly, when the CZC allocation limit is low, the level of energy import in the Baltics is higher as more capacity is dedicated to local balancing capacity procurement.</w:t>
      </w:r>
    </w:p>
    <w:p w:rsidR="003E479D" w:rsidRPr="00762113" w:rsidP="003E479D" w14:paraId="03B8E807" w14:textId="77777777">
      <w:pPr>
        <w:rPr>
          <w:sz w:val="36"/>
          <w:szCs w:val="36"/>
        </w:rPr>
      </w:pPr>
    </w:p>
    <w:p w:rsidR="00BD2155" w:rsidRPr="00762113" w:rsidP="00886F46" w14:paraId="13C10193" w14:textId="6D166E4B">
      <w:pPr>
        <w:pStyle w:val="ListParagraph"/>
        <w:numPr>
          <w:ilvl w:val="1"/>
          <w:numId w:val="1"/>
        </w:numPr>
        <w:rPr>
          <w:sz w:val="36"/>
          <w:szCs w:val="36"/>
        </w:rPr>
      </w:pPr>
      <w:r w:rsidRPr="00762113">
        <w:t>Day-</w:t>
      </w:r>
      <w:r w:rsidRPr="00762113">
        <w:t>ahead</w:t>
      </w:r>
      <w:r w:rsidRPr="00762113">
        <w:t xml:space="preserve"> </w:t>
      </w:r>
      <w:r w:rsidRPr="00762113">
        <w:t>energy</w:t>
      </w:r>
      <w:r w:rsidRPr="00762113">
        <w:t xml:space="preserve"> market </w:t>
      </w:r>
      <w:r w:rsidRPr="00762113">
        <w:t>prices</w:t>
      </w:r>
    </w:p>
    <w:p w:rsidR="00886F46" w:rsidRPr="00762113" w:rsidP="00B05794" w14:paraId="2CAECE16" w14:textId="693093C9">
      <w:pPr>
        <w:autoSpaceDE w:val="0"/>
        <w:autoSpaceDN w:val="0"/>
        <w:adjustRightInd w:val="0"/>
        <w:spacing w:after="66"/>
        <w:jc w:val="both"/>
        <w:rPr>
          <w:rFonts w:ascii="Calibri" w:hAnsi="Calibri" w:cs="Calibri"/>
          <w:color w:val="000000"/>
          <w:lang w:val="lt-LT"/>
        </w:rPr>
      </w:pPr>
      <w:r w:rsidRPr="00762113">
        <w:rPr>
          <w:rFonts w:ascii="Calibri" w:hAnsi="Calibri" w:cs="Calibri"/>
          <w:color w:val="252525"/>
          <w:lang w:val="lt-LT"/>
        </w:rPr>
        <w:t xml:space="preserve">For allocation limit levels between 0% and 50%, day-ahead energy market prices tend to be slightly higher as the balancing capacity scarcity situation in the Baltics impose a reduction of NTCs with neighboring countries. Under normal conditions, DAM prices are up to 45% higher in the Baltics and up to 7% higher in Finland and Sweden than in the optimal case (100% allocation limit). Day-ahead energy market average prices in the area are the lowest when the allocation limit for the exchange of balancing capacity is set to 35% and above. </w:t>
      </w:r>
    </w:p>
    <w:p w:rsidR="00886F46" w:rsidRPr="00762113" w:rsidP="00B05794" w14:paraId="4924EB6A" w14:textId="7EB6C4E3">
      <w:pPr>
        <w:autoSpaceDE w:val="0"/>
        <w:autoSpaceDN w:val="0"/>
        <w:adjustRightInd w:val="0"/>
        <w:jc w:val="both"/>
        <w:rPr>
          <w:rFonts w:ascii="Calibri" w:hAnsi="Calibri" w:cs="Calibri"/>
          <w:color w:val="000000"/>
          <w:lang w:val="lt-LT"/>
        </w:rPr>
      </w:pPr>
      <w:r w:rsidRPr="00762113">
        <w:rPr>
          <w:rFonts w:ascii="Calibri" w:hAnsi="Calibri" w:cs="Calibri"/>
          <w:color w:val="252525"/>
          <w:lang w:val="lt-LT"/>
        </w:rPr>
        <w:t xml:space="preserve">- For allocation limit levels above 50%, day-ahead energy market prices are stable. The reduction of CZC allocated to the exchange of energy does not impact the market prices. </w:t>
      </w:r>
    </w:p>
    <w:p w:rsidR="00886F46" w:rsidRPr="00762113" w:rsidP="00DA6515" w14:paraId="7D4011BB" w14:textId="44AC390B">
      <w:pPr>
        <w:rPr>
          <w:sz w:val="36"/>
          <w:szCs w:val="36"/>
          <w:lang w:val="en-US"/>
        </w:rPr>
      </w:pPr>
    </w:p>
    <w:p w:rsidR="00A71979" w:rsidRPr="00762113" w:rsidP="00B05794" w14:paraId="3B83559E" w14:textId="6A64DD1E">
      <w:pPr>
        <w:pStyle w:val="ListParagraph"/>
        <w:numPr>
          <w:ilvl w:val="1"/>
          <w:numId w:val="1"/>
        </w:numPr>
      </w:pPr>
      <w:r w:rsidRPr="00762113">
        <w:t>Outcome</w:t>
      </w:r>
      <w:r w:rsidRPr="00762113" w:rsidR="5B0CE5D4">
        <w:t>s</w:t>
      </w:r>
    </w:p>
    <w:p w:rsidR="00DD71CF" w:rsidRPr="00762113" w:rsidP="00DD71CF" w14:paraId="3A83B7EB" w14:textId="4C35E941"/>
    <w:p w:rsidR="00DD71CF" w:rsidRPr="00762113" w:rsidP="00DD71CF" w14:paraId="4DDAFFC8" w14:textId="77777777">
      <w:pPr>
        <w:jc w:val="both"/>
      </w:pPr>
      <w:r w:rsidRPr="00762113">
        <w:t>The Baltic CCR TSOs have established that a high CZC allocation is imperative to the functioning of the Baltic power system. It has been determined in CZC Study 2 that operating below 50% allocation limit is not possible without frequent balancing capacity scarcity in the Baltic countries. Balancing capacity scarcity shall lead to significant negative consequences, such as:</w:t>
      </w:r>
    </w:p>
    <w:p w:rsidR="00DD71CF" w:rsidRPr="00762113" w:rsidP="00DD71CF" w14:paraId="659373B2" w14:textId="77777777">
      <w:pPr>
        <w:pStyle w:val="ListParagraph"/>
        <w:numPr>
          <w:ilvl w:val="0"/>
          <w:numId w:val="36"/>
        </w:numPr>
        <w:rPr>
          <w:lang w:val="en-GB"/>
        </w:rPr>
      </w:pPr>
      <w:r w:rsidRPr="00762113">
        <w:rPr>
          <w:lang w:val="en-GB"/>
        </w:rPr>
        <w:t>The Baltic countries’ inability to fulfil their balancing obligations to the CESA power system</w:t>
      </w:r>
    </w:p>
    <w:p w:rsidR="00DD71CF" w:rsidRPr="00762113" w:rsidP="00DD71CF" w14:paraId="64CA5DE9" w14:textId="77777777">
      <w:pPr>
        <w:pStyle w:val="ListParagraph"/>
        <w:numPr>
          <w:ilvl w:val="0"/>
          <w:numId w:val="36"/>
        </w:numPr>
        <w:rPr>
          <w:lang w:val="en-GB"/>
        </w:rPr>
      </w:pPr>
      <w:r w:rsidRPr="00762113">
        <w:rPr>
          <w:lang w:val="en-GB"/>
        </w:rPr>
        <w:t>If insufficient FRR capacity is available to either Estonia or Lithuania, the NTC values of HVDC links in the day-ahead market between Estonia and Finland or Lithuania and Sweden/Poland must be restricted, respectively.</w:t>
      </w:r>
    </w:p>
    <w:p w:rsidR="00DD71CF" w:rsidRPr="00762113" w:rsidP="00DD71CF" w14:paraId="4B425088" w14:textId="1F0CD930">
      <w:r w:rsidRPr="00762113">
        <w:t>Under CZC Study 2 it was found that:</w:t>
      </w:r>
    </w:p>
    <w:p w:rsidR="00DD71CF" w:rsidRPr="00762113" w:rsidP="00DD71CF" w14:paraId="4AF4C8E6" w14:textId="2E95A9A5"/>
    <w:p w:rsidR="00DD71CF" w:rsidRPr="00762113" w:rsidP="00DD71CF" w14:paraId="50B77B39" w14:textId="77777777">
      <w:pPr>
        <w:numPr>
          <w:ilvl w:val="0"/>
          <w:numId w:val="38"/>
        </w:numPr>
        <w:autoSpaceDE w:val="0"/>
        <w:autoSpaceDN w:val="0"/>
        <w:adjustRightInd w:val="0"/>
        <w:spacing w:after="73"/>
        <w:jc w:val="both"/>
        <w:rPr>
          <w:rFonts w:ascii="Calibri" w:hAnsi="Calibri" w:cs="Calibri"/>
          <w:color w:val="000000"/>
          <w:lang w:val="lt-LT"/>
        </w:rPr>
      </w:pPr>
      <w:r w:rsidRPr="00762113">
        <w:rPr>
          <w:rFonts w:ascii="Calibri" w:hAnsi="Calibri" w:cs="Calibri"/>
          <w:color w:val="252525"/>
          <w:lang w:val="lt-LT"/>
        </w:rPr>
        <w:t xml:space="preserve">Below 50%, an infeasible regime is found as consistent balancing capacity scarcity situations are observed. It is not possible to procure the necessary balancing capacity, NTCs with neighboring countries have to be de-rated. </w:t>
      </w:r>
    </w:p>
    <w:p w:rsidR="00DD71CF" w:rsidRPr="00762113" w:rsidP="00DD71CF" w14:paraId="29FF205C" w14:textId="77777777">
      <w:pPr>
        <w:numPr>
          <w:ilvl w:val="0"/>
          <w:numId w:val="38"/>
        </w:numPr>
        <w:autoSpaceDE w:val="0"/>
        <w:autoSpaceDN w:val="0"/>
        <w:adjustRightInd w:val="0"/>
        <w:spacing w:after="73"/>
        <w:jc w:val="both"/>
        <w:rPr>
          <w:rFonts w:ascii="Calibri" w:hAnsi="Calibri" w:cs="Calibri"/>
          <w:color w:val="000000"/>
          <w:lang w:val="lt-LT"/>
        </w:rPr>
      </w:pPr>
      <w:r w:rsidRPr="00762113">
        <w:rPr>
          <w:rFonts w:ascii="Calibri" w:hAnsi="Calibri" w:cs="Calibri"/>
          <w:color w:val="252525"/>
          <w:lang w:val="lt-LT"/>
        </w:rPr>
        <w:t xml:space="preserve">Between 50% and 65%, a sub-optimal regime is found. For normal situations, it is possible to procure the necessary balancing capacity. For degraded situations, it is not possible to procure the necessary balancing capacity but the magnitude and the overall system cost decrease. </w:t>
      </w:r>
    </w:p>
    <w:p w:rsidR="00DD71CF" w:rsidRPr="00762113" w:rsidP="00DD71CF" w14:paraId="3B893D6B" w14:textId="77777777">
      <w:pPr>
        <w:numPr>
          <w:ilvl w:val="0"/>
          <w:numId w:val="38"/>
        </w:numPr>
        <w:autoSpaceDE w:val="0"/>
        <w:autoSpaceDN w:val="0"/>
        <w:adjustRightInd w:val="0"/>
        <w:jc w:val="both"/>
        <w:rPr>
          <w:rFonts w:ascii="Calibri" w:hAnsi="Calibri" w:cs="Calibri"/>
          <w:color w:val="000000"/>
          <w:lang w:val="lt-LT"/>
        </w:rPr>
      </w:pPr>
      <w:r w:rsidRPr="00762113">
        <w:rPr>
          <w:rFonts w:ascii="Calibri" w:hAnsi="Calibri" w:cs="Calibri"/>
          <w:color w:val="252525"/>
          <w:lang w:val="lt-LT"/>
        </w:rPr>
        <w:t xml:space="preserve">Above 65%, the optimal regime is found. The overall system costs are minimum (or close to minimum) for both normal and degraded situations. </w:t>
      </w:r>
    </w:p>
    <w:p w:rsidR="51A9BE7D" w:rsidRPr="00762113" w:rsidP="51A9BE7D" w14:paraId="42C2F866" w14:textId="42CF7811">
      <w:pPr>
        <w:jc w:val="both"/>
        <w:rPr>
          <w:rFonts w:ascii="Calibri" w:hAnsi="Calibri" w:cs="Calibri"/>
          <w:color w:val="252525"/>
          <w:lang w:val="lt-LT"/>
        </w:rPr>
      </w:pPr>
    </w:p>
    <w:p w:rsidR="22E98A37" w:rsidRPr="00762113" w:rsidP="51A9BE7D" w14:paraId="5B6D043A" w14:textId="27F0674E">
      <w:pPr>
        <w:jc w:val="both"/>
        <w:rPr>
          <w:rFonts w:ascii="Calibri" w:hAnsi="Calibri" w:cs="Calibri"/>
          <w:color w:val="252525"/>
          <w:lang w:val="lt-LT"/>
        </w:rPr>
      </w:pPr>
      <w:r w:rsidRPr="00762113">
        <w:rPr>
          <w:rFonts w:ascii="Calibri" w:hAnsi="Calibri" w:cs="Calibri"/>
          <w:color w:val="252525"/>
          <w:lang w:val="lt-LT"/>
        </w:rPr>
        <w:t>Additionally</w:t>
      </w:r>
      <w:r w:rsidRPr="00762113" w:rsidR="3A8FB515">
        <w:rPr>
          <w:rFonts w:ascii="Calibri" w:hAnsi="Calibri" w:cs="Calibri"/>
          <w:color w:val="252525"/>
          <w:lang w:val="lt-LT"/>
        </w:rPr>
        <w:t xml:space="preserve"> to the CZC Study 2 results</w:t>
      </w:r>
      <w:r w:rsidRPr="00762113">
        <w:rPr>
          <w:rFonts w:ascii="Calibri" w:hAnsi="Calibri" w:cs="Calibri"/>
          <w:color w:val="252525"/>
          <w:lang w:val="lt-LT"/>
        </w:rPr>
        <w:t xml:space="preserve">, TSOs evaluated overal situation in </w:t>
      </w:r>
      <w:r w:rsidRPr="00762113" w:rsidR="39B9AA36">
        <w:rPr>
          <w:rFonts w:ascii="Calibri" w:hAnsi="Calibri" w:cs="Calibri"/>
          <w:color w:val="252525"/>
          <w:lang w:val="lt-LT"/>
        </w:rPr>
        <w:t>Baltic</w:t>
      </w:r>
      <w:r w:rsidRPr="00762113">
        <w:rPr>
          <w:rFonts w:ascii="Calibri" w:hAnsi="Calibri" w:cs="Calibri"/>
          <w:color w:val="252525"/>
          <w:lang w:val="lt-LT"/>
        </w:rPr>
        <w:t xml:space="preserve"> ba</w:t>
      </w:r>
      <w:r w:rsidRPr="00762113" w:rsidR="18F9E19E">
        <w:rPr>
          <w:rFonts w:ascii="Calibri" w:hAnsi="Calibri" w:cs="Calibri"/>
          <w:color w:val="252525"/>
          <w:lang w:val="lt-LT"/>
        </w:rPr>
        <w:t>l</w:t>
      </w:r>
      <w:r w:rsidRPr="00762113">
        <w:rPr>
          <w:rFonts w:ascii="Calibri" w:hAnsi="Calibri" w:cs="Calibri"/>
          <w:color w:val="252525"/>
          <w:lang w:val="lt-LT"/>
        </w:rPr>
        <w:t>ancing market, A</w:t>
      </w:r>
      <w:r w:rsidRPr="00762113" w:rsidR="2FA03E1A">
        <w:rPr>
          <w:rFonts w:ascii="Calibri" w:hAnsi="Calibri" w:cs="Calibri"/>
          <w:color w:val="252525"/>
          <w:lang w:val="lt-LT"/>
        </w:rPr>
        <w:t>CER</w:t>
      </w:r>
      <w:r w:rsidRPr="00762113">
        <w:rPr>
          <w:rFonts w:ascii="Calibri" w:hAnsi="Calibri" w:cs="Calibri"/>
          <w:color w:val="252525"/>
          <w:lang w:val="lt-LT"/>
        </w:rPr>
        <w:t xml:space="preserve"> decision 10/2021</w:t>
      </w:r>
      <w:r w:rsidRPr="00762113" w:rsidR="77146EBD">
        <w:rPr>
          <w:rFonts w:ascii="Calibri" w:hAnsi="Calibri" w:cs="Calibri"/>
          <w:color w:val="252525"/>
          <w:lang w:val="lt-LT"/>
        </w:rPr>
        <w:t xml:space="preserve">, legal </w:t>
      </w:r>
      <w:r w:rsidRPr="00762113" w:rsidR="27E242E5">
        <w:rPr>
          <w:rFonts w:ascii="Calibri" w:hAnsi="Calibri" w:cs="Calibri"/>
          <w:color w:val="252525"/>
          <w:lang w:val="lt-LT"/>
        </w:rPr>
        <w:t>framework under Electricity Balancing guidelines, Electricity Regulation and concluded</w:t>
      </w:r>
      <w:r w:rsidRPr="00762113" w:rsidR="5EB4D2D6">
        <w:rPr>
          <w:rFonts w:ascii="Calibri" w:hAnsi="Calibri" w:cs="Calibri"/>
          <w:color w:val="252525"/>
          <w:lang w:val="lt-LT"/>
        </w:rPr>
        <w:t xml:space="preserve"> that:</w:t>
      </w:r>
    </w:p>
    <w:p w:rsidR="5ABF2B01" w:rsidRPr="00762113" w:rsidP="5ABF2B01" w14:paraId="4AF57D93" w14:textId="269AC5AD">
      <w:pPr>
        <w:jc w:val="both"/>
        <w:rPr>
          <w:rFonts w:ascii="Calibri" w:hAnsi="Calibri" w:cs="Calibri"/>
          <w:color w:val="252525"/>
          <w:lang w:val="lt-LT"/>
        </w:rPr>
      </w:pPr>
    </w:p>
    <w:p w:rsidR="15ED9590" w:rsidRPr="00762113" w:rsidP="0029628B" w14:paraId="65AFD413" w14:textId="09E4B4B9">
      <w:pPr>
        <w:pStyle w:val="ListParagraph"/>
        <w:numPr>
          <w:ilvl w:val="0"/>
          <w:numId w:val="40"/>
        </w:numPr>
        <w:rPr>
          <w:rFonts w:ascii="Calibri" w:hAnsi="Calibri" w:cs="Calibri"/>
          <w:color w:val="252525"/>
          <w:lang w:val="lt-LT"/>
        </w:rPr>
      </w:pPr>
      <w:r w:rsidRPr="00762113">
        <w:rPr>
          <w:rFonts w:ascii="Calibri" w:hAnsi="Calibri" w:cs="Calibri"/>
          <w:color w:val="252525"/>
          <w:lang w:val="lt-LT"/>
        </w:rPr>
        <w:t>As was stated in CZC Study 2 the range for optimal regime is between 50 and 65 % without any major difference for balancing market, in order to allocated the greater part for the day-ahead market, TSOs c</w:t>
      </w:r>
      <w:r w:rsidRPr="00762113" w:rsidR="1326342F">
        <w:rPr>
          <w:rFonts w:ascii="Calibri" w:hAnsi="Calibri" w:cs="Calibri"/>
          <w:color w:val="252525"/>
          <w:lang w:val="lt-LT"/>
        </w:rPr>
        <w:t>ame t conlusion that the optimal allocation equals 50% under normal situations.</w:t>
      </w:r>
    </w:p>
    <w:p w:rsidR="54C09672" w:rsidRPr="00762113" w:rsidP="0029628B" w14:paraId="66DB3849" w14:textId="02E20273">
      <w:pPr>
        <w:spacing w:line="257" w:lineRule="auto"/>
        <w:jc w:val="both"/>
        <w:rPr>
          <w:rFonts w:ascii="Calibri" w:eastAsia="Calibri" w:hAnsi="Calibri" w:cs="Calibri"/>
          <w:lang w:val="en-US"/>
        </w:rPr>
      </w:pPr>
      <w:r>
        <w:rPr>
          <w:rFonts w:ascii="Calibri" w:eastAsia="Calibri" w:hAnsi="Calibri" w:cs="Calibri"/>
          <w:lang w:val="en-US"/>
        </w:rPr>
        <w:t xml:space="preserve">In the context of FRR scarcity </w:t>
      </w:r>
      <w:r w:rsidR="00F96CA8">
        <w:rPr>
          <w:rFonts w:ascii="Calibri" w:eastAsia="Calibri" w:hAnsi="Calibri" w:cs="Calibri"/>
          <w:lang w:val="en-US"/>
        </w:rPr>
        <w:t xml:space="preserve">in the algorithm, the Baltic TSOs foresee a higher CZC limit. However, due to the fact the day-ahead market situation is </w:t>
      </w:r>
      <w:r w:rsidR="00677A3D">
        <w:rPr>
          <w:rFonts w:ascii="Calibri" w:eastAsia="Calibri" w:hAnsi="Calibri" w:cs="Calibri"/>
          <w:lang w:val="en-US"/>
        </w:rPr>
        <w:t xml:space="preserve">formulated as a forecast which may contain inconsistencies regarding the availability of generated energy in each bidding zone, it is possible that the </w:t>
      </w:r>
      <w:r w:rsidR="005E5B2C">
        <w:rPr>
          <w:rFonts w:ascii="Calibri" w:eastAsia="Calibri" w:hAnsi="Calibri" w:cs="Calibri"/>
          <w:lang w:val="en-US"/>
        </w:rPr>
        <w:t xml:space="preserve">balancing capacity procurement algorithm does not detect day-ahead scarcity similarly accurately as the balancing capacity scarcity. Thus it is foreseen that in case of scarcity, not all </w:t>
      </w:r>
      <w:r w:rsidR="00E97C93">
        <w:rPr>
          <w:rFonts w:ascii="Calibri" w:eastAsia="Calibri" w:hAnsi="Calibri" w:cs="Calibri"/>
          <w:lang w:val="en-US"/>
        </w:rPr>
        <w:t xml:space="preserve">CZC could be allocated for balancing, in order to not cause curtailment in the day-ahead market due to </w:t>
      </w:r>
      <w:r w:rsidR="00A8149B">
        <w:rPr>
          <w:rFonts w:ascii="Calibri" w:eastAsia="Calibri" w:hAnsi="Calibri" w:cs="Calibri"/>
          <w:lang w:val="en-US"/>
        </w:rPr>
        <w:t>insufficient CZC available for the exchange of energy.</w:t>
      </w:r>
    </w:p>
    <w:p w:rsidR="23ED8D8F" w:rsidRPr="00762113" w:rsidP="73ACE79D" w14:paraId="5A0CF183" w14:textId="02A2185A">
      <w:pPr>
        <w:pStyle w:val="ListParagraph"/>
        <w:numPr>
          <w:ilvl w:val="0"/>
          <w:numId w:val="40"/>
        </w:numPr>
        <w:rPr>
          <w:rFonts w:ascii="Calibri" w:hAnsi="Calibri" w:cs="Calibri"/>
          <w:color w:val="252525"/>
          <w:lang w:val="lt-LT"/>
        </w:rPr>
      </w:pPr>
      <w:r w:rsidRPr="00762113">
        <w:rPr>
          <w:rFonts w:ascii="Calibri" w:hAnsi="Calibri" w:cs="Calibri"/>
          <w:color w:val="252525"/>
          <w:lang w:val="lt-LT"/>
        </w:rPr>
        <w:t>Accordingly, TSOs deem it necessary to allocate the part of CZC in case of degraded situation up to  70 %</w:t>
      </w:r>
      <w:r w:rsidRPr="00762113" w:rsidR="7E56DADA">
        <w:rPr>
          <w:rFonts w:ascii="Calibri" w:hAnsi="Calibri" w:cs="Calibri"/>
          <w:color w:val="252525"/>
          <w:lang w:val="lt-LT"/>
        </w:rPr>
        <w:t xml:space="preserve"> instead of 100 %, in this case again allowing for the day-ahead market to function.</w:t>
      </w:r>
    </w:p>
    <w:p w:rsidR="5ABF2B01" w:rsidRPr="00762113" w:rsidP="5ABF2B01" w14:paraId="2BF3EDC2" w14:textId="3E84788D">
      <w:pPr>
        <w:jc w:val="both"/>
        <w:rPr>
          <w:rFonts w:ascii="Calibri" w:hAnsi="Calibri" w:cs="Calibri"/>
          <w:color w:val="252525"/>
          <w:lang w:val="lt-LT"/>
        </w:rPr>
      </w:pPr>
    </w:p>
    <w:p w:rsidR="00DD71CF" w:rsidRPr="00762113" w:rsidP="00DD71CF" w14:paraId="3E99F82E" w14:textId="2E43BA85"/>
    <w:tbl>
      <w:tblPr>
        <w:tblStyle w:val="TableGrid"/>
        <w:tblW w:w="0" w:type="auto"/>
        <w:tblLook w:val="04A0"/>
      </w:tblPr>
      <w:tblGrid>
        <w:gridCol w:w="9514"/>
      </w:tblGrid>
      <w:tr w14:paraId="1CD7E91D" w14:textId="77777777" w:rsidTr="2D6714DA">
        <w:tblPrEx>
          <w:tblW w:w="0" w:type="auto"/>
          <w:tblLook w:val="04A0"/>
        </w:tblPrEx>
        <w:tc>
          <w:tcPr>
            <w:tcW w:w="9514" w:type="dxa"/>
          </w:tcPr>
          <w:p w:rsidR="00AA3A63" w:rsidRPr="00762113" w:rsidP="00AA3A63" w14:paraId="634D61E7" w14:textId="77777777">
            <w:pPr>
              <w:rPr>
                <w:b/>
                <w:bCs/>
              </w:rPr>
            </w:pPr>
            <w:r w:rsidRPr="00762113">
              <w:rPr>
                <w:b/>
                <w:bCs/>
              </w:rPr>
              <w:t>Key findings:</w:t>
            </w:r>
          </w:p>
          <w:p w:rsidR="00AA3A63" w:rsidRPr="00762113" w:rsidP="00DD71CF" w14:paraId="2F2796FB" w14:textId="77777777"/>
        </w:tc>
      </w:tr>
      <w:tr w14:paraId="4AFAC0DD" w14:textId="77777777" w:rsidTr="2D6714DA">
        <w:tblPrEx>
          <w:tblW w:w="0" w:type="auto"/>
          <w:tblLook w:val="04A0"/>
        </w:tblPrEx>
        <w:tc>
          <w:tcPr>
            <w:tcW w:w="9514" w:type="dxa"/>
          </w:tcPr>
          <w:p w:rsidR="00AA3A63" w:rsidRPr="00762113" w:rsidP="00AA3A63" w14:paraId="7330A654" w14:textId="745AE102">
            <w:pPr>
              <w:numPr>
                <w:ilvl w:val="0"/>
                <w:numId w:val="39"/>
              </w:numPr>
              <w:autoSpaceDE w:val="0"/>
              <w:autoSpaceDN w:val="0"/>
              <w:adjustRightInd w:val="0"/>
              <w:spacing w:after="73"/>
              <w:jc w:val="both"/>
              <w:rPr>
                <w:rFonts w:ascii="Calibri" w:hAnsi="Calibri" w:cs="Calibri"/>
                <w:color w:val="000000"/>
                <w:lang w:val="lt-LT"/>
              </w:rPr>
            </w:pPr>
            <w:r w:rsidRPr="00762113">
              <w:rPr>
                <w:rFonts w:ascii="Calibri" w:hAnsi="Calibri" w:cs="Calibri"/>
                <w:color w:val="252525"/>
                <w:lang w:val="lt-LT"/>
              </w:rPr>
              <w:t xml:space="preserve">The generation capacity is scarce and under generation or transmission capacity maintenance/outage, procuring the necessary balancing capacity is not guaranteed and leads to frequent scarcity situations regardless on the limit on the exchange of balancing capacity. </w:t>
            </w:r>
          </w:p>
          <w:p w:rsidR="00AA3A63" w:rsidRPr="00762113" w:rsidP="00AA3A63" w14:paraId="2C69CC5E" w14:textId="75858970">
            <w:pPr>
              <w:numPr>
                <w:ilvl w:val="0"/>
                <w:numId w:val="39"/>
              </w:numPr>
              <w:autoSpaceDE w:val="0"/>
              <w:autoSpaceDN w:val="0"/>
              <w:adjustRightInd w:val="0"/>
              <w:spacing w:after="73"/>
              <w:jc w:val="both"/>
              <w:rPr>
                <w:rFonts w:ascii="Calibri" w:hAnsi="Calibri" w:cs="Calibri"/>
                <w:color w:val="000000"/>
                <w:lang w:val="lt-LT"/>
              </w:rPr>
            </w:pPr>
            <w:r w:rsidRPr="00762113">
              <w:rPr>
                <w:rFonts w:ascii="Calibri" w:hAnsi="Calibri" w:cs="Calibri"/>
                <w:color w:val="252525"/>
                <w:lang w:val="lt-LT"/>
              </w:rPr>
              <w:t xml:space="preserve">When scarcity situations are expected, higher maximum allocation levels are necessary to mitigate entirely or partially the scarcity. </w:t>
            </w:r>
          </w:p>
          <w:p w:rsidR="00AA3A63" w:rsidRPr="00762113" w:rsidP="00AA3A63" w14:paraId="71D202B2" w14:textId="4BD2863E">
            <w:pPr>
              <w:numPr>
                <w:ilvl w:val="0"/>
                <w:numId w:val="39"/>
              </w:numPr>
              <w:autoSpaceDE w:val="0"/>
              <w:autoSpaceDN w:val="0"/>
              <w:adjustRightInd w:val="0"/>
              <w:spacing w:after="73"/>
              <w:jc w:val="both"/>
              <w:rPr>
                <w:rFonts w:ascii="Calibri" w:hAnsi="Calibri" w:cs="Calibri"/>
                <w:color w:val="000000"/>
                <w:lang w:val="lt-LT"/>
              </w:rPr>
            </w:pPr>
            <w:r w:rsidRPr="00762113">
              <w:rPr>
                <w:rFonts w:ascii="Calibri" w:hAnsi="Calibri" w:cs="Calibri"/>
                <w:b/>
                <w:bCs/>
                <w:color w:val="252525"/>
                <w:lang w:val="lt-LT"/>
              </w:rPr>
              <w:t>No negative impacts</w:t>
            </w:r>
            <w:r w:rsidRPr="00762113">
              <w:rPr>
                <w:rFonts w:ascii="Calibri" w:hAnsi="Calibri" w:cs="Calibri"/>
                <w:color w:val="252525"/>
                <w:lang w:val="lt-LT"/>
              </w:rPr>
              <w:t xml:space="preserve"> are observed </w:t>
            </w:r>
            <w:r w:rsidRPr="00762113">
              <w:rPr>
                <w:rFonts w:ascii="Calibri" w:hAnsi="Calibri" w:cs="Calibri"/>
                <w:b/>
                <w:bCs/>
                <w:color w:val="252525"/>
                <w:lang w:val="lt-LT"/>
              </w:rPr>
              <w:t>on the neighboring countries</w:t>
            </w:r>
            <w:r w:rsidRPr="00762113">
              <w:rPr>
                <w:rFonts w:ascii="Calibri" w:hAnsi="Calibri" w:cs="Calibri"/>
                <w:color w:val="252525"/>
                <w:lang w:val="lt-LT"/>
              </w:rPr>
              <w:t xml:space="preserve"> (Sweden, Finland and Poland) when allocating large shares of CZC for balancing capacity on the Estonian-Latvian and Latvian-Lithuanian border, </w:t>
            </w:r>
            <w:r w:rsidRPr="00762113">
              <w:rPr>
                <w:rFonts w:ascii="Calibri" w:hAnsi="Calibri" w:cs="Calibri"/>
                <w:b/>
                <w:bCs/>
                <w:color w:val="252525"/>
                <w:lang w:val="lt-LT"/>
              </w:rPr>
              <w:t>total system costs and day-ahead energy prices remain stable</w:t>
            </w:r>
            <w:r w:rsidRPr="00762113">
              <w:rPr>
                <w:rFonts w:ascii="Calibri" w:hAnsi="Calibri" w:cs="Calibri"/>
                <w:color w:val="252525"/>
                <w:lang w:val="lt-LT"/>
              </w:rPr>
              <w:t xml:space="preserve">. </w:t>
            </w:r>
          </w:p>
          <w:p w:rsidR="00AA3A63" w:rsidRPr="00762113" w:rsidP="00BA51AC" w14:paraId="490A9B81" w14:textId="659B474C">
            <w:pPr>
              <w:numPr>
                <w:ilvl w:val="0"/>
                <w:numId w:val="39"/>
              </w:numPr>
              <w:autoSpaceDE w:val="0"/>
              <w:autoSpaceDN w:val="0"/>
              <w:adjustRightInd w:val="0"/>
              <w:jc w:val="both"/>
              <w:rPr>
                <w:rFonts w:ascii="Calibri" w:hAnsi="Calibri" w:cs="Calibri"/>
                <w:color w:val="000000"/>
                <w:lang w:val="lt-LT"/>
              </w:rPr>
            </w:pPr>
            <w:r w:rsidRPr="00762113">
              <w:rPr>
                <w:rFonts w:ascii="Calibri" w:hAnsi="Calibri" w:cs="Calibri"/>
                <w:b/>
                <w:bCs/>
                <w:color w:val="252525"/>
                <w:lang w:val="lt-LT"/>
              </w:rPr>
              <w:t>Large impacts</w:t>
            </w:r>
            <w:r w:rsidRPr="00762113">
              <w:rPr>
                <w:rFonts w:ascii="Calibri" w:hAnsi="Calibri" w:cs="Calibri"/>
                <w:color w:val="252525"/>
                <w:lang w:val="lt-LT"/>
              </w:rPr>
              <w:t xml:space="preserve"> are observed for the </w:t>
            </w:r>
            <w:r w:rsidRPr="00762113">
              <w:rPr>
                <w:rFonts w:ascii="Calibri" w:hAnsi="Calibri" w:cs="Calibri"/>
                <w:b/>
                <w:bCs/>
                <w:color w:val="252525"/>
                <w:lang w:val="lt-LT"/>
              </w:rPr>
              <w:t xml:space="preserve">Baltic countries </w:t>
            </w:r>
            <w:r w:rsidRPr="00762113">
              <w:rPr>
                <w:rFonts w:ascii="Calibri" w:hAnsi="Calibri" w:cs="Calibri"/>
                <w:color w:val="252525"/>
                <w:lang w:val="lt-LT"/>
              </w:rPr>
              <w:t xml:space="preserve">when allocating </w:t>
            </w:r>
            <w:r w:rsidRPr="00762113">
              <w:rPr>
                <w:rFonts w:ascii="Calibri" w:hAnsi="Calibri" w:cs="Calibri"/>
                <w:b/>
                <w:bCs/>
                <w:color w:val="252525"/>
                <w:lang w:val="lt-LT"/>
              </w:rPr>
              <w:t xml:space="preserve">low shares </w:t>
            </w:r>
            <w:r w:rsidRPr="00762113">
              <w:rPr>
                <w:rFonts w:ascii="Calibri" w:hAnsi="Calibri" w:cs="Calibri"/>
                <w:color w:val="252525"/>
                <w:lang w:val="lt-LT"/>
              </w:rPr>
              <w:t xml:space="preserve">of CZC for balancing capacity on the Estonian-Latvian and Latvian-Lithuanian border as both the balancing capacity and day-ahead energy market costs increase. </w:t>
            </w:r>
          </w:p>
          <w:p w:rsidR="00AA3A63" w:rsidRPr="00762113" w:rsidP="00BA51AC" w14:paraId="35F9CB58" w14:textId="67A9826F">
            <w:pPr>
              <w:numPr>
                <w:ilvl w:val="0"/>
                <w:numId w:val="39"/>
              </w:numPr>
              <w:autoSpaceDE w:val="0"/>
              <w:autoSpaceDN w:val="0"/>
              <w:adjustRightInd w:val="0"/>
              <w:jc w:val="both"/>
              <w:rPr>
                <w:lang w:val="lt-LT"/>
              </w:rPr>
            </w:pPr>
            <w:r w:rsidRPr="00762113">
              <w:t xml:space="preserve">according to </w:t>
            </w:r>
            <w:r w:rsidRPr="00762113" w:rsidR="73A9D99B">
              <w:t>above-mentioned reasons</w:t>
            </w:r>
            <w:r w:rsidRPr="00762113">
              <w:t xml:space="preserve">, the CZC allocation limitations for balancing capacity have been determined to be </w:t>
            </w:r>
            <w:r w:rsidRPr="00762113" w:rsidR="52EA1103">
              <w:t>5</w:t>
            </w:r>
            <w:r w:rsidRPr="00762113" w:rsidR="29A65EAE">
              <w:t>0</w:t>
            </w:r>
            <w:r w:rsidRPr="00762113">
              <w:t xml:space="preserve">% of CZC calculated for the day-ahead timeframe, and in the case of balancing capacity scarcity this number can be extended to </w:t>
            </w:r>
            <w:r w:rsidRPr="00762113" w:rsidR="7D6389F7">
              <w:t>7</w:t>
            </w:r>
            <w:r w:rsidRPr="00762113">
              <w:t>0%.</w:t>
            </w:r>
          </w:p>
        </w:tc>
      </w:tr>
    </w:tbl>
    <w:p w:rsidR="00AA3A63" w:rsidRPr="00762113" w:rsidP="00DD71CF" w14:paraId="77573C7B" w14:textId="77777777"/>
    <w:p w:rsidR="00DD71CF" w:rsidRPr="00762113" w:rsidP="00DD71CF" w14:paraId="5FEE7121" w14:textId="77777777"/>
    <w:p w:rsidR="00955355" w:rsidRPr="00762113" w:rsidP="00CC6F10" w14:paraId="42368D20" w14:textId="65582884">
      <w:pPr>
        <w:pStyle w:val="headline1"/>
        <w:numPr>
          <w:ilvl w:val="0"/>
          <w:numId w:val="1"/>
        </w:numPr>
      </w:pPr>
      <w:bookmarkStart w:id="21" w:name="_Ref107411060"/>
      <w:bookmarkStart w:id="22" w:name="_Ref107484273"/>
      <w:bookmarkStart w:id="23" w:name="_Toc113284216"/>
      <w:r w:rsidRPr="00762113">
        <w:t xml:space="preserve">Impact of </w:t>
      </w:r>
      <w:r w:rsidRPr="00762113" w:rsidR="3B7CD846">
        <w:t>allocating large shares of CZC for balancing capacity to neighbouring countries</w:t>
      </w:r>
      <w:bookmarkEnd w:id="21"/>
      <w:bookmarkEnd w:id="22"/>
      <w:bookmarkEnd w:id="23"/>
    </w:p>
    <w:p w:rsidR="003A0946" w:rsidRPr="00762113" w:rsidP="003A0946" w14:paraId="03F46C92" w14:textId="33D89D71">
      <w:r w:rsidRPr="00762113">
        <w:t>According to the study results,  Day Ahead Market p</w:t>
      </w:r>
      <w:r w:rsidRPr="00762113" w:rsidR="1B865098">
        <w:t>rices show overall good convergence in the region except with PL whose price is mostly dictated by its own generation mix.</w:t>
      </w:r>
      <w:r w:rsidRPr="00762113">
        <w:t xml:space="preserve"> </w:t>
      </w:r>
    </w:p>
    <w:p w:rsidR="003A0946" w:rsidRPr="00762113" w:rsidP="1B865098" w14:paraId="50401E9E" w14:textId="656CCEDA">
      <w:r w:rsidRPr="00762113">
        <w:rPr>
          <w:noProof/>
        </w:rPr>
        <w:drawing>
          <wp:inline distT="0" distB="0" distL="0" distR="0">
            <wp:extent cx="4572000" cy="2105025"/>
            <wp:effectExtent l="0" t="0" r="0" b="0"/>
            <wp:docPr id="856018171" name="Picture 856018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841108" name=""/>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tretch>
                      <a:fillRect/>
                    </a:stretch>
                  </pic:blipFill>
                  <pic:spPr>
                    <a:xfrm>
                      <a:off x="0" y="0"/>
                      <a:ext cx="4572000" cy="2105025"/>
                    </a:xfrm>
                    <a:prstGeom prst="rect">
                      <a:avLst/>
                    </a:prstGeom>
                  </pic:spPr>
                </pic:pic>
              </a:graphicData>
            </a:graphic>
          </wp:inline>
        </w:drawing>
      </w:r>
    </w:p>
    <w:p w:rsidR="003A0946" w:rsidRPr="00762113" w:rsidP="1B865098" w14:paraId="23A45636" w14:textId="7536447F"/>
    <w:p w:rsidR="003A0946" w:rsidRPr="00762113" w:rsidP="1B865098" w14:paraId="3E54AC1E" w14:textId="5B48E78D">
      <w:r w:rsidRPr="00762113">
        <w:rPr>
          <w:noProof/>
        </w:rPr>
        <w:drawing>
          <wp:inline distT="0" distB="0" distL="0" distR="0">
            <wp:extent cx="4572000" cy="2095500"/>
            <wp:effectExtent l="0" t="0" r="0" b="0"/>
            <wp:docPr id="1073502356" name="Picture 107350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761670" name=""/>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a:xfrm>
                      <a:off x="0" y="0"/>
                      <a:ext cx="4572000" cy="2095500"/>
                    </a:xfrm>
                    <a:prstGeom prst="rect">
                      <a:avLst/>
                    </a:prstGeom>
                  </pic:spPr>
                </pic:pic>
              </a:graphicData>
            </a:graphic>
          </wp:inline>
        </w:drawing>
      </w:r>
    </w:p>
    <w:p w:rsidR="003A0946" w:rsidRPr="00762113" w:rsidP="1B865098" w14:paraId="3A4EEC3B" w14:textId="08298A82"/>
    <w:p w:rsidR="003A0946" w:rsidRPr="00762113" w:rsidP="1B865098" w14:paraId="55AEF1E4" w14:textId="2CAF604A">
      <w:r w:rsidRPr="00762113">
        <w:rPr>
          <w:noProof/>
        </w:rPr>
        <w:drawing>
          <wp:inline distT="0" distB="0" distL="0" distR="0">
            <wp:extent cx="4572000" cy="2105025"/>
            <wp:effectExtent l="0" t="0" r="0" b="0"/>
            <wp:docPr id="2029462039" name="Picture 2029462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958200" name=""/>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a:xfrm>
                      <a:off x="0" y="0"/>
                      <a:ext cx="4572000" cy="2105025"/>
                    </a:xfrm>
                    <a:prstGeom prst="rect">
                      <a:avLst/>
                    </a:prstGeom>
                  </pic:spPr>
                </pic:pic>
              </a:graphicData>
            </a:graphic>
          </wp:inline>
        </w:drawing>
      </w:r>
    </w:p>
    <w:p w:rsidR="003A0946" w:rsidRPr="00762113" w:rsidP="1B865098" w14:paraId="04377EA6" w14:textId="1E808F16"/>
    <w:p w:rsidR="003A0946" w:rsidRPr="00762113" w:rsidP="00275B33" w14:paraId="58980617" w14:textId="254B09D3">
      <w:pPr>
        <w:jc w:val="both"/>
      </w:pPr>
      <w:r w:rsidRPr="00762113">
        <w:rPr>
          <w:noProof/>
        </w:rPr>
        <w:drawing>
          <wp:inline distT="0" distB="0" distL="0" distR="0">
            <wp:extent cx="4572000" cy="2105025"/>
            <wp:effectExtent l="0" t="0" r="0" b="0"/>
            <wp:docPr id="751490000" name="Picture 75149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790965" name=""/>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a:xfrm>
                      <a:off x="0" y="0"/>
                      <a:ext cx="4572000" cy="2105025"/>
                    </a:xfrm>
                    <a:prstGeom prst="rect">
                      <a:avLst/>
                    </a:prstGeom>
                  </pic:spPr>
                </pic:pic>
              </a:graphicData>
            </a:graphic>
          </wp:inline>
        </w:drawing>
      </w:r>
    </w:p>
    <w:p w:rsidR="003A0946" w:rsidRPr="00762113" w:rsidP="00275B33" w14:paraId="1ED74E8B" w14:textId="5CFB6CB5">
      <w:pPr>
        <w:jc w:val="both"/>
      </w:pPr>
    </w:p>
    <w:p w:rsidR="003A0946" w:rsidRPr="00762113" w:rsidP="00275B33" w14:paraId="4E2C0718" w14:textId="066F7849">
      <w:pPr>
        <w:jc w:val="both"/>
      </w:pPr>
      <w:r w:rsidRPr="00762113">
        <w:t>Allocating large shares of CZC for the exchange of balancing capacity implies that the CZC allocated to the day-ahead energy market could be reduced within the Baltics and could by extension restrict the commercial capacities in the region. However, t</w:t>
      </w:r>
      <w:r w:rsidRPr="00762113" w:rsidR="3AB39894">
        <w:t>he allocation of large shares of CZC for balancing capacity in Baltic countries have a very limited impact to the Polish, Finnish and Swedish day-ahead market prices.</w:t>
      </w:r>
    </w:p>
    <w:p w:rsidR="003A0946" w:rsidRPr="00762113" w:rsidP="00275B33" w14:paraId="3303E392" w14:textId="5CD7CA9A">
      <w:pPr>
        <w:jc w:val="both"/>
      </w:pPr>
    </w:p>
    <w:p w:rsidR="003A0946" w:rsidRPr="00762113" w:rsidP="00275B33" w14:paraId="0F6E81E4" w14:textId="2CD98C83">
      <w:pPr>
        <w:jc w:val="both"/>
      </w:pPr>
      <w:r w:rsidRPr="00762113">
        <w:rPr>
          <w:noProof/>
        </w:rPr>
        <w:drawing>
          <wp:inline distT="0" distB="0" distL="0" distR="0">
            <wp:extent cx="4572000" cy="2295525"/>
            <wp:effectExtent l="0" t="0" r="0" b="0"/>
            <wp:docPr id="1047471783" name="Picture 1047471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156861" name=""/>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a:xfrm>
                      <a:off x="0" y="0"/>
                      <a:ext cx="4572000" cy="2295525"/>
                    </a:xfrm>
                    <a:prstGeom prst="rect">
                      <a:avLst/>
                    </a:prstGeom>
                  </pic:spPr>
                </pic:pic>
              </a:graphicData>
            </a:graphic>
          </wp:inline>
        </w:drawing>
      </w:r>
    </w:p>
    <w:p w:rsidR="003A0946" w:rsidRPr="00762113" w:rsidP="1B865098" w14:paraId="40C49F93" w14:textId="32A05265"/>
    <w:p w:rsidR="003A0946" w:rsidRPr="00762113" w:rsidP="1B865098" w14:paraId="0C944C52" w14:textId="4058AB13">
      <w:r w:rsidRPr="00762113">
        <w:rPr>
          <w:noProof/>
        </w:rPr>
        <w:drawing>
          <wp:inline distT="0" distB="0" distL="0" distR="0">
            <wp:extent cx="4572000" cy="2295525"/>
            <wp:effectExtent l="0" t="0" r="0" b="0"/>
            <wp:docPr id="1662741928" name="Picture 1662741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359940" name=""/>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a:xfrm>
                      <a:off x="0" y="0"/>
                      <a:ext cx="4572000" cy="2295525"/>
                    </a:xfrm>
                    <a:prstGeom prst="rect">
                      <a:avLst/>
                    </a:prstGeom>
                  </pic:spPr>
                </pic:pic>
              </a:graphicData>
            </a:graphic>
          </wp:inline>
        </w:drawing>
      </w:r>
    </w:p>
    <w:p w:rsidR="003A0946" w:rsidRPr="00762113" w:rsidP="1B865098" w14:paraId="354A98AB" w14:textId="15DF6D6D"/>
    <w:p w:rsidR="003A0946" w:rsidRPr="00762113" w:rsidP="1B865098" w14:paraId="30F8F39C" w14:textId="6F375E20">
      <w:r w:rsidRPr="00762113">
        <w:rPr>
          <w:noProof/>
        </w:rPr>
        <w:drawing>
          <wp:inline distT="0" distB="0" distL="0" distR="0">
            <wp:extent cx="4572000" cy="2295525"/>
            <wp:effectExtent l="0" t="0" r="0" b="0"/>
            <wp:docPr id="121482330" name="Picture 121482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059229" name=""/>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a:xfrm>
                      <a:off x="0" y="0"/>
                      <a:ext cx="4572000" cy="2295525"/>
                    </a:xfrm>
                    <a:prstGeom prst="rect">
                      <a:avLst/>
                    </a:prstGeom>
                  </pic:spPr>
                </pic:pic>
              </a:graphicData>
            </a:graphic>
          </wp:inline>
        </w:drawing>
      </w:r>
    </w:p>
    <w:p w:rsidR="003A0946" w:rsidRPr="00762113" w:rsidP="1B865098" w14:paraId="1B45578B" w14:textId="43A6A2DE"/>
    <w:p w:rsidR="003A0946" w:rsidRPr="00762113" w:rsidP="00275B33" w14:paraId="22014E5D" w14:textId="15A2819A">
      <w:pPr>
        <w:jc w:val="both"/>
      </w:pPr>
      <w:r w:rsidRPr="00762113">
        <w:t xml:space="preserve">For the </w:t>
      </w:r>
      <w:r w:rsidRPr="00762113">
        <w:t>neighboring</w:t>
      </w:r>
      <w:r w:rsidRPr="00762113">
        <w:t xml:space="preserve"> countries total system costs are stable and </w:t>
      </w:r>
      <w:r w:rsidRPr="00762113" w:rsidR="1B865098">
        <w:t xml:space="preserve">do not seem to be affected by the balancing capacity procurement situation within the Baltics. </w:t>
      </w:r>
      <w:r w:rsidRPr="00762113">
        <w:t xml:space="preserve"> </w:t>
      </w:r>
    </w:p>
    <w:p w:rsidR="1B865098" w:rsidRPr="00762113" w:rsidP="00275B33" w14:paraId="3E47B2DF" w14:textId="7504AD4F">
      <w:pPr>
        <w:jc w:val="both"/>
      </w:pPr>
      <w:r w:rsidRPr="00762113">
        <w:t xml:space="preserve">No negative impact is observed on the </w:t>
      </w:r>
      <w:r w:rsidRPr="00762113">
        <w:t>neighboring</w:t>
      </w:r>
      <w:r w:rsidRPr="00762113">
        <w:t xml:space="preserve"> countries when allocating large shares of CZC for the exchange balancing capacity.</w:t>
      </w:r>
    </w:p>
    <w:p w:rsidR="00D63BDC" w:rsidRPr="004F3892" w:rsidP="00D63BDC" w14:paraId="7C9EFCA4" w14:textId="77777777">
      <w:pPr>
        <w:pStyle w:val="headline1"/>
        <w:numPr>
          <w:ilvl w:val="0"/>
          <w:numId w:val="1"/>
        </w:numPr>
      </w:pPr>
      <w:r w:rsidRPr="004F3892">
        <w:t>Further considerations on CZC limits</w:t>
      </w:r>
    </w:p>
    <w:p w:rsidR="00D63BDC" w:rsidRPr="004F3892" w:rsidP="00D63BDC" w14:paraId="7A4F125D" w14:textId="77777777">
      <w:r w:rsidRPr="004F3892">
        <w:t>The Baltic CCR acknowledge the problems which may arise when comparing the forecast market value of CZC for the exchange of energy with the actual market value of CZC for balancing capacity. However, due to the tight and illiquid situation in the Baltic balancing capacity market, a significant share of CZC is necessary to be allocated for balancing, as highlighted above in several instances. However, there is a special situation where balancing capacity is not in direct competition with the day-ahead market, and that is when balancing capacity products would be allocated on CZC in the opposite direction of the forecast flow of energy in the day-ahead market.</w:t>
      </w:r>
    </w:p>
    <w:p w:rsidR="00D63BDC" w:rsidRPr="004F3892" w:rsidP="00D63BDC" w14:paraId="4680847A" w14:textId="76CCD54B">
      <w:r w:rsidRPr="004F3892">
        <w:t>Therefore</w:t>
      </w:r>
      <w:r w:rsidR="008E1270">
        <w:t>,</w:t>
      </w:r>
      <w:r w:rsidRPr="004F3892">
        <w:t xml:space="preserve"> the Baltic CCR TSOs are considering a further future amendment of the methodology where the direction of forecast day-ahead flows are taken into account when determining the CZC allocation limits. The proposal would include forecasting the day-ahead flows as the first step, then applying different CZC allocation limits for BC for different directions:</w:t>
      </w:r>
    </w:p>
    <w:p w:rsidR="00D63BDC" w:rsidRPr="004F3892" w:rsidP="00D63BDC" w14:paraId="4B671E8D" w14:textId="77777777"/>
    <w:p w:rsidR="00D63BDC" w:rsidRPr="009800DE" w:rsidP="00D63BDC" w14:paraId="4E0BE615" w14:textId="06C70E7F">
      <w:pPr>
        <w:pStyle w:val="ListParagraph"/>
        <w:numPr>
          <w:ilvl w:val="0"/>
          <w:numId w:val="41"/>
        </w:numPr>
        <w:rPr>
          <w:lang w:val="en-GB"/>
        </w:rPr>
      </w:pPr>
      <w:r w:rsidRPr="009800DE">
        <w:rPr>
          <w:lang w:val="en-GB"/>
        </w:rPr>
        <w:t>The standard 50%/70%</w:t>
      </w:r>
      <w:r w:rsidRPr="009800DE" w:rsidR="00000819">
        <w:rPr>
          <w:lang w:val="en-GB"/>
        </w:rPr>
        <w:t xml:space="preserve"> CZC allocation</w:t>
      </w:r>
      <w:r w:rsidRPr="009800DE">
        <w:rPr>
          <w:lang w:val="en-GB"/>
        </w:rPr>
        <w:t xml:space="preserve"> limit</w:t>
      </w:r>
      <w:r w:rsidRPr="009800DE" w:rsidR="00000819">
        <w:rPr>
          <w:lang w:val="en-GB"/>
        </w:rPr>
        <w:t xml:space="preserve"> for BC</w:t>
      </w:r>
      <w:r w:rsidRPr="009800DE">
        <w:rPr>
          <w:lang w:val="en-GB"/>
        </w:rPr>
        <w:t xml:space="preserve"> shall be applied </w:t>
      </w:r>
      <w:r w:rsidRPr="009800DE" w:rsidR="00000819">
        <w:rPr>
          <w:lang w:val="en-GB"/>
        </w:rPr>
        <w:t>to all borders</w:t>
      </w:r>
    </w:p>
    <w:p w:rsidR="00000819" w:rsidP="00D63BDC" w14:paraId="13B9F9ED" w14:textId="57D4A3FE">
      <w:pPr>
        <w:pStyle w:val="ListParagraph"/>
        <w:numPr>
          <w:ilvl w:val="0"/>
          <w:numId w:val="41"/>
        </w:numPr>
        <w:rPr>
          <w:lang w:val="en-GB"/>
        </w:rPr>
      </w:pPr>
      <w:r w:rsidRPr="009800DE">
        <w:rPr>
          <w:lang w:val="en-GB"/>
        </w:rPr>
        <w:t xml:space="preserve">The limit is increased (for example, to 80% or 90%) on the </w:t>
      </w:r>
      <w:r w:rsidRPr="009800DE" w:rsidR="004F3892">
        <w:rPr>
          <w:lang w:val="en-GB"/>
        </w:rPr>
        <w:t>CZC with a specific direction</w:t>
      </w:r>
      <w:r w:rsidRPr="009800DE">
        <w:rPr>
          <w:lang w:val="en-GB"/>
        </w:rPr>
        <w:t xml:space="preserve"> where the flow forecast </w:t>
      </w:r>
      <w:r w:rsidRPr="009800DE" w:rsidR="004F3892">
        <w:rPr>
          <w:lang w:val="en-GB"/>
        </w:rPr>
        <w:t>indicates a flow in the opposite direction</w:t>
      </w:r>
      <w:r w:rsidR="009C124A">
        <w:rPr>
          <w:lang w:val="en-GB"/>
        </w:rPr>
        <w:t>.</w:t>
      </w:r>
    </w:p>
    <w:p w:rsidR="009C124A" w:rsidRPr="009C124A" w:rsidP="009800DE" w14:paraId="13A43951" w14:textId="25096EBF">
      <w:r>
        <w:t xml:space="preserve">It is clear the forecast of </w:t>
      </w:r>
      <w:r w:rsidR="00AE1B30">
        <w:t xml:space="preserve">flows in the day-ahead market </w:t>
      </w:r>
      <w:r w:rsidR="00022CA5">
        <w:t xml:space="preserve">shall contain errors. Thus it is foreseen that the </w:t>
      </w:r>
      <w:r w:rsidR="00913358">
        <w:t xml:space="preserve">forecast day-ahead flow which triggers a higher limit of CZC allocation for balancing must contain within itself some kind of margin of error, such as </w:t>
      </w:r>
      <w:r w:rsidR="00C778E9">
        <w:t xml:space="preserve">a flow of at least 300 MW, interconnector usage above a certain threshold or similar. The concrete </w:t>
      </w:r>
      <w:r w:rsidR="00A1146E">
        <w:t>trigger has not yet been decided and would depend on the specific forecast methodology used and its accuracy</w:t>
      </w:r>
      <w:r w:rsidR="00D921EB">
        <w:t xml:space="preserve">, therefore further investigation is required before a detailed proposal can be added to the Baltic CCR methodology of </w:t>
      </w:r>
      <w:r w:rsidR="00640D0B">
        <w:t>market-based allocation CZC allocation process for balancing capacity.</w:t>
      </w:r>
    </w:p>
    <w:p w:rsidR="003A0946" w:rsidRPr="00762113" w:rsidP="003A0946" w14:paraId="2603A699" w14:textId="08296BC9"/>
    <w:sectPr w:rsidSect="00433556">
      <w:headerReference w:type="first" r:id="rId26"/>
      <w:pgSz w:w="11906" w:h="16838"/>
      <w:pgMar w:top="1560" w:right="1021" w:bottom="1701" w:left="1361" w:header="709"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BA"/>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4525"/>
      <w:gridCol w:w="4525"/>
      <w:gridCol w:w="4525"/>
    </w:tblGrid>
    <w:tr w14:paraId="5E39BB93" w14:textId="77777777" w:rsidTr="00D713DE">
      <w:tblPrEx>
        <w:tblW w:w="0" w:type="auto"/>
        <w:tblLayout w:type="fixed"/>
        <w:tblLook w:val="06A0"/>
      </w:tblPrEx>
      <w:tc>
        <w:tcPr>
          <w:tcW w:w="4525" w:type="dxa"/>
        </w:tcPr>
        <w:p w:rsidR="00D713DE" w:rsidP="00D713DE" w14:paraId="15D61737" w14:textId="77777777">
          <w:pPr>
            <w:pStyle w:val="Header"/>
            <w:ind w:left="-115"/>
          </w:pPr>
        </w:p>
      </w:tc>
      <w:tc>
        <w:tcPr>
          <w:tcW w:w="4525" w:type="dxa"/>
        </w:tcPr>
        <w:p w:rsidR="00D713DE" w:rsidP="00D713DE" w14:paraId="514545B6" w14:textId="77777777">
          <w:pPr>
            <w:pStyle w:val="Header"/>
            <w:jc w:val="center"/>
          </w:pPr>
        </w:p>
      </w:tc>
      <w:tc>
        <w:tcPr>
          <w:tcW w:w="4525" w:type="dxa"/>
        </w:tcPr>
        <w:p w:rsidR="00D713DE" w:rsidP="00D713DE" w14:paraId="699041D0" w14:textId="77777777">
          <w:pPr>
            <w:pStyle w:val="Header"/>
            <w:ind w:right="-115"/>
            <w:jc w:val="right"/>
          </w:pPr>
        </w:p>
      </w:tc>
    </w:tr>
  </w:tbl>
  <w:p w:rsidR="00D713DE" w:rsidP="00D713DE" w14:paraId="67DDEFA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9154C"/>
    <w:multiLevelType w:val="hybridMultilevel"/>
    <w:tmpl w:val="447841C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AF5262"/>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CF95A76"/>
    <w:multiLevelType w:val="hybridMultilevel"/>
    <w:tmpl w:val="FFFFFFFF"/>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11CE4DE7"/>
    <w:multiLevelType w:val="hybridMultilevel"/>
    <w:tmpl w:val="447841C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4FE0544"/>
    <w:multiLevelType w:val="hybridMultilevel"/>
    <w:tmpl w:val="447841C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6711767"/>
    <w:multiLevelType w:val="hybridMultilevel"/>
    <w:tmpl w:val="CDCA5262"/>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6">
    <w:nsid w:val="17A36F79"/>
    <w:multiLevelType w:val="hybridMultilevel"/>
    <w:tmpl w:val="447841C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84A0E5E"/>
    <w:multiLevelType w:val="hybridMultilevel"/>
    <w:tmpl w:val="447841C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92A0CB5"/>
    <w:multiLevelType w:val="hybridMultilevel"/>
    <w:tmpl w:val="72E658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F4E2D71"/>
    <w:multiLevelType w:val="hybridMultilevel"/>
    <w:tmpl w:val="06B223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EB5CDC"/>
    <w:multiLevelType w:val="multilevel"/>
    <w:tmpl w:val="6EC0208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7B66E9"/>
    <w:multiLevelType w:val="multilevel"/>
    <w:tmpl w:val="169CC5E8"/>
    <w:styleLink w:val="XXXtextbullets"/>
    <w:lvl w:ilvl="0">
      <w:start w:val="1"/>
      <w:numFmt w:val="bullet"/>
      <w:pStyle w:val="textbullets"/>
      <w:lvlText w:val="‒"/>
      <w:lvlJc w:val="left"/>
      <w:pPr>
        <w:ind w:left="397" w:hanging="397"/>
      </w:pPr>
      <w:rPr>
        <w:rFonts w:ascii="Calibri" w:hAnsi="Calibri" w:hint="default"/>
        <w:color w:val="auto"/>
      </w:rPr>
    </w:lvl>
    <w:lvl w:ilvl="1">
      <w:start w:val="1"/>
      <w:numFmt w:val="bullet"/>
      <w:lvlText w:val="‒"/>
      <w:lvlJc w:val="left"/>
      <w:pPr>
        <w:ind w:left="794" w:hanging="397"/>
      </w:pPr>
      <w:rPr>
        <w:rFonts w:ascii="Calibri" w:hAnsi="Calibri" w:hint="default"/>
        <w:color w:val="auto"/>
      </w:rPr>
    </w:lvl>
    <w:lvl w:ilvl="2">
      <w:start w:val="1"/>
      <w:numFmt w:val="bullet"/>
      <w:lvlText w:val="‒"/>
      <w:lvlJc w:val="left"/>
      <w:pPr>
        <w:ind w:left="1191" w:hanging="397"/>
      </w:pPr>
      <w:rPr>
        <w:rFonts w:ascii="Calibri" w:hAnsi="Calibri" w:hint="default"/>
        <w:color w:val="auto"/>
      </w:rPr>
    </w:lvl>
    <w:lvl w:ilvl="3">
      <w:start w:val="1"/>
      <w:numFmt w:val="bullet"/>
      <w:lvlText w:val="‒"/>
      <w:lvlJc w:val="left"/>
      <w:pPr>
        <w:ind w:left="1588" w:hanging="397"/>
      </w:pPr>
      <w:rPr>
        <w:rFonts w:ascii="Calibri" w:hAnsi="Calibri" w:hint="default"/>
        <w:color w:val="auto"/>
      </w:rPr>
    </w:lvl>
    <w:lvl w:ilvl="4">
      <w:start w:val="1"/>
      <w:numFmt w:val="bullet"/>
      <w:lvlText w:val="‒"/>
      <w:lvlJc w:val="left"/>
      <w:pPr>
        <w:ind w:left="1985" w:hanging="397"/>
      </w:pPr>
      <w:rPr>
        <w:rFonts w:ascii="Calibri" w:hAnsi="Calibri" w:hint="default"/>
        <w:color w:val="auto"/>
      </w:rPr>
    </w:lvl>
    <w:lvl w:ilvl="5">
      <w:start w:val="1"/>
      <w:numFmt w:val="bullet"/>
      <w:lvlText w:val="‒"/>
      <w:lvlJc w:val="left"/>
      <w:pPr>
        <w:ind w:left="2325" w:hanging="340"/>
      </w:pPr>
      <w:rPr>
        <w:rFonts w:ascii="Calibri" w:hAnsi="Calibri" w:hint="default"/>
        <w:color w:val="auto"/>
      </w:rPr>
    </w:lvl>
    <w:lvl w:ilvl="6">
      <w:start w:val="1"/>
      <w:numFmt w:val="bullet"/>
      <w:lvlText w:val="‒"/>
      <w:lvlJc w:val="left"/>
      <w:pPr>
        <w:ind w:left="2722" w:hanging="397"/>
      </w:pPr>
      <w:rPr>
        <w:rFonts w:ascii="Calibri" w:hAnsi="Calibri" w:hint="default"/>
        <w:color w:val="auto"/>
      </w:rPr>
    </w:lvl>
    <w:lvl w:ilvl="7">
      <w:start w:val="1"/>
      <w:numFmt w:val="bullet"/>
      <w:lvlText w:val="‒"/>
      <w:lvlJc w:val="left"/>
      <w:pPr>
        <w:ind w:left="3119" w:hanging="397"/>
      </w:pPr>
      <w:rPr>
        <w:rFonts w:ascii="Calibri" w:hAnsi="Calibri" w:hint="default"/>
        <w:color w:val="auto"/>
      </w:rPr>
    </w:lvl>
    <w:lvl w:ilvl="8">
      <w:start w:val="1"/>
      <w:numFmt w:val="bullet"/>
      <w:lvlText w:val="‒"/>
      <w:lvlJc w:val="left"/>
      <w:pPr>
        <w:ind w:left="3459" w:hanging="340"/>
      </w:pPr>
      <w:rPr>
        <w:rFonts w:ascii="Calibri" w:hAnsi="Calibri" w:hint="default"/>
        <w:color w:val="auto"/>
      </w:rPr>
    </w:lvl>
  </w:abstractNum>
  <w:abstractNum w:abstractNumId="13">
    <w:nsid w:val="2BC13E21"/>
    <w:multiLevelType w:val="hybridMultilevel"/>
    <w:tmpl w:val="7AF8F19A"/>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Letter"/>
      <w:lvlText w:val="(%3)"/>
      <w:lvlJc w:val="left"/>
      <w:pPr>
        <w:ind w:left="2688" w:hanging="360"/>
      </w:pPr>
      <w:rPr>
        <w:rFonts w:hint="default"/>
      </w:r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4">
    <w:nsid w:val="2D0A03AF"/>
    <w:multiLevelType w:val="hybridMultilevel"/>
    <w:tmpl w:val="DEEA3AD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D9A1937"/>
    <w:multiLevelType w:val="hybridMultilevel"/>
    <w:tmpl w:val="447841C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E553F65"/>
    <w:multiLevelType w:val="hybridMultilevel"/>
    <w:tmpl w:val="746005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6E95782"/>
    <w:multiLevelType w:val="hybridMultilevel"/>
    <w:tmpl w:val="447841C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AE94402"/>
    <w:multiLevelType w:val="hybridMultilevel"/>
    <w:tmpl w:val="08CA72DC"/>
    <w:lvl w:ilvl="0">
      <w:start w:val="1"/>
      <w:numFmt w:val="decimal"/>
      <w:lvlText w:val="Article %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E2C5E8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3B1E4D"/>
    <w:multiLevelType w:val="hybridMultilevel"/>
    <w:tmpl w:val="36C2FB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74E467B"/>
    <w:multiLevelType w:val="hybridMultilevel"/>
    <w:tmpl w:val="4A38989A"/>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9B26E81"/>
    <w:multiLevelType w:val="hybridMultilevel"/>
    <w:tmpl w:val="447841C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BB64157"/>
    <w:multiLevelType w:val="hybridMultilevel"/>
    <w:tmpl w:val="E2A465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D5C78EE"/>
    <w:multiLevelType w:val="multilevel"/>
    <w:tmpl w:val="6714D5BC"/>
    <w:styleLink w:val="XXXNummerierung"/>
    <w:lvl w:ilvl="0">
      <w:start w:val="1"/>
      <w:numFmt w:val="decimal"/>
      <w:pStyle w:val="textenumeration"/>
      <w:lvlText w:val="%1."/>
      <w:lvlJc w:val="left"/>
      <w:pPr>
        <w:ind w:left="357" w:hanging="357"/>
      </w:pPr>
      <w:rPr>
        <w:rFonts w:ascii="Times New Roman" w:hAnsi="Times New Roman" w:hint="default"/>
        <w:sz w:val="22"/>
      </w:rPr>
    </w:lvl>
    <w:lvl w:ilvl="1">
      <w:start w:val="1"/>
      <w:numFmt w:val="none"/>
      <w:lvlJc w:val="left"/>
      <w:pPr>
        <w:ind w:left="0" w:firstLine="0"/>
      </w:pPr>
      <w:rPr>
        <w:rFonts w:hint="default"/>
      </w:rPr>
    </w:lvl>
    <w:lvl w:ilvl="2">
      <w:start w:val="1"/>
      <w:numFmt w:val="none"/>
      <w:lvlJc w:val="left"/>
      <w:pPr>
        <w:ind w:left="0" w:firstLine="0"/>
      </w:pPr>
      <w:rPr>
        <w:rFonts w:hint="default"/>
      </w:rPr>
    </w:lvl>
    <w:lvl w:ilvl="3">
      <w:start w:val="1"/>
      <w:numFmt w:val="none"/>
      <w:lvlJc w:val="left"/>
      <w:pPr>
        <w:ind w:left="0" w:firstLine="0"/>
      </w:pPr>
      <w:rPr>
        <w:rFonts w:hint="default"/>
      </w:rPr>
    </w:lvl>
    <w:lvl w:ilvl="4">
      <w:start w:val="1"/>
      <w:numFmt w:val="none"/>
      <w:lvlJc w:val="left"/>
      <w:pPr>
        <w:ind w:left="0" w:firstLine="0"/>
      </w:pPr>
      <w:rPr>
        <w:rFonts w:hint="default"/>
      </w:rPr>
    </w:lvl>
    <w:lvl w:ilvl="5">
      <w:start w:val="1"/>
      <w:numFmt w:val="none"/>
      <w:lvlJc w:val="left"/>
      <w:pPr>
        <w:ind w:left="0" w:firstLine="0"/>
      </w:pPr>
      <w:rPr>
        <w:rFonts w:hint="default"/>
      </w:rPr>
    </w:lvl>
    <w:lvl w:ilvl="6">
      <w:start w:val="1"/>
      <w:numFmt w:val="none"/>
      <w:lvlJc w:val="left"/>
      <w:pPr>
        <w:ind w:left="0" w:firstLine="0"/>
      </w:pPr>
      <w:rPr>
        <w:rFonts w:hint="default"/>
      </w:rPr>
    </w:lvl>
    <w:lvl w:ilvl="7">
      <w:start w:val="1"/>
      <w:numFmt w:val="none"/>
      <w:lvlJc w:val="left"/>
      <w:pPr>
        <w:ind w:left="0" w:firstLine="0"/>
      </w:pPr>
      <w:rPr>
        <w:rFonts w:hint="default"/>
      </w:rPr>
    </w:lvl>
    <w:lvl w:ilvl="8">
      <w:start w:val="1"/>
      <w:numFmt w:val="none"/>
      <w:lvlJc w:val="left"/>
      <w:pPr>
        <w:ind w:left="0" w:firstLine="0"/>
      </w:pPr>
      <w:rPr>
        <w:rFonts w:hint="default"/>
      </w:rPr>
    </w:lvl>
  </w:abstractNum>
  <w:abstractNum w:abstractNumId="25">
    <w:nsid w:val="4EA5442E"/>
    <w:multiLevelType w:val="hybridMultilevel"/>
    <w:tmpl w:val="9386F7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0841783"/>
    <w:multiLevelType w:val="hybridMultilevel"/>
    <w:tmpl w:val="701A220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53B76563"/>
    <w:multiLevelType w:val="hybridMultilevel"/>
    <w:tmpl w:val="8A9602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C740E74"/>
    <w:multiLevelType w:val="hybridMultilevel"/>
    <w:tmpl w:val="621095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D4A3354"/>
    <w:multiLevelType w:val="multilevel"/>
    <w:tmpl w:val="080C001F"/>
    <w:styleLink w:val="XXXList"/>
    <w:lvl w:ilvl="0">
      <w:start w:val="1"/>
      <w:numFmt w:val="decimal"/>
      <w:lvlText w:val="%1."/>
      <w:lvlJc w:val="left"/>
      <w:pPr>
        <w:ind w:left="360" w:hanging="360"/>
      </w:pPr>
      <w:rPr>
        <w:rFonts w:hint="default"/>
        <w:b/>
        <w:i w:val="0"/>
        <w:color w:val="44546A" w:themeColor="text2"/>
        <w:sz w:val="28"/>
        <w:u w:color="44546A"/>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b/>
        <w:i w:val="0"/>
        <w:color w:val="44546A" w:themeColor="text2"/>
        <w:sz w:val="28"/>
        <w:u w:color="44546A"/>
      </w:rPr>
    </w:lvl>
  </w:abstractNum>
  <w:abstractNum w:abstractNumId="30">
    <w:nsid w:val="5EF63C7D"/>
    <w:multiLevelType w:val="multilevel"/>
    <w:tmpl w:val="F9A00892"/>
    <w:styleLink w:val="XXXBulletList"/>
    <w:lvl w:ilvl="0">
      <w:start w:val="1"/>
      <w:numFmt w:val="bullet"/>
      <w:pStyle w:val="decisionbullet1"/>
      <w:lvlText w:val="‒"/>
      <w:lvlJc w:val="left"/>
      <w:pPr>
        <w:ind w:left="357" w:hanging="357"/>
      </w:pPr>
      <w:rPr>
        <w:rFonts w:ascii="Calibri" w:hAnsi="Calibri" w:hint="default"/>
        <w:color w:val="auto"/>
        <w:sz w:val="22"/>
      </w:rPr>
    </w:lvl>
    <w:lvl w:ilvl="1">
      <w:start w:val="1"/>
      <w:numFmt w:val="bullet"/>
      <w:pStyle w:val="decisionbullet2"/>
      <w:lvlText w:val="‒"/>
      <w:lvlJc w:val="left"/>
      <w:pPr>
        <w:ind w:left="374" w:hanging="17"/>
      </w:pPr>
      <w:rPr>
        <w:rFonts w:ascii="Times New Roman" w:hAnsi="Times New Roman" w:cs="Times New Roman" w:hint="default"/>
        <w:color w:val="auto"/>
        <w:sz w:val="22"/>
      </w:rPr>
    </w:lvl>
    <w:lvl w:ilvl="2">
      <w:start w:val="1"/>
      <w:numFmt w:val="none"/>
      <w:lvlJc w:val="left"/>
      <w:pPr>
        <w:ind w:left="0" w:firstLine="0"/>
      </w:pPr>
      <w:rPr>
        <w:rFonts w:hint="default"/>
      </w:rPr>
    </w:lvl>
    <w:lvl w:ilvl="3">
      <w:start w:val="1"/>
      <w:numFmt w:val="none"/>
      <w:lvlJc w:val="left"/>
      <w:pPr>
        <w:ind w:left="0" w:firstLine="0"/>
      </w:pPr>
      <w:rPr>
        <w:rFonts w:hint="default"/>
      </w:rPr>
    </w:lvl>
    <w:lvl w:ilvl="4">
      <w:start w:val="1"/>
      <w:numFmt w:val="none"/>
      <w:lvlJc w:val="left"/>
      <w:pPr>
        <w:ind w:left="0" w:firstLine="0"/>
      </w:pPr>
      <w:rPr>
        <w:rFonts w:hint="default"/>
      </w:rPr>
    </w:lvl>
    <w:lvl w:ilvl="5">
      <w:start w:val="1"/>
      <w:numFmt w:val="none"/>
      <w:lvlJc w:val="left"/>
      <w:pPr>
        <w:ind w:left="0" w:firstLine="0"/>
      </w:pPr>
      <w:rPr>
        <w:rFonts w:hint="default"/>
      </w:rPr>
    </w:lvl>
    <w:lvl w:ilvl="6">
      <w:start w:val="1"/>
      <w:numFmt w:val="none"/>
      <w:lvlJc w:val="left"/>
      <w:pPr>
        <w:ind w:left="0" w:firstLine="0"/>
      </w:pPr>
      <w:rPr>
        <w:rFonts w:hint="default"/>
      </w:rPr>
    </w:lvl>
    <w:lvl w:ilvl="7">
      <w:start w:val="1"/>
      <w:numFmt w:val="none"/>
      <w:lvlJc w:val="left"/>
      <w:pPr>
        <w:ind w:left="0" w:firstLine="0"/>
      </w:pPr>
      <w:rPr>
        <w:rFonts w:hint="default"/>
      </w:rPr>
    </w:lvl>
    <w:lvl w:ilvl="8">
      <w:start w:val="1"/>
      <w:numFmt w:val="none"/>
      <w:lvlJc w:val="left"/>
      <w:pPr>
        <w:ind w:left="0" w:firstLine="0"/>
      </w:pPr>
      <w:rPr>
        <w:rFonts w:hint="default"/>
      </w:rPr>
    </w:lvl>
  </w:abstractNum>
  <w:abstractNum w:abstractNumId="31">
    <w:nsid w:val="63B261B4"/>
    <w:multiLevelType w:val="hybridMultilevel"/>
    <w:tmpl w:val="EE6C654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64A3C0D7"/>
    <w:multiLevelType w:val="hybridMultilevel"/>
    <w:tmpl w:val="FFFFFFFF"/>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3">
    <w:nsid w:val="651C2EA8"/>
    <w:multiLevelType w:val="hybridMultilevel"/>
    <w:tmpl w:val="447841C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58B40C9"/>
    <w:multiLevelType w:val="hybridMultilevel"/>
    <w:tmpl w:val="340C22C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6260211"/>
    <w:multiLevelType w:val="hybridMultilevel"/>
    <w:tmpl w:val="09C897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23A5CD5"/>
    <w:multiLevelType w:val="hybridMultilevel"/>
    <w:tmpl w:val="447841C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3681F69"/>
    <w:multiLevelType w:val="hybridMultilevel"/>
    <w:tmpl w:val="39780394"/>
    <w:lvl w:ilvl="0">
      <w:start w:val="1"/>
      <w:numFmt w:val="decimal"/>
      <w:lvlText w:val="%1."/>
      <w:lvlJc w:val="left"/>
      <w:pPr>
        <w:ind w:left="360" w:hanging="360"/>
      </w:pPr>
    </w:lvl>
    <w:lvl w:ilvl="1">
      <w:start w:val="1"/>
      <w:numFmt w:val="lowerLetter"/>
      <w:lvlText w:val="(%2)"/>
      <w:lvlJc w:val="left"/>
      <w:pPr>
        <w:ind w:left="1080" w:hanging="360"/>
      </w:pPr>
      <w:rPr>
        <w:rFonts w:hint="default"/>
        <w:sz w:val="18"/>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nsid w:val="73BD6FC1"/>
    <w:multiLevelType w:val="hybridMultilevel"/>
    <w:tmpl w:val="447841C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ECD5979"/>
    <w:multiLevelType w:val="multilevel"/>
    <w:tmpl w:val="0952D680"/>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8"/>
  </w:num>
  <w:num w:numId="3">
    <w:abstractNumId w:val="21"/>
  </w:num>
  <w:num w:numId="4">
    <w:abstractNumId w:val="20"/>
  </w:num>
  <w:num w:numId="5">
    <w:abstractNumId w:val="9"/>
  </w:num>
  <w:num w:numId="6">
    <w:abstractNumId w:val="29"/>
  </w:num>
  <w:num w:numId="7">
    <w:abstractNumId w:val="30"/>
  </w:num>
  <w:num w:numId="8">
    <w:abstractNumId w:val="24"/>
    <w:lvlOverride w:ilvl="0">
      <w:lvl w:ilvl="0">
        <w:start w:val="1"/>
        <w:numFmt w:val="decimal"/>
        <w:pStyle w:val="textenumeration"/>
        <w:lvlText w:val="%1."/>
        <w:lvlJc w:val="left"/>
        <w:pPr>
          <w:ind w:left="357" w:hanging="357"/>
        </w:pPr>
        <w:rPr>
          <w:rFonts w:ascii="Times New Roman" w:hAnsi="Times New Roman" w:hint="default"/>
          <w:sz w:val="22"/>
        </w:rPr>
      </w:lvl>
    </w:lvlOverride>
  </w:num>
  <w:num w:numId="9">
    <w:abstractNumId w:val="12"/>
  </w:num>
  <w:num w:numId="10">
    <w:abstractNumId w:val="5"/>
  </w:num>
  <w:num w:numId="11">
    <w:abstractNumId w:val="10"/>
  </w:num>
  <w:num w:numId="12">
    <w:abstractNumId w:val="13"/>
  </w:num>
  <w:num w:numId="13">
    <w:abstractNumId w:val="37"/>
  </w:num>
  <w:num w:numId="14">
    <w:abstractNumId w:val="18"/>
  </w:num>
  <w:num w:numId="15">
    <w:abstractNumId w:val="4"/>
  </w:num>
  <w:num w:numId="16">
    <w:abstractNumId w:val="24"/>
  </w:num>
  <w:num w:numId="17">
    <w:abstractNumId w:val="22"/>
  </w:num>
  <w:num w:numId="18">
    <w:abstractNumId w:val="36"/>
  </w:num>
  <w:num w:numId="19">
    <w:abstractNumId w:val="7"/>
  </w:num>
  <w:num w:numId="20">
    <w:abstractNumId w:val="17"/>
  </w:num>
  <w:num w:numId="21">
    <w:abstractNumId w:val="33"/>
  </w:num>
  <w:num w:numId="22">
    <w:abstractNumId w:val="6"/>
  </w:num>
  <w:num w:numId="23">
    <w:abstractNumId w:val="3"/>
  </w:num>
  <w:num w:numId="24">
    <w:abstractNumId w:val="15"/>
  </w:num>
  <w:num w:numId="25">
    <w:abstractNumId w:val="0"/>
  </w:num>
  <w:num w:numId="26">
    <w:abstractNumId w:val="38"/>
  </w:num>
  <w:num w:numId="27">
    <w:abstractNumId w:val="25"/>
  </w:num>
  <w:num w:numId="28">
    <w:abstractNumId w:val="34"/>
  </w:num>
  <w:num w:numId="29">
    <w:abstractNumId w:val="26"/>
  </w:num>
  <w:num w:numId="30">
    <w:abstractNumId w:val="27"/>
  </w:num>
  <w:num w:numId="31">
    <w:abstractNumId w:val="35"/>
  </w:num>
  <w:num w:numId="32">
    <w:abstractNumId w:val="28"/>
  </w:num>
  <w:num w:numId="33">
    <w:abstractNumId w:val="14"/>
  </w:num>
  <w:num w:numId="34">
    <w:abstractNumId w:val="19"/>
  </w:num>
  <w:num w:numId="35">
    <w:abstractNumId w:val="11"/>
  </w:num>
  <w:num w:numId="36">
    <w:abstractNumId w:val="16"/>
  </w:num>
  <w:num w:numId="37">
    <w:abstractNumId w:val="31"/>
  </w:num>
  <w:num w:numId="38">
    <w:abstractNumId w:val="32"/>
  </w:num>
  <w:num w:numId="39">
    <w:abstractNumId w:val="2"/>
  </w:num>
  <w:num w:numId="40">
    <w:abstractNumId w:val="1"/>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1E4214"/>
    <w:rsid w:val="00000819"/>
    <w:rsid w:val="00001557"/>
    <w:rsid w:val="00001E5E"/>
    <w:rsid w:val="00005BE4"/>
    <w:rsid w:val="0001487B"/>
    <w:rsid w:val="0001507F"/>
    <w:rsid w:val="00016A93"/>
    <w:rsid w:val="00022CA5"/>
    <w:rsid w:val="0003259E"/>
    <w:rsid w:val="00033B82"/>
    <w:rsid w:val="000369D2"/>
    <w:rsid w:val="00044121"/>
    <w:rsid w:val="00050747"/>
    <w:rsid w:val="00052EC6"/>
    <w:rsid w:val="00063472"/>
    <w:rsid w:val="000644BC"/>
    <w:rsid w:val="00067D98"/>
    <w:rsid w:val="00082CEC"/>
    <w:rsid w:val="00084280"/>
    <w:rsid w:val="00092C67"/>
    <w:rsid w:val="000954BC"/>
    <w:rsid w:val="000A0DE4"/>
    <w:rsid w:val="000A3843"/>
    <w:rsid w:val="000B4157"/>
    <w:rsid w:val="000B794D"/>
    <w:rsid w:val="000C0592"/>
    <w:rsid w:val="000C232B"/>
    <w:rsid w:val="000D0E8A"/>
    <w:rsid w:val="000D5764"/>
    <w:rsid w:val="000D6E3A"/>
    <w:rsid w:val="000E0D1C"/>
    <w:rsid w:val="000E11DE"/>
    <w:rsid w:val="000E52F2"/>
    <w:rsid w:val="000F1AF1"/>
    <w:rsid w:val="000F337E"/>
    <w:rsid w:val="000F4110"/>
    <w:rsid w:val="000F4F73"/>
    <w:rsid w:val="00101A46"/>
    <w:rsid w:val="00102798"/>
    <w:rsid w:val="0010307B"/>
    <w:rsid w:val="00103C5B"/>
    <w:rsid w:val="00105275"/>
    <w:rsid w:val="001118FF"/>
    <w:rsid w:val="00113422"/>
    <w:rsid w:val="001209B1"/>
    <w:rsid w:val="001226F6"/>
    <w:rsid w:val="00126582"/>
    <w:rsid w:val="0013142D"/>
    <w:rsid w:val="00131EE7"/>
    <w:rsid w:val="0013606D"/>
    <w:rsid w:val="001427BC"/>
    <w:rsid w:val="0014463E"/>
    <w:rsid w:val="00145335"/>
    <w:rsid w:val="00145EC7"/>
    <w:rsid w:val="00150F63"/>
    <w:rsid w:val="00155601"/>
    <w:rsid w:val="00163EE3"/>
    <w:rsid w:val="00170CAE"/>
    <w:rsid w:val="001848A3"/>
    <w:rsid w:val="00191958"/>
    <w:rsid w:val="001A75E5"/>
    <w:rsid w:val="001B0315"/>
    <w:rsid w:val="001B3A51"/>
    <w:rsid w:val="001B741A"/>
    <w:rsid w:val="001C0647"/>
    <w:rsid w:val="001C2B18"/>
    <w:rsid w:val="001C3DF9"/>
    <w:rsid w:val="001C59FB"/>
    <w:rsid w:val="001C73EA"/>
    <w:rsid w:val="001D210D"/>
    <w:rsid w:val="001D2E2D"/>
    <w:rsid w:val="001D7A58"/>
    <w:rsid w:val="001D7CCF"/>
    <w:rsid w:val="001E11B1"/>
    <w:rsid w:val="001E1C19"/>
    <w:rsid w:val="001F018A"/>
    <w:rsid w:val="001F12F5"/>
    <w:rsid w:val="001F2A97"/>
    <w:rsid w:val="001F331F"/>
    <w:rsid w:val="001F3FAB"/>
    <w:rsid w:val="00201887"/>
    <w:rsid w:val="002112A9"/>
    <w:rsid w:val="00217F20"/>
    <w:rsid w:val="00222E42"/>
    <w:rsid w:val="00225E61"/>
    <w:rsid w:val="00226C6C"/>
    <w:rsid w:val="00233FB2"/>
    <w:rsid w:val="002414AE"/>
    <w:rsid w:val="00244271"/>
    <w:rsid w:val="0024587D"/>
    <w:rsid w:val="00275B33"/>
    <w:rsid w:val="002802DE"/>
    <w:rsid w:val="00290200"/>
    <w:rsid w:val="00290529"/>
    <w:rsid w:val="00291401"/>
    <w:rsid w:val="00291667"/>
    <w:rsid w:val="00291C45"/>
    <w:rsid w:val="002929AA"/>
    <w:rsid w:val="0029628B"/>
    <w:rsid w:val="002979F3"/>
    <w:rsid w:val="002C71B7"/>
    <w:rsid w:val="002C73CD"/>
    <w:rsid w:val="002E15A3"/>
    <w:rsid w:val="002E4C8A"/>
    <w:rsid w:val="002E727F"/>
    <w:rsid w:val="00303486"/>
    <w:rsid w:val="0030618C"/>
    <w:rsid w:val="00310DC6"/>
    <w:rsid w:val="003114DC"/>
    <w:rsid w:val="00317C2F"/>
    <w:rsid w:val="00322014"/>
    <w:rsid w:val="00322B3B"/>
    <w:rsid w:val="00330460"/>
    <w:rsid w:val="003350D5"/>
    <w:rsid w:val="0033765C"/>
    <w:rsid w:val="003469E0"/>
    <w:rsid w:val="003516C8"/>
    <w:rsid w:val="00361613"/>
    <w:rsid w:val="00364F7A"/>
    <w:rsid w:val="00382234"/>
    <w:rsid w:val="00394D98"/>
    <w:rsid w:val="00395705"/>
    <w:rsid w:val="003A0946"/>
    <w:rsid w:val="003A2BF3"/>
    <w:rsid w:val="003B00E3"/>
    <w:rsid w:val="003B190D"/>
    <w:rsid w:val="003B2159"/>
    <w:rsid w:val="003C0401"/>
    <w:rsid w:val="003C4DE2"/>
    <w:rsid w:val="003D0308"/>
    <w:rsid w:val="003D115B"/>
    <w:rsid w:val="003D6049"/>
    <w:rsid w:val="003E3FB7"/>
    <w:rsid w:val="003E479D"/>
    <w:rsid w:val="003E6E85"/>
    <w:rsid w:val="003F03ED"/>
    <w:rsid w:val="003F21DB"/>
    <w:rsid w:val="003F5B62"/>
    <w:rsid w:val="00412CB1"/>
    <w:rsid w:val="0041565D"/>
    <w:rsid w:val="00425629"/>
    <w:rsid w:val="00427B44"/>
    <w:rsid w:val="00433556"/>
    <w:rsid w:val="004341E1"/>
    <w:rsid w:val="004443BB"/>
    <w:rsid w:val="004468BA"/>
    <w:rsid w:val="00451F34"/>
    <w:rsid w:val="00452056"/>
    <w:rsid w:val="0045373A"/>
    <w:rsid w:val="004570A2"/>
    <w:rsid w:val="00464A08"/>
    <w:rsid w:val="00464F31"/>
    <w:rsid w:val="004701C9"/>
    <w:rsid w:val="00474C32"/>
    <w:rsid w:val="00475BBC"/>
    <w:rsid w:val="004843F2"/>
    <w:rsid w:val="00494187"/>
    <w:rsid w:val="004A2222"/>
    <w:rsid w:val="004A31D3"/>
    <w:rsid w:val="004A35B0"/>
    <w:rsid w:val="004B402B"/>
    <w:rsid w:val="004C1FD8"/>
    <w:rsid w:val="004C2E35"/>
    <w:rsid w:val="004D33E1"/>
    <w:rsid w:val="004D357A"/>
    <w:rsid w:val="004D7DEF"/>
    <w:rsid w:val="004F0C5C"/>
    <w:rsid w:val="004F3892"/>
    <w:rsid w:val="004F4CF7"/>
    <w:rsid w:val="00507263"/>
    <w:rsid w:val="00507F83"/>
    <w:rsid w:val="005156A8"/>
    <w:rsid w:val="00525B23"/>
    <w:rsid w:val="0053458B"/>
    <w:rsid w:val="00534BBC"/>
    <w:rsid w:val="00536C46"/>
    <w:rsid w:val="00545B92"/>
    <w:rsid w:val="005478BF"/>
    <w:rsid w:val="00547AFA"/>
    <w:rsid w:val="00555E69"/>
    <w:rsid w:val="00562773"/>
    <w:rsid w:val="0056367E"/>
    <w:rsid w:val="00565343"/>
    <w:rsid w:val="00567748"/>
    <w:rsid w:val="00586F11"/>
    <w:rsid w:val="00596684"/>
    <w:rsid w:val="005A5281"/>
    <w:rsid w:val="005A73B1"/>
    <w:rsid w:val="005B7924"/>
    <w:rsid w:val="005C3F63"/>
    <w:rsid w:val="005C7BC3"/>
    <w:rsid w:val="005D7612"/>
    <w:rsid w:val="005E00D2"/>
    <w:rsid w:val="005E3ADA"/>
    <w:rsid w:val="005E42D4"/>
    <w:rsid w:val="005E5B2C"/>
    <w:rsid w:val="00621C1C"/>
    <w:rsid w:val="00622E94"/>
    <w:rsid w:val="0062324D"/>
    <w:rsid w:val="00637E86"/>
    <w:rsid w:val="00640D0B"/>
    <w:rsid w:val="00647C3C"/>
    <w:rsid w:val="00657BC8"/>
    <w:rsid w:val="0067566D"/>
    <w:rsid w:val="0067746F"/>
    <w:rsid w:val="00677A3D"/>
    <w:rsid w:val="00685364"/>
    <w:rsid w:val="00687753"/>
    <w:rsid w:val="00692F87"/>
    <w:rsid w:val="00693FE3"/>
    <w:rsid w:val="006950B8"/>
    <w:rsid w:val="0069781D"/>
    <w:rsid w:val="006B4006"/>
    <w:rsid w:val="006C56D4"/>
    <w:rsid w:val="006C64F3"/>
    <w:rsid w:val="006E3446"/>
    <w:rsid w:val="00702CB8"/>
    <w:rsid w:val="00707643"/>
    <w:rsid w:val="00710E86"/>
    <w:rsid w:val="00717BD0"/>
    <w:rsid w:val="00733C96"/>
    <w:rsid w:val="00733F7F"/>
    <w:rsid w:val="00735837"/>
    <w:rsid w:val="00754203"/>
    <w:rsid w:val="0076165D"/>
    <w:rsid w:val="00762113"/>
    <w:rsid w:val="00764B05"/>
    <w:rsid w:val="007739A4"/>
    <w:rsid w:val="00792A3D"/>
    <w:rsid w:val="0079481B"/>
    <w:rsid w:val="0079482A"/>
    <w:rsid w:val="007A0F3B"/>
    <w:rsid w:val="007B3539"/>
    <w:rsid w:val="007B4259"/>
    <w:rsid w:val="007B512E"/>
    <w:rsid w:val="007B7154"/>
    <w:rsid w:val="007C2FD0"/>
    <w:rsid w:val="007C4E87"/>
    <w:rsid w:val="007C7B5D"/>
    <w:rsid w:val="007D1C0C"/>
    <w:rsid w:val="007D43EF"/>
    <w:rsid w:val="007D7A6D"/>
    <w:rsid w:val="007E4BD0"/>
    <w:rsid w:val="008065A4"/>
    <w:rsid w:val="00807D0C"/>
    <w:rsid w:val="00812FCF"/>
    <w:rsid w:val="00813B43"/>
    <w:rsid w:val="008229E7"/>
    <w:rsid w:val="00830E8E"/>
    <w:rsid w:val="0083135B"/>
    <w:rsid w:val="00832B16"/>
    <w:rsid w:val="00835604"/>
    <w:rsid w:val="008403F3"/>
    <w:rsid w:val="00845B49"/>
    <w:rsid w:val="00847545"/>
    <w:rsid w:val="00850519"/>
    <w:rsid w:val="00850635"/>
    <w:rsid w:val="0086207E"/>
    <w:rsid w:val="008638BD"/>
    <w:rsid w:val="00864E32"/>
    <w:rsid w:val="00865A77"/>
    <w:rsid w:val="008709C4"/>
    <w:rsid w:val="0087439F"/>
    <w:rsid w:val="00884061"/>
    <w:rsid w:val="00886F46"/>
    <w:rsid w:val="00886F62"/>
    <w:rsid w:val="0089069E"/>
    <w:rsid w:val="008957EB"/>
    <w:rsid w:val="008A2B51"/>
    <w:rsid w:val="008B5C31"/>
    <w:rsid w:val="008B7A28"/>
    <w:rsid w:val="008C0943"/>
    <w:rsid w:val="008C7757"/>
    <w:rsid w:val="008D4220"/>
    <w:rsid w:val="008D5F71"/>
    <w:rsid w:val="008E1270"/>
    <w:rsid w:val="008E1636"/>
    <w:rsid w:val="008F1008"/>
    <w:rsid w:val="00904FF3"/>
    <w:rsid w:val="00913358"/>
    <w:rsid w:val="00913AA1"/>
    <w:rsid w:val="0091745F"/>
    <w:rsid w:val="009216DF"/>
    <w:rsid w:val="009218BA"/>
    <w:rsid w:val="00926905"/>
    <w:rsid w:val="00936B0F"/>
    <w:rsid w:val="00940F67"/>
    <w:rsid w:val="00952067"/>
    <w:rsid w:val="009523A0"/>
    <w:rsid w:val="00952C1B"/>
    <w:rsid w:val="0095456A"/>
    <w:rsid w:val="00955355"/>
    <w:rsid w:val="00955998"/>
    <w:rsid w:val="00956493"/>
    <w:rsid w:val="009622B1"/>
    <w:rsid w:val="0096428A"/>
    <w:rsid w:val="009669EA"/>
    <w:rsid w:val="0096716F"/>
    <w:rsid w:val="00973EC3"/>
    <w:rsid w:val="00975822"/>
    <w:rsid w:val="009761BD"/>
    <w:rsid w:val="009800DE"/>
    <w:rsid w:val="00993A4B"/>
    <w:rsid w:val="00994D68"/>
    <w:rsid w:val="009A07AA"/>
    <w:rsid w:val="009B6A74"/>
    <w:rsid w:val="009C0DD3"/>
    <w:rsid w:val="009C124A"/>
    <w:rsid w:val="009C3862"/>
    <w:rsid w:val="009D09EC"/>
    <w:rsid w:val="009D32E5"/>
    <w:rsid w:val="009D3A39"/>
    <w:rsid w:val="009D3E03"/>
    <w:rsid w:val="009D445F"/>
    <w:rsid w:val="009D4AAC"/>
    <w:rsid w:val="009D6927"/>
    <w:rsid w:val="00A045E2"/>
    <w:rsid w:val="00A0505F"/>
    <w:rsid w:val="00A0727E"/>
    <w:rsid w:val="00A10308"/>
    <w:rsid w:val="00A110CC"/>
    <w:rsid w:val="00A1146E"/>
    <w:rsid w:val="00A14B0C"/>
    <w:rsid w:val="00A210D3"/>
    <w:rsid w:val="00A24CDA"/>
    <w:rsid w:val="00A360E4"/>
    <w:rsid w:val="00A400B3"/>
    <w:rsid w:val="00A67324"/>
    <w:rsid w:val="00A71979"/>
    <w:rsid w:val="00A7552C"/>
    <w:rsid w:val="00A81116"/>
    <w:rsid w:val="00A8149B"/>
    <w:rsid w:val="00A84D66"/>
    <w:rsid w:val="00A86557"/>
    <w:rsid w:val="00A91184"/>
    <w:rsid w:val="00AA246C"/>
    <w:rsid w:val="00AA3A63"/>
    <w:rsid w:val="00AA4BD1"/>
    <w:rsid w:val="00AB3A3D"/>
    <w:rsid w:val="00AB3BFD"/>
    <w:rsid w:val="00AC1927"/>
    <w:rsid w:val="00AC2C0E"/>
    <w:rsid w:val="00AC71A9"/>
    <w:rsid w:val="00AD592B"/>
    <w:rsid w:val="00AD72AB"/>
    <w:rsid w:val="00AE1B30"/>
    <w:rsid w:val="00AF2469"/>
    <w:rsid w:val="00AF646E"/>
    <w:rsid w:val="00B05794"/>
    <w:rsid w:val="00B20361"/>
    <w:rsid w:val="00B23AF1"/>
    <w:rsid w:val="00B35BD6"/>
    <w:rsid w:val="00B45826"/>
    <w:rsid w:val="00B46211"/>
    <w:rsid w:val="00B500FC"/>
    <w:rsid w:val="00B515DB"/>
    <w:rsid w:val="00B548DF"/>
    <w:rsid w:val="00B5493A"/>
    <w:rsid w:val="00B54A7B"/>
    <w:rsid w:val="00B54CED"/>
    <w:rsid w:val="00B6042F"/>
    <w:rsid w:val="00B64C14"/>
    <w:rsid w:val="00B65B3A"/>
    <w:rsid w:val="00B67BC9"/>
    <w:rsid w:val="00B71142"/>
    <w:rsid w:val="00B97942"/>
    <w:rsid w:val="00BA50AB"/>
    <w:rsid w:val="00BA51AC"/>
    <w:rsid w:val="00BA6662"/>
    <w:rsid w:val="00BA685D"/>
    <w:rsid w:val="00BD1817"/>
    <w:rsid w:val="00BD2155"/>
    <w:rsid w:val="00BD21C6"/>
    <w:rsid w:val="00BD6BD2"/>
    <w:rsid w:val="00BE1D71"/>
    <w:rsid w:val="00BE2C7B"/>
    <w:rsid w:val="00BE6E18"/>
    <w:rsid w:val="00BF5D9C"/>
    <w:rsid w:val="00C00337"/>
    <w:rsid w:val="00C01CD8"/>
    <w:rsid w:val="00C10942"/>
    <w:rsid w:val="00C11C23"/>
    <w:rsid w:val="00C123CE"/>
    <w:rsid w:val="00C232C7"/>
    <w:rsid w:val="00C2408E"/>
    <w:rsid w:val="00C3310A"/>
    <w:rsid w:val="00C36116"/>
    <w:rsid w:val="00C4348E"/>
    <w:rsid w:val="00C624C4"/>
    <w:rsid w:val="00C66431"/>
    <w:rsid w:val="00C664FF"/>
    <w:rsid w:val="00C67948"/>
    <w:rsid w:val="00C7108D"/>
    <w:rsid w:val="00C72602"/>
    <w:rsid w:val="00C72F77"/>
    <w:rsid w:val="00C76DC4"/>
    <w:rsid w:val="00C778E9"/>
    <w:rsid w:val="00C862A0"/>
    <w:rsid w:val="00CA19E8"/>
    <w:rsid w:val="00CA2AC3"/>
    <w:rsid w:val="00CA336C"/>
    <w:rsid w:val="00CC6F10"/>
    <w:rsid w:val="00CD0075"/>
    <w:rsid w:val="00CE51F0"/>
    <w:rsid w:val="00CF357B"/>
    <w:rsid w:val="00D0419D"/>
    <w:rsid w:val="00D044A4"/>
    <w:rsid w:val="00D06DA0"/>
    <w:rsid w:val="00D11D3B"/>
    <w:rsid w:val="00D26C47"/>
    <w:rsid w:val="00D3463B"/>
    <w:rsid w:val="00D34AF5"/>
    <w:rsid w:val="00D46136"/>
    <w:rsid w:val="00D55BE3"/>
    <w:rsid w:val="00D63BDC"/>
    <w:rsid w:val="00D63D41"/>
    <w:rsid w:val="00D713DE"/>
    <w:rsid w:val="00D921EB"/>
    <w:rsid w:val="00D97331"/>
    <w:rsid w:val="00DA265D"/>
    <w:rsid w:val="00DA5B4F"/>
    <w:rsid w:val="00DA6515"/>
    <w:rsid w:val="00DB45EA"/>
    <w:rsid w:val="00DD71CF"/>
    <w:rsid w:val="00DE5A60"/>
    <w:rsid w:val="00DF0276"/>
    <w:rsid w:val="00DF660D"/>
    <w:rsid w:val="00DF6E87"/>
    <w:rsid w:val="00E259F7"/>
    <w:rsid w:val="00E34374"/>
    <w:rsid w:val="00E37F51"/>
    <w:rsid w:val="00E421D4"/>
    <w:rsid w:val="00E43CA3"/>
    <w:rsid w:val="00E468F7"/>
    <w:rsid w:val="00E47228"/>
    <w:rsid w:val="00E55056"/>
    <w:rsid w:val="00E56460"/>
    <w:rsid w:val="00E70333"/>
    <w:rsid w:val="00E74F6D"/>
    <w:rsid w:val="00E80A66"/>
    <w:rsid w:val="00E82DE4"/>
    <w:rsid w:val="00E8414A"/>
    <w:rsid w:val="00E844F3"/>
    <w:rsid w:val="00E85F51"/>
    <w:rsid w:val="00E917CA"/>
    <w:rsid w:val="00E97C93"/>
    <w:rsid w:val="00E97D8B"/>
    <w:rsid w:val="00EA052D"/>
    <w:rsid w:val="00EA0D9F"/>
    <w:rsid w:val="00EA0FDE"/>
    <w:rsid w:val="00EA48FB"/>
    <w:rsid w:val="00EA7690"/>
    <w:rsid w:val="00EB088B"/>
    <w:rsid w:val="00EC0240"/>
    <w:rsid w:val="00EC59D5"/>
    <w:rsid w:val="00ED168E"/>
    <w:rsid w:val="00EE2DC7"/>
    <w:rsid w:val="00EF36B2"/>
    <w:rsid w:val="00EF4AA4"/>
    <w:rsid w:val="00EF54C7"/>
    <w:rsid w:val="00EF60D2"/>
    <w:rsid w:val="00EF66F8"/>
    <w:rsid w:val="00EF716E"/>
    <w:rsid w:val="00EF7A46"/>
    <w:rsid w:val="00F0188C"/>
    <w:rsid w:val="00F06101"/>
    <w:rsid w:val="00F10727"/>
    <w:rsid w:val="00F11819"/>
    <w:rsid w:val="00F126B8"/>
    <w:rsid w:val="00F314BA"/>
    <w:rsid w:val="00F32D1A"/>
    <w:rsid w:val="00F3405C"/>
    <w:rsid w:val="00F45DC8"/>
    <w:rsid w:val="00F52A00"/>
    <w:rsid w:val="00F543EE"/>
    <w:rsid w:val="00F7382D"/>
    <w:rsid w:val="00F75525"/>
    <w:rsid w:val="00F7721E"/>
    <w:rsid w:val="00F82755"/>
    <w:rsid w:val="00F85382"/>
    <w:rsid w:val="00F93B50"/>
    <w:rsid w:val="00F96CA8"/>
    <w:rsid w:val="00FB214A"/>
    <w:rsid w:val="00FB40CE"/>
    <w:rsid w:val="00FC155F"/>
    <w:rsid w:val="00FC7EB9"/>
    <w:rsid w:val="00FD0BFE"/>
    <w:rsid w:val="00FD381D"/>
    <w:rsid w:val="00FD391F"/>
    <w:rsid w:val="00FD420F"/>
    <w:rsid w:val="00FF1806"/>
    <w:rsid w:val="010716F0"/>
    <w:rsid w:val="0160A867"/>
    <w:rsid w:val="016EBC10"/>
    <w:rsid w:val="0255086B"/>
    <w:rsid w:val="033A21D2"/>
    <w:rsid w:val="03BD2524"/>
    <w:rsid w:val="0404A858"/>
    <w:rsid w:val="048E5DB3"/>
    <w:rsid w:val="049CA417"/>
    <w:rsid w:val="05D7FD19"/>
    <w:rsid w:val="05F516E8"/>
    <w:rsid w:val="0623762B"/>
    <w:rsid w:val="062A2E14"/>
    <w:rsid w:val="066E2A92"/>
    <w:rsid w:val="06E9D5FA"/>
    <w:rsid w:val="072F01D5"/>
    <w:rsid w:val="07C5FE75"/>
    <w:rsid w:val="083B577D"/>
    <w:rsid w:val="08ABB371"/>
    <w:rsid w:val="08BA36CE"/>
    <w:rsid w:val="09DD4A16"/>
    <w:rsid w:val="0A56939A"/>
    <w:rsid w:val="0B0C1935"/>
    <w:rsid w:val="0BC630C2"/>
    <w:rsid w:val="0C3139AD"/>
    <w:rsid w:val="0C962054"/>
    <w:rsid w:val="0CC7CEDB"/>
    <w:rsid w:val="0D2B1DDD"/>
    <w:rsid w:val="0D86DF49"/>
    <w:rsid w:val="0EB8431D"/>
    <w:rsid w:val="0EC56940"/>
    <w:rsid w:val="0F77219C"/>
    <w:rsid w:val="0FF161A6"/>
    <w:rsid w:val="10D710F0"/>
    <w:rsid w:val="10E2F534"/>
    <w:rsid w:val="11414AAC"/>
    <w:rsid w:val="114F5E55"/>
    <w:rsid w:val="1153ECDD"/>
    <w:rsid w:val="11A397DD"/>
    <w:rsid w:val="11B86921"/>
    <w:rsid w:val="1326342F"/>
    <w:rsid w:val="138265F4"/>
    <w:rsid w:val="14429FA0"/>
    <w:rsid w:val="14B9B863"/>
    <w:rsid w:val="15BEF396"/>
    <w:rsid w:val="15ED9590"/>
    <w:rsid w:val="16041870"/>
    <w:rsid w:val="16A2D792"/>
    <w:rsid w:val="16C2F05B"/>
    <w:rsid w:val="16D039BB"/>
    <w:rsid w:val="1781639F"/>
    <w:rsid w:val="18C1A565"/>
    <w:rsid w:val="18F9E19E"/>
    <w:rsid w:val="191E4214"/>
    <w:rsid w:val="19BC8A9A"/>
    <w:rsid w:val="1A7D0818"/>
    <w:rsid w:val="1A7E2BA0"/>
    <w:rsid w:val="1B85170A"/>
    <w:rsid w:val="1B865098"/>
    <w:rsid w:val="1BB3B7C0"/>
    <w:rsid w:val="1BFED4D2"/>
    <w:rsid w:val="1CE4514B"/>
    <w:rsid w:val="1E3322BA"/>
    <w:rsid w:val="1E57F424"/>
    <w:rsid w:val="1E7144B5"/>
    <w:rsid w:val="1EA6FF56"/>
    <w:rsid w:val="1F86534C"/>
    <w:rsid w:val="209CAEA4"/>
    <w:rsid w:val="20A8DADC"/>
    <w:rsid w:val="2119361D"/>
    <w:rsid w:val="21843FBB"/>
    <w:rsid w:val="21A97CEF"/>
    <w:rsid w:val="21B95E2E"/>
    <w:rsid w:val="21CEBFBC"/>
    <w:rsid w:val="222BB95D"/>
    <w:rsid w:val="22BDF40E"/>
    <w:rsid w:val="22E98A37"/>
    <w:rsid w:val="22EFE4D8"/>
    <w:rsid w:val="2323C26A"/>
    <w:rsid w:val="23909D33"/>
    <w:rsid w:val="23ED8D8F"/>
    <w:rsid w:val="2413FF4C"/>
    <w:rsid w:val="2464AC04"/>
    <w:rsid w:val="24C39CC7"/>
    <w:rsid w:val="25150B9F"/>
    <w:rsid w:val="2577BD77"/>
    <w:rsid w:val="258476E3"/>
    <w:rsid w:val="25E1F733"/>
    <w:rsid w:val="26D18C41"/>
    <w:rsid w:val="27155440"/>
    <w:rsid w:val="27181C60"/>
    <w:rsid w:val="272238F9"/>
    <w:rsid w:val="2749D9A6"/>
    <w:rsid w:val="2756BE5F"/>
    <w:rsid w:val="27E242E5"/>
    <w:rsid w:val="27F3813F"/>
    <w:rsid w:val="29A65EAE"/>
    <w:rsid w:val="29DB6109"/>
    <w:rsid w:val="2A144B54"/>
    <w:rsid w:val="2BA27294"/>
    <w:rsid w:val="2BFCC7A7"/>
    <w:rsid w:val="2C26346E"/>
    <w:rsid w:val="2CF978F6"/>
    <w:rsid w:val="2D6714DA"/>
    <w:rsid w:val="2ECA9906"/>
    <w:rsid w:val="2EE23946"/>
    <w:rsid w:val="2EFF1E6C"/>
    <w:rsid w:val="2F1846C9"/>
    <w:rsid w:val="2FA03E1A"/>
    <w:rsid w:val="2FF52301"/>
    <w:rsid w:val="30B250C2"/>
    <w:rsid w:val="311DEC3F"/>
    <w:rsid w:val="31F1C83F"/>
    <w:rsid w:val="32400D7A"/>
    <w:rsid w:val="34373AA0"/>
    <w:rsid w:val="345D80ED"/>
    <w:rsid w:val="35321FD5"/>
    <w:rsid w:val="353B74B5"/>
    <w:rsid w:val="363C15CD"/>
    <w:rsid w:val="36D74516"/>
    <w:rsid w:val="3702DB3E"/>
    <w:rsid w:val="39B9AA36"/>
    <w:rsid w:val="39BDD37E"/>
    <w:rsid w:val="39F4ED99"/>
    <w:rsid w:val="39F61C89"/>
    <w:rsid w:val="3A86C802"/>
    <w:rsid w:val="3A8FB515"/>
    <w:rsid w:val="3AB39894"/>
    <w:rsid w:val="3B004457"/>
    <w:rsid w:val="3B7CD846"/>
    <w:rsid w:val="3C239CAB"/>
    <w:rsid w:val="3CAC5951"/>
    <w:rsid w:val="3CCB0B73"/>
    <w:rsid w:val="3D1E1059"/>
    <w:rsid w:val="3ED14861"/>
    <w:rsid w:val="3F50EAD9"/>
    <w:rsid w:val="3F97A830"/>
    <w:rsid w:val="3FE983D8"/>
    <w:rsid w:val="40561B74"/>
    <w:rsid w:val="40B0E5A7"/>
    <w:rsid w:val="40DBAE35"/>
    <w:rsid w:val="4297CE34"/>
    <w:rsid w:val="430336E0"/>
    <w:rsid w:val="43BF3A00"/>
    <w:rsid w:val="4442DB7C"/>
    <w:rsid w:val="444CC6F2"/>
    <w:rsid w:val="44526FF5"/>
    <w:rsid w:val="452EE96C"/>
    <w:rsid w:val="45568A19"/>
    <w:rsid w:val="45636ED2"/>
    <w:rsid w:val="4672BD9B"/>
    <w:rsid w:val="4694684D"/>
    <w:rsid w:val="46F85CCC"/>
    <w:rsid w:val="47823CA5"/>
    <w:rsid w:val="4783D03C"/>
    <w:rsid w:val="48489C74"/>
    <w:rsid w:val="4912C17D"/>
    <w:rsid w:val="493A2F59"/>
    <w:rsid w:val="49A32C55"/>
    <w:rsid w:val="4A391198"/>
    <w:rsid w:val="4A676A47"/>
    <w:rsid w:val="4BD7D5A3"/>
    <w:rsid w:val="4CC1A4BA"/>
    <w:rsid w:val="4D31DBF5"/>
    <w:rsid w:val="4D854B34"/>
    <w:rsid w:val="4FE90FF6"/>
    <w:rsid w:val="50443ED0"/>
    <w:rsid w:val="504AF1D3"/>
    <w:rsid w:val="51A9BE7D"/>
    <w:rsid w:val="5235D76A"/>
    <w:rsid w:val="52AE24CF"/>
    <w:rsid w:val="52D4968C"/>
    <w:rsid w:val="52EA1103"/>
    <w:rsid w:val="52F25175"/>
    <w:rsid w:val="53268703"/>
    <w:rsid w:val="54B4F935"/>
    <w:rsid w:val="54C09672"/>
    <w:rsid w:val="55922381"/>
    <w:rsid w:val="56727ADC"/>
    <w:rsid w:val="5762DEEA"/>
    <w:rsid w:val="57B0F154"/>
    <w:rsid w:val="580E4B3D"/>
    <w:rsid w:val="585A73B5"/>
    <w:rsid w:val="5881D02A"/>
    <w:rsid w:val="58E023B2"/>
    <w:rsid w:val="5ABF2B01"/>
    <w:rsid w:val="5AF3B067"/>
    <w:rsid w:val="5AF4DF57"/>
    <w:rsid w:val="5B0CE5D4"/>
    <w:rsid w:val="5BC917BF"/>
    <w:rsid w:val="5C36ED1E"/>
    <w:rsid w:val="5C5A7C8F"/>
    <w:rsid w:val="5D127E3A"/>
    <w:rsid w:val="5E0E925F"/>
    <w:rsid w:val="5EB4D2D6"/>
    <w:rsid w:val="5F764A2A"/>
    <w:rsid w:val="5FF7ABDC"/>
    <w:rsid w:val="60966AFE"/>
    <w:rsid w:val="6271FB7E"/>
    <w:rsid w:val="631D7F35"/>
    <w:rsid w:val="63701F45"/>
    <w:rsid w:val="63FB40F9"/>
    <w:rsid w:val="646F461B"/>
    <w:rsid w:val="65169FB3"/>
    <w:rsid w:val="6524B35C"/>
    <w:rsid w:val="65605700"/>
    <w:rsid w:val="6582085F"/>
    <w:rsid w:val="65B68DC5"/>
    <w:rsid w:val="65C3727E"/>
    <w:rsid w:val="66389646"/>
    <w:rsid w:val="66551FF7"/>
    <w:rsid w:val="66A1FE8B"/>
    <w:rsid w:val="66D844A7"/>
    <w:rsid w:val="6871DA06"/>
    <w:rsid w:val="687DD346"/>
    <w:rsid w:val="6974A282"/>
    <w:rsid w:val="69D899FC"/>
    <w:rsid w:val="6A9FCD46"/>
    <w:rsid w:val="6AC76DF3"/>
    <w:rsid w:val="6AF50886"/>
    <w:rsid w:val="6B46ABC4"/>
    <w:rsid w:val="6B662D15"/>
    <w:rsid w:val="6B7311CE"/>
    <w:rsid w:val="6B9BE16B"/>
    <w:rsid w:val="6C1BE985"/>
    <w:rsid w:val="6C656EFC"/>
    <w:rsid w:val="6D0267FE"/>
    <w:rsid w:val="6D91DFA1"/>
    <w:rsid w:val="6DB9804E"/>
    <w:rsid w:val="6E2CA948"/>
    <w:rsid w:val="6E583F70"/>
    <w:rsid w:val="701FBD89"/>
    <w:rsid w:val="70709415"/>
    <w:rsid w:val="70744D09"/>
    <w:rsid w:val="7115CC65"/>
    <w:rsid w:val="71F9DB4C"/>
    <w:rsid w:val="726C4130"/>
    <w:rsid w:val="72D90B9D"/>
    <w:rsid w:val="72EEAE58"/>
    <w:rsid w:val="72FBFD76"/>
    <w:rsid w:val="730E287B"/>
    <w:rsid w:val="738546F0"/>
    <w:rsid w:val="73A9D99B"/>
    <w:rsid w:val="73ACE79D"/>
    <w:rsid w:val="74C44C70"/>
    <w:rsid w:val="74D6C38D"/>
    <w:rsid w:val="7642D3E5"/>
    <w:rsid w:val="764402D5"/>
    <w:rsid w:val="766C9FA1"/>
    <w:rsid w:val="76CE8DC4"/>
    <w:rsid w:val="77146EBD"/>
    <w:rsid w:val="7B53B413"/>
    <w:rsid w:val="7BB10916"/>
    <w:rsid w:val="7C08AE4B"/>
    <w:rsid w:val="7D1C36B1"/>
    <w:rsid w:val="7D6389F7"/>
    <w:rsid w:val="7D7281E6"/>
    <w:rsid w:val="7E56DADA"/>
    <w:rsid w:val="7F0D552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5:chartTrackingRefBased/>
  <w15:docId w15:val="{FD8D83BE-D258-421E-A4EF-56BAC7E1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88B"/>
    <w:pPr>
      <w:spacing w:after="0" w:line="240" w:lineRule="auto"/>
    </w:pPr>
    <w:rPr>
      <w:lang w:val="en-GB"/>
    </w:rPr>
  </w:style>
  <w:style w:type="paragraph" w:styleId="Heading1">
    <w:name w:val="heading 1"/>
    <w:basedOn w:val="Normal"/>
    <w:next w:val="Normal"/>
    <w:link w:val="Heading1Char"/>
    <w:uiPriority w:val="9"/>
    <w:qFormat/>
    <w:rsid w:val="0083560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regular">
    <w:name w:val="text regular"/>
    <w:basedOn w:val="Normal"/>
    <w:link w:val="textregularZchn"/>
    <w:qFormat/>
    <w:rsid w:val="00EB088B"/>
    <w:pPr>
      <w:spacing w:after="120"/>
      <w:jc w:val="both"/>
    </w:pPr>
  </w:style>
  <w:style w:type="paragraph" w:customStyle="1" w:styleId="headline1">
    <w:name w:val="headline 1"/>
    <w:basedOn w:val="textregular"/>
    <w:uiPriority w:val="2"/>
    <w:qFormat/>
    <w:rsid w:val="00EB088B"/>
    <w:pPr>
      <w:spacing w:before="400" w:line="340" w:lineRule="exact"/>
      <w:outlineLvl w:val="0"/>
    </w:pPr>
    <w:rPr>
      <w:rFonts w:ascii="Times New Roman" w:hAnsi="Times New Roman" w:cstheme="majorHAnsi"/>
      <w:b/>
      <w:color w:val="44546A" w:themeColor="text2"/>
      <w:sz w:val="24"/>
      <w:szCs w:val="28"/>
    </w:rPr>
  </w:style>
  <w:style w:type="paragraph" w:customStyle="1" w:styleId="headline3">
    <w:name w:val="headline 3"/>
    <w:basedOn w:val="textregular"/>
    <w:uiPriority w:val="2"/>
    <w:qFormat/>
    <w:rsid w:val="00EB088B"/>
    <w:pPr>
      <w:spacing w:after="20"/>
      <w:outlineLvl w:val="2"/>
    </w:pPr>
    <w:rPr>
      <w:b/>
    </w:rPr>
  </w:style>
  <w:style w:type="paragraph" w:customStyle="1" w:styleId="headline2">
    <w:name w:val="headline 2"/>
    <w:basedOn w:val="textregular"/>
    <w:uiPriority w:val="2"/>
    <w:qFormat/>
    <w:rsid w:val="00EB088B"/>
    <w:pPr>
      <w:spacing w:line="260" w:lineRule="exact"/>
      <w:jc w:val="center"/>
      <w:outlineLvl w:val="1"/>
    </w:pPr>
    <w:rPr>
      <w:rFonts w:ascii="Times New Roman" w:hAnsi="Times New Roman" w:cstheme="majorHAnsi"/>
      <w:b/>
      <w:color w:val="44546A" w:themeColor="text2"/>
      <w:sz w:val="24"/>
      <w:szCs w:val="24"/>
    </w:rPr>
  </w:style>
  <w:style w:type="character" w:styleId="CommentReference">
    <w:name w:val="annotation reference"/>
    <w:basedOn w:val="DefaultParagraphFont"/>
    <w:semiHidden/>
    <w:unhideWhenUsed/>
    <w:rsid w:val="00EB088B"/>
    <w:rPr>
      <w:sz w:val="16"/>
      <w:szCs w:val="16"/>
    </w:rPr>
  </w:style>
  <w:style w:type="paragraph" w:styleId="CommentText">
    <w:name w:val="annotation text"/>
    <w:basedOn w:val="Normal"/>
    <w:link w:val="CommentTextChar"/>
    <w:unhideWhenUsed/>
    <w:rsid w:val="00EB088B"/>
    <w:rPr>
      <w:sz w:val="20"/>
      <w:szCs w:val="20"/>
    </w:rPr>
  </w:style>
  <w:style w:type="character" w:customStyle="1" w:styleId="CommentTextChar">
    <w:name w:val="Comment Text Char"/>
    <w:basedOn w:val="DefaultParagraphFont"/>
    <w:link w:val="CommentText"/>
    <w:rsid w:val="00EB088B"/>
    <w:rPr>
      <w:sz w:val="20"/>
      <w:szCs w:val="20"/>
      <w:lang w:val="en-GB"/>
    </w:rPr>
  </w:style>
  <w:style w:type="paragraph" w:styleId="ListParagraph">
    <w:name w:val="List Paragraph"/>
    <w:aliases w:val="Odstavec1,Puce"/>
    <w:basedOn w:val="Normal"/>
    <w:link w:val="ListParagraphChar"/>
    <w:uiPriority w:val="34"/>
    <w:qFormat/>
    <w:rsid w:val="00EB088B"/>
    <w:pPr>
      <w:spacing w:after="160" w:line="259" w:lineRule="auto"/>
      <w:ind w:left="720"/>
      <w:contextualSpacing/>
      <w:jc w:val="both"/>
    </w:pPr>
    <w:rPr>
      <w:lang w:val="fi-FI"/>
    </w:rPr>
  </w:style>
  <w:style w:type="character" w:customStyle="1" w:styleId="textregularZchn">
    <w:name w:val="text regular Zchn"/>
    <w:basedOn w:val="DefaultParagraphFont"/>
    <w:link w:val="textregular"/>
    <w:locked/>
    <w:rsid w:val="00EB088B"/>
    <w:rPr>
      <w:lang w:val="en-GB"/>
    </w:rPr>
  </w:style>
  <w:style w:type="character" w:customStyle="1" w:styleId="ListParagraphChar">
    <w:name w:val="List Paragraph Char"/>
    <w:aliases w:val="Odstavec1 Char,Puce Char"/>
    <w:basedOn w:val="DefaultParagraphFont"/>
    <w:link w:val="ListParagraph"/>
    <w:uiPriority w:val="34"/>
    <w:locked/>
    <w:rsid w:val="00EB088B"/>
    <w:rPr>
      <w:lang w:val="fi-FI"/>
    </w:rPr>
  </w:style>
  <w:style w:type="character" w:customStyle="1" w:styleId="Heading1Char">
    <w:name w:val="Heading 1 Char"/>
    <w:basedOn w:val="DefaultParagraphFont"/>
    <w:link w:val="Heading1"/>
    <w:uiPriority w:val="9"/>
    <w:rsid w:val="00835604"/>
    <w:rPr>
      <w:rFonts w:asciiTheme="majorHAnsi" w:eastAsiaTheme="majorEastAsia" w:hAnsiTheme="majorHAnsi" w:cstheme="majorBidi"/>
      <w:b/>
      <w:bCs/>
      <w:color w:val="2F5496" w:themeColor="accent1" w:themeShade="BF"/>
      <w:sz w:val="28"/>
      <w:szCs w:val="28"/>
      <w:lang w:val="en-GB"/>
    </w:rPr>
  </w:style>
  <w:style w:type="table" w:styleId="TableGrid">
    <w:name w:val="Table Grid"/>
    <w:basedOn w:val="TableNormal"/>
    <w:uiPriority w:val="39"/>
    <w:rsid w:val="00835604"/>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604"/>
    <w:pPr>
      <w:tabs>
        <w:tab w:val="center" w:pos="4536"/>
        <w:tab w:val="right" w:pos="9072"/>
      </w:tabs>
    </w:pPr>
  </w:style>
  <w:style w:type="character" w:customStyle="1" w:styleId="HeaderChar">
    <w:name w:val="Header Char"/>
    <w:basedOn w:val="DefaultParagraphFont"/>
    <w:link w:val="Header"/>
    <w:uiPriority w:val="99"/>
    <w:rsid w:val="00835604"/>
    <w:rPr>
      <w:lang w:val="en-GB"/>
    </w:rPr>
  </w:style>
  <w:style w:type="paragraph" w:styleId="Footer">
    <w:name w:val="footer"/>
    <w:basedOn w:val="Normal"/>
    <w:link w:val="FooterChar"/>
    <w:uiPriority w:val="99"/>
    <w:rsid w:val="00835604"/>
    <w:pPr>
      <w:tabs>
        <w:tab w:val="center" w:pos="4536"/>
        <w:tab w:val="right" w:pos="9072"/>
      </w:tabs>
    </w:pPr>
  </w:style>
  <w:style w:type="character" w:customStyle="1" w:styleId="FooterChar">
    <w:name w:val="Footer Char"/>
    <w:basedOn w:val="DefaultParagraphFont"/>
    <w:link w:val="Footer"/>
    <w:uiPriority w:val="99"/>
    <w:rsid w:val="00835604"/>
    <w:rPr>
      <w:lang w:val="en-GB"/>
    </w:rPr>
  </w:style>
  <w:style w:type="paragraph" w:styleId="BalloonText">
    <w:name w:val="Balloon Text"/>
    <w:basedOn w:val="Normal"/>
    <w:link w:val="BalloonTextChar"/>
    <w:uiPriority w:val="99"/>
    <w:semiHidden/>
    <w:unhideWhenUsed/>
    <w:rsid w:val="00835604"/>
    <w:rPr>
      <w:rFonts w:ascii="Tahoma" w:hAnsi="Tahoma" w:cs="Tahoma"/>
      <w:sz w:val="16"/>
      <w:szCs w:val="16"/>
    </w:rPr>
  </w:style>
  <w:style w:type="character" w:customStyle="1" w:styleId="BalloonTextChar">
    <w:name w:val="Balloon Text Char"/>
    <w:basedOn w:val="DefaultParagraphFont"/>
    <w:link w:val="BalloonText"/>
    <w:uiPriority w:val="99"/>
    <w:semiHidden/>
    <w:rsid w:val="00835604"/>
    <w:rPr>
      <w:rFonts w:ascii="Tahoma" w:hAnsi="Tahoma" w:cs="Tahoma"/>
      <w:sz w:val="16"/>
      <w:szCs w:val="16"/>
      <w:lang w:val="en-GB"/>
    </w:rPr>
  </w:style>
  <w:style w:type="paragraph" w:customStyle="1" w:styleId="headlineheader">
    <w:name w:val="headline header"/>
    <w:basedOn w:val="textregular"/>
    <w:uiPriority w:val="1"/>
    <w:qFormat/>
    <w:rsid w:val="00835604"/>
    <w:pPr>
      <w:framePr w:hSpace="142" w:vSpace="5528" w:wrap="around" w:vAnchor="page" w:hAnchor="page" w:x="1362" w:y="5104"/>
      <w:spacing w:before="100" w:beforeAutospacing="1" w:after="100" w:afterAutospacing="1" w:line="276" w:lineRule="auto"/>
      <w:jc w:val="center"/>
    </w:pPr>
    <w:rPr>
      <w:rFonts w:asciiTheme="majorHAnsi" w:hAnsiTheme="majorHAnsi" w:cstheme="minorHAnsi"/>
      <w:b/>
      <w:color w:val="000000" w:themeColor="text1"/>
      <w:sz w:val="36"/>
      <w:szCs w:val="36"/>
    </w:rPr>
  </w:style>
  <w:style w:type="paragraph" w:customStyle="1" w:styleId="textheader">
    <w:name w:val="text header"/>
    <w:basedOn w:val="textregular"/>
    <w:uiPriority w:val="1"/>
    <w:qFormat/>
    <w:rsid w:val="00835604"/>
    <w:pPr>
      <w:spacing w:after="400" w:line="500" w:lineRule="exact"/>
    </w:pPr>
    <w:rPr>
      <w:rFonts w:asciiTheme="majorHAnsi" w:hAnsiTheme="majorHAnsi" w:cstheme="majorHAnsi"/>
      <w:color w:val="44546A" w:themeColor="text2"/>
      <w:sz w:val="40"/>
      <w:szCs w:val="40"/>
      <w:lang w:val="en-US"/>
    </w:rPr>
  </w:style>
  <w:style w:type="paragraph" w:customStyle="1" w:styleId="time">
    <w:name w:val="time"/>
    <w:basedOn w:val="textregular"/>
    <w:uiPriority w:val="1"/>
    <w:qFormat/>
    <w:rsid w:val="00835604"/>
    <w:pPr>
      <w:framePr w:hSpace="142" w:vSpace="5528" w:wrap="around" w:vAnchor="page" w:hAnchor="page" w:x="1362" w:y="5104"/>
      <w:spacing w:before="100" w:beforeAutospacing="1" w:after="100" w:afterAutospacing="1" w:line="276" w:lineRule="auto"/>
    </w:pPr>
    <w:rPr>
      <w:rFonts w:cstheme="minorHAnsi"/>
      <w:color w:val="000000" w:themeColor="text1"/>
      <w:sz w:val="29"/>
      <w:szCs w:val="29"/>
    </w:rPr>
  </w:style>
  <w:style w:type="character" w:styleId="PlaceholderText">
    <w:name w:val="Placeholder Text"/>
    <w:basedOn w:val="DefaultParagraphFont"/>
    <w:uiPriority w:val="99"/>
    <w:semiHidden/>
    <w:rsid w:val="00835604"/>
    <w:rPr>
      <w:color w:val="808080"/>
    </w:rPr>
  </w:style>
  <w:style w:type="numbering" w:customStyle="1" w:styleId="XXXList">
    <w:name w:val="XXX_List"/>
    <w:basedOn w:val="NoList"/>
    <w:uiPriority w:val="99"/>
    <w:rsid w:val="00835604"/>
    <w:pPr>
      <w:numPr>
        <w:numId w:val="6"/>
      </w:numPr>
    </w:pPr>
  </w:style>
  <w:style w:type="paragraph" w:styleId="TOC1">
    <w:name w:val="toc 1"/>
    <w:basedOn w:val="Normal"/>
    <w:next w:val="Normal"/>
    <w:autoRedefine/>
    <w:uiPriority w:val="39"/>
    <w:unhideWhenUsed/>
    <w:rsid w:val="00835604"/>
    <w:pPr>
      <w:tabs>
        <w:tab w:val="left" w:pos="1100"/>
        <w:tab w:val="right" w:leader="dot" w:pos="9514"/>
      </w:tabs>
      <w:spacing w:after="120" w:line="276" w:lineRule="auto"/>
    </w:pPr>
    <w:rPr>
      <w:rFonts w:asciiTheme="majorHAnsi" w:hAnsiTheme="majorHAnsi"/>
    </w:rPr>
  </w:style>
  <w:style w:type="paragraph" w:styleId="TOCHeading">
    <w:name w:val="TOC Heading"/>
    <w:basedOn w:val="Heading1"/>
    <w:next w:val="Normal"/>
    <w:uiPriority w:val="39"/>
    <w:unhideWhenUsed/>
    <w:qFormat/>
    <w:rsid w:val="00835604"/>
    <w:pPr>
      <w:spacing w:line="276" w:lineRule="auto"/>
      <w:outlineLvl w:val="9"/>
    </w:pPr>
  </w:style>
  <w:style w:type="character" w:styleId="Hyperlink">
    <w:name w:val="Hyperlink"/>
    <w:basedOn w:val="DefaultParagraphFont"/>
    <w:uiPriority w:val="99"/>
    <w:rsid w:val="00835604"/>
    <w:rPr>
      <w:color w:val="0563C1" w:themeColor="hyperlink"/>
      <w:u w:val="single"/>
    </w:rPr>
  </w:style>
  <w:style w:type="paragraph" w:customStyle="1" w:styleId="decisionhead">
    <w:name w:val="decision head"/>
    <w:basedOn w:val="textregular"/>
    <w:uiPriority w:val="3"/>
    <w:qFormat/>
    <w:rsid w:val="00835604"/>
    <w:pPr>
      <w:pBdr>
        <w:top w:val="single" w:sz="24" w:space="1" w:color="FFC000" w:themeColor="accent4"/>
        <w:left w:val="single" w:sz="24" w:space="4" w:color="FFC000" w:themeColor="accent4"/>
        <w:bottom w:val="single" w:sz="24" w:space="1" w:color="FFC000" w:themeColor="accent4"/>
        <w:right w:val="single" w:sz="24" w:space="4" w:color="FFC000" w:themeColor="accent4"/>
      </w:pBdr>
      <w:shd w:val="clear" w:color="auto" w:fill="FFC000" w:themeFill="accent4"/>
      <w:spacing w:after="0" w:line="260" w:lineRule="exact"/>
      <w:ind w:left="170" w:right="170"/>
    </w:pPr>
    <w:rPr>
      <w:rFonts w:asciiTheme="majorHAnsi" w:hAnsiTheme="majorHAnsi" w:cstheme="majorHAnsi"/>
      <w:b/>
      <w:color w:val="44546A" w:themeColor="text2"/>
      <w:sz w:val="24"/>
      <w:szCs w:val="24"/>
    </w:rPr>
  </w:style>
  <w:style w:type="numbering" w:customStyle="1" w:styleId="XXXBulletList">
    <w:name w:val="XXX_Bullet List"/>
    <w:basedOn w:val="NoList"/>
    <w:uiPriority w:val="99"/>
    <w:rsid w:val="00835604"/>
    <w:pPr>
      <w:numPr>
        <w:numId w:val="7"/>
      </w:numPr>
    </w:pPr>
  </w:style>
  <w:style w:type="paragraph" w:customStyle="1" w:styleId="decisionbullet1">
    <w:name w:val="decision bullet 1"/>
    <w:basedOn w:val="textregular"/>
    <w:uiPriority w:val="4"/>
    <w:qFormat/>
    <w:rsid w:val="00835604"/>
    <w:pPr>
      <w:numPr>
        <w:numId w:val="7"/>
      </w:numPr>
      <w:pBdr>
        <w:top w:val="single" w:sz="24" w:space="0" w:color="FFC000" w:themeColor="accent4"/>
        <w:left w:val="single" w:sz="24" w:space="4" w:color="FFC000" w:themeColor="accent4"/>
        <w:bottom w:val="single" w:sz="24" w:space="0" w:color="FFC000" w:themeColor="accent4"/>
        <w:right w:val="single" w:sz="24" w:space="4" w:color="FFC000" w:themeColor="accent4"/>
      </w:pBdr>
      <w:shd w:val="clear" w:color="auto" w:fill="FFC000" w:themeFill="accent4"/>
      <w:spacing w:after="0"/>
      <w:ind w:right="170"/>
    </w:pPr>
  </w:style>
  <w:style w:type="paragraph" w:customStyle="1" w:styleId="decisionbullet2">
    <w:name w:val="decision bullet 2"/>
    <w:basedOn w:val="textregular"/>
    <w:uiPriority w:val="4"/>
    <w:qFormat/>
    <w:rsid w:val="00835604"/>
    <w:pPr>
      <w:numPr>
        <w:ilvl w:val="1"/>
        <w:numId w:val="7"/>
      </w:numPr>
      <w:pBdr>
        <w:top w:val="single" w:sz="24" w:space="1" w:color="FFC000" w:themeColor="accent4"/>
        <w:left w:val="single" w:sz="24" w:space="21" w:color="FFC000" w:themeColor="accent4"/>
        <w:bottom w:val="single" w:sz="24" w:space="1" w:color="FFC000" w:themeColor="accent4"/>
        <w:right w:val="single" w:sz="24" w:space="4" w:color="FFC000" w:themeColor="accent4"/>
      </w:pBdr>
      <w:shd w:val="clear" w:color="auto" w:fill="FFC000" w:themeFill="accent4"/>
      <w:spacing w:after="0"/>
      <w:ind w:right="170"/>
    </w:pPr>
  </w:style>
  <w:style w:type="numbering" w:customStyle="1" w:styleId="XXXNummerierung">
    <w:name w:val="XXX_Nummerierung"/>
    <w:basedOn w:val="NoList"/>
    <w:uiPriority w:val="99"/>
    <w:rsid w:val="00835604"/>
    <w:pPr>
      <w:numPr>
        <w:numId w:val="16"/>
      </w:numPr>
    </w:pPr>
  </w:style>
  <w:style w:type="paragraph" w:customStyle="1" w:styleId="textenumeration">
    <w:name w:val="text enumeration"/>
    <w:basedOn w:val="textregular"/>
    <w:uiPriority w:val="4"/>
    <w:qFormat/>
    <w:rsid w:val="00835604"/>
    <w:pPr>
      <w:numPr>
        <w:numId w:val="16"/>
      </w:numPr>
      <w:contextualSpacing/>
    </w:pPr>
  </w:style>
  <w:style w:type="numbering" w:customStyle="1" w:styleId="XXXtextbullets">
    <w:name w:val="XXX_text bullets"/>
    <w:basedOn w:val="NoList"/>
    <w:uiPriority w:val="99"/>
    <w:rsid w:val="00835604"/>
    <w:pPr>
      <w:numPr>
        <w:numId w:val="9"/>
      </w:numPr>
    </w:pPr>
  </w:style>
  <w:style w:type="paragraph" w:customStyle="1" w:styleId="textbullets">
    <w:name w:val="text bullets"/>
    <w:basedOn w:val="textregular"/>
    <w:uiPriority w:val="5"/>
    <w:qFormat/>
    <w:rsid w:val="00835604"/>
    <w:pPr>
      <w:numPr>
        <w:numId w:val="9"/>
      </w:numPr>
      <w:contextualSpacing/>
    </w:pPr>
  </w:style>
  <w:style w:type="table" w:customStyle="1" w:styleId="EntsoeeinfacheTabelle">
    <w:name w:val="Entsoe | einfache Tabelle"/>
    <w:basedOn w:val="TableNormal"/>
    <w:uiPriority w:val="99"/>
    <w:qFormat/>
    <w:rsid w:val="00835604"/>
    <w:pPr>
      <w:spacing w:after="0" w:line="240" w:lineRule="auto"/>
    </w:pPr>
    <w:rPr>
      <w:lang w:val="de-DE"/>
    </w:rPr>
    <w:tblPr>
      <w:tblStyleRowBandSize w:val="1"/>
      <w:tblBorders>
        <w:insideV w:val="single" w:sz="12" w:space="0" w:color="FFFFFF" w:themeColor="background1"/>
      </w:tblBorders>
      <w:tblCellMar>
        <w:top w:w="28" w:type="dxa"/>
      </w:tblCellMar>
    </w:tblPr>
    <w:tblStylePr w:type="firstRow">
      <w:pPr>
        <w:wordWrap/>
        <w:spacing w:afterLines="0" w:afterAutospacing="0" w:line="340" w:lineRule="exact"/>
      </w:pPr>
      <w:rPr>
        <w:rFonts w:asciiTheme="majorHAnsi" w:hAnsiTheme="majorHAnsi"/>
        <w:b/>
        <w:color w:val="44546A" w:themeColor="text2"/>
        <w:sz w:val="28"/>
      </w:rPr>
    </w:tblStylePr>
    <w:tblStylePr w:type="band1Horz">
      <w:tblPr/>
      <w:tcPr>
        <w:shd w:val="clear" w:color="auto" w:fill="D9D9D9" w:themeFill="background1" w:themeFillShade="D9"/>
      </w:tcPr>
    </w:tblStylePr>
  </w:style>
  <w:style w:type="paragraph" w:customStyle="1" w:styleId="footnote1">
    <w:name w:val="footnote 1"/>
    <w:basedOn w:val="textregular"/>
    <w:uiPriority w:val="6"/>
    <w:qFormat/>
    <w:rsid w:val="00835604"/>
    <w:pPr>
      <w:pBdr>
        <w:top w:val="single" w:sz="8" w:space="11" w:color="auto"/>
      </w:pBdr>
      <w:spacing w:after="0"/>
    </w:pPr>
    <w:rPr>
      <w:sz w:val="19"/>
    </w:rPr>
  </w:style>
  <w:style w:type="paragraph" w:customStyle="1" w:styleId="footnote2">
    <w:name w:val="footnote 2"/>
    <w:basedOn w:val="textregular"/>
    <w:uiPriority w:val="6"/>
    <w:qFormat/>
    <w:rsid w:val="00835604"/>
    <w:pPr>
      <w:spacing w:after="0"/>
    </w:pPr>
    <w:rPr>
      <w:sz w:val="19"/>
    </w:rPr>
  </w:style>
  <w:style w:type="paragraph" w:styleId="TOC3">
    <w:name w:val="toc 3"/>
    <w:basedOn w:val="Normal"/>
    <w:next w:val="Normal"/>
    <w:autoRedefine/>
    <w:uiPriority w:val="39"/>
    <w:unhideWhenUsed/>
    <w:rsid w:val="00DF660D"/>
    <w:pPr>
      <w:tabs>
        <w:tab w:val="left" w:pos="1320"/>
        <w:tab w:val="right" w:leader="dot" w:pos="9514"/>
      </w:tabs>
      <w:spacing w:after="100"/>
      <w:ind w:left="440"/>
    </w:pPr>
  </w:style>
  <w:style w:type="paragraph" w:styleId="TOC2">
    <w:name w:val="toc 2"/>
    <w:basedOn w:val="Normal"/>
    <w:next w:val="Normal"/>
    <w:autoRedefine/>
    <w:uiPriority w:val="39"/>
    <w:unhideWhenUsed/>
    <w:rsid w:val="00E55056"/>
    <w:pPr>
      <w:tabs>
        <w:tab w:val="left" w:pos="880"/>
        <w:tab w:val="right" w:leader="dot" w:pos="9514"/>
      </w:tabs>
      <w:spacing w:after="100"/>
      <w:ind w:left="220"/>
    </w:pPr>
  </w:style>
  <w:style w:type="paragraph" w:styleId="Title">
    <w:name w:val="Title"/>
    <w:basedOn w:val="Normal"/>
    <w:next w:val="Normal"/>
    <w:link w:val="TitleChar"/>
    <w:uiPriority w:val="10"/>
    <w:qFormat/>
    <w:rsid w:val="00835604"/>
    <w:pPr>
      <w:contextualSpacing/>
    </w:pPr>
    <w:rPr>
      <w:rFonts w:asciiTheme="majorHAnsi" w:eastAsiaTheme="majorEastAsia" w:hAnsiTheme="majorHAnsi" w:cstheme="majorBidi"/>
      <w:spacing w:val="-10"/>
      <w:kern w:val="28"/>
      <w:sz w:val="56"/>
      <w:szCs w:val="56"/>
      <w:lang w:val="fi-FI"/>
    </w:rPr>
  </w:style>
  <w:style w:type="character" w:customStyle="1" w:styleId="TitleChar">
    <w:name w:val="Title Char"/>
    <w:basedOn w:val="DefaultParagraphFont"/>
    <w:link w:val="Title"/>
    <w:uiPriority w:val="10"/>
    <w:rsid w:val="00835604"/>
    <w:rPr>
      <w:rFonts w:asciiTheme="majorHAnsi" w:eastAsiaTheme="majorEastAsia" w:hAnsiTheme="majorHAnsi" w:cstheme="majorBidi"/>
      <w:spacing w:val="-10"/>
      <w:kern w:val="28"/>
      <w:sz w:val="56"/>
      <w:szCs w:val="56"/>
      <w:lang w:val="fi-FI"/>
    </w:rPr>
  </w:style>
  <w:style w:type="paragraph" w:styleId="FootnoteText">
    <w:name w:val="footnote text"/>
    <w:aliases w:val="footnotes"/>
    <w:basedOn w:val="Normal"/>
    <w:link w:val="FootnoteTextChar"/>
    <w:unhideWhenUsed/>
    <w:rsid w:val="00835604"/>
    <w:rPr>
      <w:sz w:val="20"/>
      <w:szCs w:val="20"/>
    </w:rPr>
  </w:style>
  <w:style w:type="character" w:customStyle="1" w:styleId="FootnoteTextChar">
    <w:name w:val="Footnote Text Char"/>
    <w:aliases w:val="footnotes Char"/>
    <w:basedOn w:val="DefaultParagraphFont"/>
    <w:link w:val="FootnoteText"/>
    <w:rsid w:val="00835604"/>
    <w:rPr>
      <w:sz w:val="20"/>
      <w:szCs w:val="20"/>
      <w:lang w:val="en-GB"/>
    </w:rPr>
  </w:style>
  <w:style w:type="character" w:styleId="FootnoteReference">
    <w:name w:val="footnote reference"/>
    <w:basedOn w:val="DefaultParagraphFont"/>
    <w:semiHidden/>
    <w:unhideWhenUsed/>
    <w:rsid w:val="00835604"/>
    <w:rPr>
      <w:vertAlign w:val="superscript"/>
    </w:rPr>
  </w:style>
  <w:style w:type="paragraph" w:styleId="CommentSubject">
    <w:name w:val="annotation subject"/>
    <w:basedOn w:val="CommentText"/>
    <w:next w:val="CommentText"/>
    <w:link w:val="CommentSubjectChar"/>
    <w:uiPriority w:val="99"/>
    <w:semiHidden/>
    <w:unhideWhenUsed/>
    <w:rsid w:val="00835604"/>
    <w:pPr>
      <w:spacing w:after="160"/>
    </w:pPr>
    <w:rPr>
      <w:b/>
      <w:bCs/>
      <w:lang w:val="fi-FI"/>
    </w:rPr>
  </w:style>
  <w:style w:type="character" w:customStyle="1" w:styleId="CommentSubjectChar">
    <w:name w:val="Comment Subject Char"/>
    <w:basedOn w:val="CommentTextChar"/>
    <w:link w:val="CommentSubject"/>
    <w:uiPriority w:val="99"/>
    <w:semiHidden/>
    <w:rsid w:val="00835604"/>
    <w:rPr>
      <w:b/>
      <w:bCs/>
      <w:sz w:val="20"/>
      <w:szCs w:val="20"/>
      <w:lang w:val="fi-FI"/>
    </w:rPr>
  </w:style>
  <w:style w:type="character" w:customStyle="1" w:styleId="KommentintekstiChar">
    <w:name w:val="Kommentin teksti Char"/>
    <w:basedOn w:val="DefaultParagraphFont"/>
    <w:uiPriority w:val="99"/>
    <w:rsid w:val="00835604"/>
    <w:rPr>
      <w:sz w:val="20"/>
      <w:szCs w:val="20"/>
    </w:rPr>
  </w:style>
  <w:style w:type="paragraph" w:customStyle="1" w:styleId="Default">
    <w:name w:val="Default"/>
    <w:rsid w:val="00835604"/>
    <w:pPr>
      <w:autoSpaceDE w:val="0"/>
      <w:autoSpaceDN w:val="0"/>
      <w:adjustRightInd w:val="0"/>
      <w:spacing w:after="0" w:line="240" w:lineRule="auto"/>
    </w:pPr>
    <w:rPr>
      <w:rFonts w:ascii="EUAlbertina" w:hAnsi="EUAlbertina" w:cs="EUAlbertina"/>
      <w:color w:val="000000"/>
      <w:sz w:val="24"/>
      <w:szCs w:val="24"/>
      <w:lang w:val="de-AT"/>
    </w:rPr>
  </w:style>
  <w:style w:type="character" w:customStyle="1" w:styleId="AlaviitteentekstiChar">
    <w:name w:val="Alaviitteen teksti Char"/>
    <w:basedOn w:val="DefaultParagraphFont"/>
    <w:uiPriority w:val="99"/>
    <w:semiHidden/>
    <w:rsid w:val="00835604"/>
    <w:rPr>
      <w:sz w:val="20"/>
      <w:szCs w:val="20"/>
    </w:rPr>
  </w:style>
  <w:style w:type="character" w:customStyle="1" w:styleId="descriptionid1siteid2571">
    <w:name w:val="descriptionid1siteid2571"/>
    <w:basedOn w:val="DefaultParagraphFont"/>
    <w:rsid w:val="00835604"/>
    <w:rPr>
      <w:rFonts w:ascii="Arial" w:hAnsi="Arial" w:cs="Arial" w:hint="default"/>
      <w:color w:val="666666"/>
      <w:sz w:val="18"/>
      <w:szCs w:val="18"/>
    </w:rPr>
  </w:style>
  <w:style w:type="paragraph" w:customStyle="1" w:styleId="Normln1">
    <w:name w:val="Normální1"/>
    <w:aliases w:val="ČEPS Arial"/>
    <w:basedOn w:val="Normal"/>
    <w:rsid w:val="00835604"/>
    <w:rPr>
      <w:rFonts w:ascii="Calibri" w:hAnsi="Calibri" w:cs="Times New Roman"/>
      <w:lang w:val="pl-PL"/>
    </w:rPr>
  </w:style>
  <w:style w:type="character" w:styleId="FollowedHyperlink">
    <w:name w:val="FollowedHyperlink"/>
    <w:basedOn w:val="DefaultParagraphFont"/>
    <w:uiPriority w:val="99"/>
    <w:semiHidden/>
    <w:unhideWhenUsed/>
    <w:rsid w:val="00835604"/>
    <w:rPr>
      <w:color w:val="954F72" w:themeColor="followedHyperlink"/>
      <w:u w:val="single"/>
    </w:rPr>
  </w:style>
  <w:style w:type="paragraph" w:styleId="Revision">
    <w:name w:val="Revision"/>
    <w:hidden/>
    <w:uiPriority w:val="99"/>
    <w:semiHidden/>
    <w:rsid w:val="00835604"/>
    <w:pPr>
      <w:spacing w:after="0" w:line="240" w:lineRule="auto"/>
    </w:pPr>
    <w:rPr>
      <w:lang w:val="fi-FI"/>
    </w:rPr>
  </w:style>
  <w:style w:type="paragraph" w:styleId="NormalWeb">
    <w:name w:val="Normal (Web)"/>
    <w:basedOn w:val="Normal"/>
    <w:uiPriority w:val="99"/>
    <w:unhideWhenUsed/>
    <w:rsid w:val="00835604"/>
    <w:pPr>
      <w:spacing w:before="100" w:beforeAutospacing="1" w:after="100" w:afterAutospacing="1"/>
    </w:pPr>
    <w:rPr>
      <w:rFonts w:ascii="Times New Roman" w:eastAsia="Times New Roman" w:hAnsi="Times New Roman" w:cs="Times New Roman"/>
      <w:sz w:val="24"/>
      <w:szCs w:val="24"/>
      <w:lang w:val="en-US"/>
    </w:rPr>
  </w:style>
  <w:style w:type="paragraph" w:customStyle="1" w:styleId="NumPar1">
    <w:name w:val="NumPar 1"/>
    <w:basedOn w:val="Normal"/>
    <w:next w:val="Normal"/>
    <w:rsid w:val="00835604"/>
    <w:pPr>
      <w:numPr>
        <w:numId w:val="11"/>
      </w:numPr>
      <w:spacing w:before="120" w:after="120"/>
      <w:jc w:val="both"/>
    </w:pPr>
    <w:rPr>
      <w:rFonts w:ascii="Times New Roman" w:hAnsi="Times New Roman" w:cs="Times New Roman"/>
      <w:sz w:val="24"/>
    </w:rPr>
  </w:style>
  <w:style w:type="paragraph" w:customStyle="1" w:styleId="NumPar2">
    <w:name w:val="NumPar 2"/>
    <w:basedOn w:val="Normal"/>
    <w:next w:val="Normal"/>
    <w:rsid w:val="00835604"/>
    <w:pPr>
      <w:numPr>
        <w:ilvl w:val="1"/>
        <w:numId w:val="11"/>
      </w:numPr>
      <w:spacing w:before="120" w:after="120"/>
      <w:jc w:val="both"/>
    </w:pPr>
    <w:rPr>
      <w:rFonts w:ascii="Times New Roman" w:hAnsi="Times New Roman" w:cs="Times New Roman"/>
      <w:sz w:val="24"/>
    </w:rPr>
  </w:style>
  <w:style w:type="paragraph" w:customStyle="1" w:styleId="NumPar3">
    <w:name w:val="NumPar 3"/>
    <w:basedOn w:val="Normal"/>
    <w:next w:val="Normal"/>
    <w:rsid w:val="00835604"/>
    <w:pPr>
      <w:numPr>
        <w:ilvl w:val="2"/>
        <w:numId w:val="11"/>
      </w:numPr>
      <w:spacing w:before="120" w:after="120"/>
      <w:jc w:val="both"/>
    </w:pPr>
    <w:rPr>
      <w:rFonts w:ascii="Times New Roman" w:hAnsi="Times New Roman" w:cs="Times New Roman"/>
      <w:sz w:val="24"/>
    </w:rPr>
  </w:style>
  <w:style w:type="paragraph" w:customStyle="1" w:styleId="NumPar4">
    <w:name w:val="NumPar 4"/>
    <w:basedOn w:val="Normal"/>
    <w:next w:val="Normal"/>
    <w:rsid w:val="00835604"/>
    <w:pPr>
      <w:numPr>
        <w:ilvl w:val="3"/>
        <w:numId w:val="11"/>
      </w:numPr>
      <w:spacing w:before="120" w:after="120"/>
      <w:jc w:val="both"/>
    </w:pPr>
    <w:rPr>
      <w:rFonts w:ascii="Times New Roman" w:hAnsi="Times New Roman" w:cs="Times New Roman"/>
      <w:sz w:val="24"/>
    </w:rPr>
  </w:style>
  <w:style w:type="paragraph" w:styleId="Caption">
    <w:name w:val="caption"/>
    <w:basedOn w:val="Normal"/>
    <w:next w:val="Normal"/>
    <w:uiPriority w:val="35"/>
    <w:unhideWhenUsed/>
    <w:qFormat/>
    <w:rsid w:val="00835604"/>
    <w:pPr>
      <w:spacing w:after="200"/>
    </w:pPr>
    <w:rPr>
      <w:i/>
      <w:iCs/>
      <w:color w:val="44546A" w:themeColor="text2"/>
      <w:sz w:val="18"/>
      <w:szCs w:val="18"/>
    </w:rPr>
  </w:style>
  <w:style w:type="character" w:styleId="LineNumber">
    <w:name w:val="line number"/>
    <w:basedOn w:val="DefaultParagraphFont"/>
    <w:uiPriority w:val="99"/>
    <w:semiHidden/>
    <w:unhideWhenUsed/>
    <w:rsid w:val="00835604"/>
  </w:style>
  <w:style w:type="paragraph" w:customStyle="1" w:styleId="Standard1">
    <w:name w:val="Standard1"/>
    <w:basedOn w:val="Normal"/>
    <w:rsid w:val="00835604"/>
    <w:pPr>
      <w:spacing w:before="120"/>
      <w:jc w:val="both"/>
    </w:pPr>
    <w:rPr>
      <w:rFonts w:ascii="Times New Roman" w:eastAsia="Times New Roman" w:hAnsi="Times New Roman" w:cs="Times New Roman"/>
      <w:sz w:val="24"/>
      <w:szCs w:val="24"/>
      <w:lang w:val="fr-FR" w:eastAsia="fr-FR"/>
    </w:rPr>
  </w:style>
  <w:style w:type="character" w:customStyle="1" w:styleId="normaltextrun">
    <w:name w:val="normaltextrun"/>
    <w:basedOn w:val="DefaultParagraphFont"/>
    <w:rsid w:val="0083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image" Target="media/image4.png" /><Relationship Id="rId12" Type="http://schemas.openxmlformats.org/officeDocument/2006/relationships/image" Target="media/image5.png" /><Relationship Id="rId13" Type="http://schemas.openxmlformats.org/officeDocument/2006/relationships/image" Target="media/image6.png" /><Relationship Id="rId14" Type="http://schemas.openxmlformats.org/officeDocument/2006/relationships/image" Target="media/image7.png" /><Relationship Id="rId15" Type="http://schemas.openxmlformats.org/officeDocument/2006/relationships/image" Target="media/image8.png" /><Relationship Id="rId16" Type="http://schemas.openxmlformats.org/officeDocument/2006/relationships/image" Target="media/image9.png" /><Relationship Id="rId17" Type="http://schemas.openxmlformats.org/officeDocument/2006/relationships/image" Target="media/image10.png" /><Relationship Id="rId18" Type="http://schemas.openxmlformats.org/officeDocument/2006/relationships/image" Target="media/image11.png" /><Relationship Id="rId19" Type="http://schemas.openxmlformats.org/officeDocument/2006/relationships/image" Target="media/image12.png" /><Relationship Id="rId2" Type="http://schemas.openxmlformats.org/officeDocument/2006/relationships/webSettings" Target="webSettings.xml" /><Relationship Id="rId20" Type="http://schemas.openxmlformats.org/officeDocument/2006/relationships/image" Target="media/image13.png" /><Relationship Id="rId21" Type="http://schemas.openxmlformats.org/officeDocument/2006/relationships/image" Target="media/image14.png" /><Relationship Id="rId22" Type="http://schemas.openxmlformats.org/officeDocument/2006/relationships/image" Target="media/image15.png" /><Relationship Id="rId23" Type="http://schemas.openxmlformats.org/officeDocument/2006/relationships/image" Target="media/image16.png" /><Relationship Id="rId24" Type="http://schemas.openxmlformats.org/officeDocument/2006/relationships/image" Target="media/image17.png" /><Relationship Id="rId25" Type="http://schemas.openxmlformats.org/officeDocument/2006/relationships/image" Target="media/image18.png" /><Relationship Id="rId26" Type="http://schemas.openxmlformats.org/officeDocument/2006/relationships/header" Target="header1.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37C69AEBA05985418C024B886C6D9793" ma:contentTypeVersion="4" ma:contentTypeDescription="Kurkite naują dokumentą." ma:contentTypeScope="" ma:versionID="97ec9a41995574dad003b65c538c0baf">
  <xsd:schema xmlns:xsd="http://www.w3.org/2001/XMLSchema" xmlns:xs="http://www.w3.org/2001/XMLSchema" xmlns:p="http://schemas.microsoft.com/office/2006/metadata/properties" xmlns:ns2="3d5f3d19-05f1-4da4-9963-0cb5775ce148" targetNamespace="http://schemas.microsoft.com/office/2006/metadata/properties" ma:root="true" ma:fieldsID="221f2facd7246f64445577ab72f5380b" ns2:_="">
    <xsd:import namespace="3d5f3d19-05f1-4da4-9963-0cb5775ce1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f3d19-05f1-4da4-9963-0cb5775ce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556D4-BE5F-4548-9359-7421B00482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76FBCD-25EB-4E75-9F0E-1117B64DF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f3d19-05f1-4da4-9963-0cb5775ce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FEF30E-5A91-4AAD-B259-043F6BC393D3}">
  <ds:schemaRefs>
    <ds:schemaRef ds:uri="http://schemas.microsoft.com/sharepoint/v3/contenttype/forms"/>
  </ds:schemaRefs>
</ds:datastoreItem>
</file>

<file path=customXml/itemProps4.xml><?xml version="1.0" encoding="utf-8"?>
<ds:datastoreItem xmlns:ds="http://schemas.openxmlformats.org/officeDocument/2006/customXml" ds:itemID="{3F50BCFD-4480-4D4A-A4BB-642BE159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20</Pages>
  <Words>5480</Words>
  <Characters>31790</Characters>
  <Application>Microsoft Office Word</Application>
  <DocSecurity>0</DocSecurity>
  <Lines>264</Lines>
  <Paragraphs>74</Paragraphs>
  <ScaleCrop>false</ScaleCrop>
  <Company/>
  <LinksUpToDate>false</LinksUpToDate>
  <CharactersWithSpaces>37196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 Koduvere</dc:creator>
  <cp:lastModifiedBy>Hardi Koduvere</cp:lastModifiedBy>
  <cp:revision>379</cp:revision>
  <dcterms:created xsi:type="dcterms:W3CDTF">2022-07-11T07:56:00Z</dcterms:created>
  <dcterms:modified xsi:type="dcterms:W3CDTF">2022-09-20T12:54:00Z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0x01010037C69AEBA05985418C024B886C6D9793</vt:lpwstr>
  </property>
  <property fmtid="{D5CDD505-2E9C-101B-9397-08002B2CF9AE}" pid="3" name="MSIP_Label_32ae7b5d-0aac-474b-ae2b-02c331ef2874_ActionId">
    <vt:lpwstr>6a3dcd63-be3b-438b-b214-0d5135d03022</vt:lpwstr>
  </property>
  <property fmtid="{D5CDD505-2E9C-101B-9397-08002B2CF9AE}" pid="4" name="MSIP_Label_32ae7b5d-0aac-474b-ae2b-02c331ef2874_ContentBits">
    <vt:lpwstr>0</vt:lpwstr>
  </property>
  <property fmtid="{D5CDD505-2E9C-101B-9397-08002B2CF9AE}" pid="5" name="MSIP_Label_32ae7b5d-0aac-474b-ae2b-02c331ef2874_Enabled">
    <vt:lpwstr>true</vt:lpwstr>
  </property>
  <property fmtid="{D5CDD505-2E9C-101B-9397-08002B2CF9AE}" pid="6" name="MSIP_Label_32ae7b5d-0aac-474b-ae2b-02c331ef2874_Method">
    <vt:lpwstr>Privileged</vt:lpwstr>
  </property>
  <property fmtid="{D5CDD505-2E9C-101B-9397-08002B2CF9AE}" pid="7" name="MSIP_Label_32ae7b5d-0aac-474b-ae2b-02c331ef2874_Name">
    <vt:lpwstr>VIDINĖ</vt:lpwstr>
  </property>
  <property fmtid="{D5CDD505-2E9C-101B-9397-08002B2CF9AE}" pid="8" name="MSIP_Label_32ae7b5d-0aac-474b-ae2b-02c331ef2874_SetDate">
    <vt:lpwstr>2022-07-11T07:56:25Z</vt:lpwstr>
  </property>
  <property fmtid="{D5CDD505-2E9C-101B-9397-08002B2CF9AE}" pid="9" name="MSIP_Label_32ae7b5d-0aac-474b-ae2b-02c331ef2874_SiteId">
    <vt:lpwstr>86bcf768-7bcf-4cd6-b041-b219988b7a9c</vt:lpwstr>
  </property>
</Properties>
</file>