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2F7A" w14:textId="73B76D42" w:rsidR="00E95FDC" w:rsidRPr="005D66C5" w:rsidRDefault="005E1DFC" w:rsidP="00E77B9A">
      <w:pPr>
        <w:pStyle w:val="Heading2"/>
        <w:spacing w:befor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Consultation document on </w:t>
      </w:r>
      <w:r w:rsidR="00B239AA" w:rsidRPr="005D66C5">
        <w:rPr>
          <w:rFonts w:ascii="Times New Roman" w:hAnsi="Times New Roman" w:cs="Times New Roman"/>
          <w:b/>
          <w:bCs/>
          <w:color w:val="auto"/>
          <w:sz w:val="28"/>
          <w:szCs w:val="28"/>
        </w:rPr>
        <w:t xml:space="preserve">Common principles for market information publication </w:t>
      </w:r>
    </w:p>
    <w:p w14:paraId="462FED8B" w14:textId="2A493172" w:rsidR="00B239AA" w:rsidRPr="005D66C5" w:rsidRDefault="00B239AA" w:rsidP="0003442B">
      <w:pPr>
        <w:jc w:val="both"/>
        <w:rPr>
          <w:rFonts w:ascii="Times New Roman" w:hAnsi="Times New Roman" w:cs="Times New Roman"/>
        </w:rPr>
      </w:pPr>
    </w:p>
    <w:p w14:paraId="36F12C1A" w14:textId="3E874B9A" w:rsidR="005C5BE4" w:rsidRDefault="005C5BE4" w:rsidP="0003442B">
      <w:pPr>
        <w:jc w:val="both"/>
        <w:rPr>
          <w:rFonts w:ascii="Times New Roman" w:hAnsi="Times New Roman" w:cs="Times New Roman"/>
        </w:rPr>
      </w:pPr>
      <w:r w:rsidRPr="005D66C5">
        <w:rPr>
          <w:rFonts w:ascii="Times New Roman" w:hAnsi="Times New Roman" w:cs="Times New Roman"/>
        </w:rPr>
        <w:t>In order to align the publication principles used in the Baltic-Finnish market area the T</w:t>
      </w:r>
      <w:r w:rsidR="004379D6">
        <w:rPr>
          <w:rFonts w:ascii="Times New Roman" w:hAnsi="Times New Roman" w:cs="Times New Roman"/>
        </w:rPr>
        <w:t>ransmission system operators (T</w:t>
      </w:r>
      <w:r w:rsidRPr="005D66C5">
        <w:rPr>
          <w:rFonts w:ascii="Times New Roman" w:hAnsi="Times New Roman" w:cs="Times New Roman"/>
        </w:rPr>
        <w:t>SOs</w:t>
      </w:r>
      <w:r w:rsidR="004379D6">
        <w:rPr>
          <w:rFonts w:ascii="Times New Roman" w:hAnsi="Times New Roman" w:cs="Times New Roman"/>
        </w:rPr>
        <w:t>)</w:t>
      </w:r>
      <w:r w:rsidRPr="005D66C5">
        <w:rPr>
          <w:rFonts w:ascii="Times New Roman" w:hAnsi="Times New Roman" w:cs="Times New Roman"/>
        </w:rPr>
        <w:t xml:space="preserve"> of the market area have </w:t>
      </w:r>
      <w:r w:rsidR="003E71D5">
        <w:rPr>
          <w:rFonts w:ascii="Times New Roman" w:hAnsi="Times New Roman" w:cs="Times New Roman"/>
        </w:rPr>
        <w:t>developed</w:t>
      </w:r>
      <w:r w:rsidRPr="005D66C5">
        <w:rPr>
          <w:rFonts w:ascii="Times New Roman" w:hAnsi="Times New Roman" w:cs="Times New Roman"/>
        </w:rPr>
        <w:t xml:space="preserve"> </w:t>
      </w:r>
      <w:r w:rsidR="003B7B97">
        <w:rPr>
          <w:rFonts w:ascii="Times New Roman" w:hAnsi="Times New Roman" w:cs="Times New Roman"/>
        </w:rPr>
        <w:t xml:space="preserve">a </w:t>
      </w:r>
      <w:r w:rsidRPr="005D66C5">
        <w:rPr>
          <w:rFonts w:ascii="Times New Roman" w:hAnsi="Times New Roman" w:cs="Times New Roman"/>
        </w:rPr>
        <w:t xml:space="preserve">descriptive document to </w:t>
      </w:r>
      <w:r w:rsidR="00C32B95">
        <w:rPr>
          <w:rFonts w:ascii="Times New Roman" w:hAnsi="Times New Roman" w:cs="Times New Roman"/>
        </w:rPr>
        <w:t>clarify</w:t>
      </w:r>
      <w:r w:rsidR="004840FD">
        <w:rPr>
          <w:rFonts w:ascii="Times New Roman" w:hAnsi="Times New Roman" w:cs="Times New Roman"/>
        </w:rPr>
        <w:t xml:space="preserve">, </w:t>
      </w:r>
      <w:r w:rsidRPr="005D66C5">
        <w:rPr>
          <w:rFonts w:ascii="Times New Roman" w:hAnsi="Times New Roman" w:cs="Times New Roman"/>
        </w:rPr>
        <w:t xml:space="preserve">align and communicate the </w:t>
      </w:r>
      <w:r w:rsidR="0052436B">
        <w:rPr>
          <w:rFonts w:ascii="Times New Roman" w:hAnsi="Times New Roman" w:cs="Times New Roman"/>
        </w:rPr>
        <w:t xml:space="preserve">current </w:t>
      </w:r>
      <w:r w:rsidRPr="005D66C5">
        <w:rPr>
          <w:rFonts w:ascii="Times New Roman" w:hAnsi="Times New Roman" w:cs="Times New Roman"/>
        </w:rPr>
        <w:t>principles used</w:t>
      </w:r>
      <w:r w:rsidR="00CE5ED5">
        <w:rPr>
          <w:rFonts w:ascii="Times New Roman" w:hAnsi="Times New Roman" w:cs="Times New Roman"/>
        </w:rPr>
        <w:t xml:space="preserve"> </w:t>
      </w:r>
      <w:r w:rsidR="00055752">
        <w:rPr>
          <w:rFonts w:ascii="Times New Roman" w:hAnsi="Times New Roman" w:cs="Times New Roman"/>
        </w:rPr>
        <w:t>prior and when disclosing</w:t>
      </w:r>
      <w:r w:rsidR="00CE5ED5">
        <w:rPr>
          <w:rFonts w:ascii="Times New Roman" w:hAnsi="Times New Roman" w:cs="Times New Roman"/>
        </w:rPr>
        <w:t xml:space="preserve"> the infrastructure</w:t>
      </w:r>
      <w:r w:rsidR="004C1995">
        <w:rPr>
          <w:rFonts w:ascii="Times New Roman" w:hAnsi="Times New Roman" w:cs="Times New Roman"/>
        </w:rPr>
        <w:t xml:space="preserve"> and </w:t>
      </w:r>
      <w:proofErr w:type="gramStart"/>
      <w:r w:rsidR="004C1995">
        <w:rPr>
          <w:rFonts w:ascii="Times New Roman" w:hAnsi="Times New Roman" w:cs="Times New Roman"/>
        </w:rPr>
        <w:t>service based</w:t>
      </w:r>
      <w:proofErr w:type="gramEnd"/>
      <w:r w:rsidR="006802EE">
        <w:rPr>
          <w:rFonts w:ascii="Times New Roman" w:hAnsi="Times New Roman" w:cs="Times New Roman"/>
        </w:rPr>
        <w:t xml:space="preserve"> </w:t>
      </w:r>
      <w:r w:rsidR="0035087C">
        <w:rPr>
          <w:rFonts w:ascii="Times New Roman" w:hAnsi="Times New Roman" w:cs="Times New Roman"/>
        </w:rPr>
        <w:t>transparency and inside</w:t>
      </w:r>
      <w:r w:rsidR="00CE5ED5">
        <w:rPr>
          <w:rFonts w:ascii="Times New Roman" w:hAnsi="Times New Roman" w:cs="Times New Roman"/>
        </w:rPr>
        <w:t xml:space="preserve"> information</w:t>
      </w:r>
      <w:r w:rsidR="00055752">
        <w:rPr>
          <w:rFonts w:ascii="Times New Roman" w:hAnsi="Times New Roman" w:cs="Times New Roman"/>
        </w:rPr>
        <w:t xml:space="preserve"> </w:t>
      </w:r>
      <w:r w:rsidRPr="005D66C5">
        <w:rPr>
          <w:rFonts w:ascii="Times New Roman" w:hAnsi="Times New Roman" w:cs="Times New Roman"/>
        </w:rPr>
        <w:t xml:space="preserve">to the market participants. </w:t>
      </w:r>
      <w:r w:rsidR="00343DE3">
        <w:rPr>
          <w:rFonts w:ascii="Times New Roman" w:hAnsi="Times New Roman" w:cs="Times New Roman"/>
        </w:rPr>
        <w:t>Th</w:t>
      </w:r>
      <w:r w:rsidR="00AB71DC">
        <w:rPr>
          <w:rFonts w:ascii="Times New Roman" w:hAnsi="Times New Roman" w:cs="Times New Roman"/>
        </w:rPr>
        <w:t>is document</w:t>
      </w:r>
      <w:r w:rsidRPr="005D66C5">
        <w:rPr>
          <w:rFonts w:ascii="Times New Roman" w:hAnsi="Times New Roman" w:cs="Times New Roman"/>
        </w:rPr>
        <w:t xml:space="preserve"> is </w:t>
      </w:r>
      <w:r w:rsidR="003B7B97">
        <w:rPr>
          <w:rFonts w:ascii="Times New Roman" w:hAnsi="Times New Roman" w:cs="Times New Roman"/>
        </w:rPr>
        <w:t>intended</w:t>
      </w:r>
      <w:r w:rsidR="003B7B97" w:rsidRPr="005D66C5">
        <w:rPr>
          <w:rFonts w:ascii="Times New Roman" w:hAnsi="Times New Roman" w:cs="Times New Roman"/>
        </w:rPr>
        <w:t xml:space="preserve"> </w:t>
      </w:r>
      <w:r w:rsidRPr="005D66C5">
        <w:rPr>
          <w:rFonts w:ascii="Times New Roman" w:hAnsi="Times New Roman" w:cs="Times New Roman"/>
        </w:rPr>
        <w:t xml:space="preserve">as </w:t>
      </w:r>
      <w:r w:rsidR="005E1DFC">
        <w:rPr>
          <w:rFonts w:ascii="Times New Roman" w:hAnsi="Times New Roman" w:cs="Times New Roman"/>
        </w:rPr>
        <w:t>a set of guidelines</w:t>
      </w:r>
      <w:r w:rsidRPr="005D66C5">
        <w:rPr>
          <w:rFonts w:ascii="Times New Roman" w:hAnsi="Times New Roman" w:cs="Times New Roman"/>
        </w:rPr>
        <w:t xml:space="preserve"> to the market participants to </w:t>
      </w:r>
      <w:r w:rsidR="00245893">
        <w:rPr>
          <w:rFonts w:ascii="Times New Roman" w:hAnsi="Times New Roman" w:cs="Times New Roman"/>
        </w:rPr>
        <w:t>elaborate</w:t>
      </w:r>
      <w:r w:rsidRPr="005D66C5">
        <w:rPr>
          <w:rFonts w:ascii="Times New Roman" w:hAnsi="Times New Roman" w:cs="Times New Roman"/>
        </w:rPr>
        <w:t xml:space="preserve"> the principles, timelines and methodologies used, as well </w:t>
      </w:r>
      <w:r w:rsidR="00AB71DC">
        <w:rPr>
          <w:rFonts w:ascii="Times New Roman" w:hAnsi="Times New Roman" w:cs="Times New Roman"/>
        </w:rPr>
        <w:t xml:space="preserve">as </w:t>
      </w:r>
      <w:r w:rsidRPr="005D66C5">
        <w:rPr>
          <w:rFonts w:ascii="Times New Roman" w:hAnsi="Times New Roman" w:cs="Times New Roman"/>
        </w:rPr>
        <w:t xml:space="preserve">to </w:t>
      </w:r>
      <w:r w:rsidR="00245893">
        <w:rPr>
          <w:rFonts w:ascii="Times New Roman" w:hAnsi="Times New Roman" w:cs="Times New Roman"/>
        </w:rPr>
        <w:t>explain</w:t>
      </w:r>
      <w:r w:rsidR="00245893" w:rsidRPr="005D66C5">
        <w:rPr>
          <w:rFonts w:ascii="Times New Roman" w:hAnsi="Times New Roman" w:cs="Times New Roman"/>
        </w:rPr>
        <w:t xml:space="preserve"> </w:t>
      </w:r>
      <w:r w:rsidRPr="005D66C5">
        <w:rPr>
          <w:rFonts w:ascii="Times New Roman" w:hAnsi="Times New Roman" w:cs="Times New Roman"/>
        </w:rPr>
        <w:t>the</w:t>
      </w:r>
      <w:r w:rsidR="00245893">
        <w:rPr>
          <w:rFonts w:ascii="Times New Roman" w:hAnsi="Times New Roman" w:cs="Times New Roman"/>
        </w:rPr>
        <w:t xml:space="preserve"> information</w:t>
      </w:r>
      <w:r w:rsidRPr="005D66C5">
        <w:rPr>
          <w:rFonts w:ascii="Times New Roman" w:hAnsi="Times New Roman" w:cs="Times New Roman"/>
        </w:rPr>
        <w:t xml:space="preserve"> already </w:t>
      </w:r>
      <w:r w:rsidR="00245893">
        <w:rPr>
          <w:rFonts w:ascii="Times New Roman" w:hAnsi="Times New Roman" w:cs="Times New Roman"/>
        </w:rPr>
        <w:t>disclosed</w:t>
      </w:r>
      <w:r w:rsidRPr="005D66C5">
        <w:rPr>
          <w:rFonts w:ascii="Times New Roman" w:hAnsi="Times New Roman" w:cs="Times New Roman"/>
        </w:rPr>
        <w:t xml:space="preserve">. </w:t>
      </w:r>
    </w:p>
    <w:p w14:paraId="66AB21D0" w14:textId="1DBE43CE" w:rsidR="001B6863" w:rsidRPr="005D66C5" w:rsidRDefault="00F66E93" w:rsidP="0003442B">
      <w:pPr>
        <w:jc w:val="both"/>
        <w:rPr>
          <w:rFonts w:ascii="Times New Roman" w:hAnsi="Times New Roman" w:cs="Times New Roman"/>
        </w:rPr>
      </w:pPr>
      <w:r w:rsidRPr="00F66E93">
        <w:rPr>
          <w:rFonts w:ascii="Times New Roman" w:hAnsi="Times New Roman" w:cs="Times New Roman"/>
        </w:rPr>
        <w:t xml:space="preserve">The aim of the Document is to consult information transparency principles which will be </w:t>
      </w:r>
      <w:proofErr w:type="gramStart"/>
      <w:r w:rsidRPr="00F66E93">
        <w:rPr>
          <w:rFonts w:ascii="Times New Roman" w:hAnsi="Times New Roman" w:cs="Times New Roman"/>
        </w:rPr>
        <w:t>taken into account</w:t>
      </w:r>
      <w:proofErr w:type="gramEnd"/>
      <w:r w:rsidRPr="00F66E93">
        <w:rPr>
          <w:rFonts w:ascii="Times New Roman" w:hAnsi="Times New Roman" w:cs="Times New Roman"/>
        </w:rPr>
        <w:t xml:space="preserve"> by TSOs as a best practice guideline.</w:t>
      </w:r>
    </w:p>
    <w:p w14:paraId="54FAA58D" w14:textId="6BB3E3AE" w:rsidR="00E67595" w:rsidRPr="005D66C5" w:rsidRDefault="003B4D77" w:rsidP="0003442B">
      <w:pPr>
        <w:jc w:val="both"/>
        <w:rPr>
          <w:rFonts w:ascii="Times New Roman" w:hAnsi="Times New Roman" w:cs="Times New Roman"/>
        </w:rPr>
      </w:pPr>
      <w:r>
        <w:rPr>
          <w:rFonts w:ascii="Times New Roman" w:hAnsi="Times New Roman" w:cs="Times New Roman"/>
        </w:rPr>
        <w:t>The document</w:t>
      </w:r>
      <w:r w:rsidR="00E67595" w:rsidRPr="005D66C5">
        <w:rPr>
          <w:rFonts w:ascii="Times New Roman" w:hAnsi="Times New Roman" w:cs="Times New Roman"/>
        </w:rPr>
        <w:t xml:space="preserve"> sets out the principles for:</w:t>
      </w:r>
    </w:p>
    <w:p w14:paraId="48DD1027" w14:textId="6A2F1425" w:rsidR="00E67595" w:rsidRPr="005D66C5" w:rsidRDefault="00E67595" w:rsidP="0003442B">
      <w:pPr>
        <w:pStyle w:val="ListParagraph"/>
        <w:numPr>
          <w:ilvl w:val="0"/>
          <w:numId w:val="20"/>
        </w:numPr>
        <w:jc w:val="both"/>
        <w:rPr>
          <w:rFonts w:ascii="Times New Roman" w:hAnsi="Times New Roman" w:cs="Times New Roman"/>
        </w:rPr>
      </w:pPr>
      <w:r w:rsidRPr="005D66C5">
        <w:rPr>
          <w:rFonts w:ascii="Times New Roman" w:hAnsi="Times New Roman" w:cs="Times New Roman"/>
        </w:rPr>
        <w:t>Publication of the market</w:t>
      </w:r>
      <w:r w:rsidR="00B05161">
        <w:rPr>
          <w:rFonts w:ascii="Times New Roman" w:hAnsi="Times New Roman" w:cs="Times New Roman"/>
        </w:rPr>
        <w:t xml:space="preserve"> transparency and inside</w:t>
      </w:r>
      <w:r w:rsidRPr="005D66C5">
        <w:rPr>
          <w:rFonts w:ascii="Times New Roman" w:hAnsi="Times New Roman" w:cs="Times New Roman"/>
        </w:rPr>
        <w:t xml:space="preserve"> information</w:t>
      </w:r>
    </w:p>
    <w:p w14:paraId="314AAE05" w14:textId="6132E09D" w:rsidR="005C5BE4"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 xml:space="preserve">Defines the common publication locations and information available on each publication system. </w:t>
      </w:r>
    </w:p>
    <w:p w14:paraId="2DF88E51" w14:textId="1F657C62" w:rsidR="009914E0" w:rsidRPr="005D66C5" w:rsidRDefault="009914E0" w:rsidP="0003442B">
      <w:pPr>
        <w:pStyle w:val="ListParagraph"/>
        <w:numPr>
          <w:ilvl w:val="0"/>
          <w:numId w:val="20"/>
        </w:numPr>
        <w:jc w:val="both"/>
        <w:rPr>
          <w:rFonts w:ascii="Times New Roman" w:hAnsi="Times New Roman" w:cs="Times New Roman"/>
        </w:rPr>
      </w:pPr>
      <w:r w:rsidRPr="005D66C5">
        <w:rPr>
          <w:rFonts w:ascii="Times New Roman" w:hAnsi="Times New Roman" w:cs="Times New Roman"/>
        </w:rPr>
        <w:t>Capacity calculation methodology coordination</w:t>
      </w:r>
    </w:p>
    <w:p w14:paraId="61471CE5" w14:textId="0DED8E1C" w:rsidR="00FC7C71"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Defines the main capacity calculation principles</w:t>
      </w:r>
    </w:p>
    <w:p w14:paraId="74434232" w14:textId="6D7189A8" w:rsidR="00FC7C71"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 xml:space="preserve">Defines the main </w:t>
      </w:r>
      <w:r w:rsidR="0019199A">
        <w:rPr>
          <w:rFonts w:ascii="Times New Roman" w:hAnsi="Times New Roman" w:cs="Times New Roman"/>
        </w:rPr>
        <w:t>schedule</w:t>
      </w:r>
      <w:r w:rsidRPr="005D66C5">
        <w:rPr>
          <w:rFonts w:ascii="Times New Roman" w:hAnsi="Times New Roman" w:cs="Times New Roman"/>
        </w:rPr>
        <w:t xml:space="preserve"> for the calculation procedure</w:t>
      </w:r>
    </w:p>
    <w:p w14:paraId="2ACD0136" w14:textId="13616D6F" w:rsidR="00E67595" w:rsidRPr="005D66C5" w:rsidRDefault="00E67595" w:rsidP="0003442B">
      <w:pPr>
        <w:pStyle w:val="ListParagraph"/>
        <w:numPr>
          <w:ilvl w:val="0"/>
          <w:numId w:val="20"/>
        </w:numPr>
        <w:jc w:val="both"/>
        <w:rPr>
          <w:rFonts w:ascii="Times New Roman" w:hAnsi="Times New Roman" w:cs="Times New Roman"/>
        </w:rPr>
      </w:pPr>
      <w:r w:rsidRPr="005D66C5">
        <w:rPr>
          <w:rFonts w:ascii="Times New Roman" w:hAnsi="Times New Roman" w:cs="Times New Roman"/>
        </w:rPr>
        <w:t>Capacity calculation and coordination timeframes</w:t>
      </w:r>
    </w:p>
    <w:p w14:paraId="0B3CDB66" w14:textId="28ECB57B" w:rsidR="00FC7C71"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Define</w:t>
      </w:r>
      <w:r w:rsidR="002842D9">
        <w:rPr>
          <w:rFonts w:ascii="Times New Roman" w:hAnsi="Times New Roman" w:cs="Times New Roman"/>
        </w:rPr>
        <w:t>s</w:t>
      </w:r>
      <w:r w:rsidRPr="005D66C5">
        <w:rPr>
          <w:rFonts w:ascii="Times New Roman" w:hAnsi="Times New Roman" w:cs="Times New Roman"/>
        </w:rPr>
        <w:t xml:space="preserve"> the timeframes and coordination times of the capacity information, as well </w:t>
      </w:r>
      <w:r w:rsidR="002842D9">
        <w:rPr>
          <w:rFonts w:ascii="Times New Roman" w:hAnsi="Times New Roman" w:cs="Times New Roman"/>
        </w:rPr>
        <w:t xml:space="preserve">as </w:t>
      </w:r>
      <w:r w:rsidRPr="005D66C5">
        <w:rPr>
          <w:rFonts w:ascii="Times New Roman" w:hAnsi="Times New Roman" w:cs="Times New Roman"/>
        </w:rPr>
        <w:t>the publication time of the coordinated capacity</w:t>
      </w:r>
    </w:p>
    <w:p w14:paraId="41375A95" w14:textId="5DED864C" w:rsidR="00E67595" w:rsidRPr="005D66C5" w:rsidRDefault="00E67595" w:rsidP="0003442B">
      <w:pPr>
        <w:pStyle w:val="ListParagraph"/>
        <w:numPr>
          <w:ilvl w:val="0"/>
          <w:numId w:val="20"/>
        </w:numPr>
        <w:jc w:val="both"/>
        <w:rPr>
          <w:rFonts w:ascii="Times New Roman" w:hAnsi="Times New Roman" w:cs="Times New Roman"/>
        </w:rPr>
      </w:pPr>
      <w:r w:rsidRPr="005D66C5">
        <w:rPr>
          <w:rFonts w:ascii="Times New Roman" w:hAnsi="Times New Roman" w:cs="Times New Roman"/>
        </w:rPr>
        <w:t>Common view on the publication principles used in the REMIT</w:t>
      </w:r>
      <w:r w:rsidR="004C1995">
        <w:rPr>
          <w:rFonts w:ascii="Times New Roman" w:hAnsi="Times New Roman" w:cs="Times New Roman"/>
        </w:rPr>
        <w:t xml:space="preserve"> (</w:t>
      </w:r>
      <w:r w:rsidR="004C1995" w:rsidRPr="00DF5F9C">
        <w:rPr>
          <w:rFonts w:ascii="Times New Roman" w:hAnsi="Times New Roman" w:cs="Times New Roman"/>
        </w:rPr>
        <w:t xml:space="preserve">(EC) No </w:t>
      </w:r>
      <w:r w:rsidR="006802EE">
        <w:rPr>
          <w:rFonts w:ascii="Times New Roman" w:hAnsi="Times New Roman" w:cs="Times New Roman"/>
        </w:rPr>
        <w:t>1227/2011</w:t>
      </w:r>
      <w:r w:rsidR="004C1995">
        <w:rPr>
          <w:rFonts w:ascii="Times New Roman" w:hAnsi="Times New Roman" w:cs="Times New Roman"/>
        </w:rPr>
        <w:t>)</w:t>
      </w:r>
      <w:r w:rsidRPr="005D66C5">
        <w:rPr>
          <w:rFonts w:ascii="Times New Roman" w:hAnsi="Times New Roman" w:cs="Times New Roman"/>
        </w:rPr>
        <w:t xml:space="preserve"> and Transparency reporting</w:t>
      </w:r>
      <w:r w:rsidR="004C1995">
        <w:rPr>
          <w:rFonts w:ascii="Times New Roman" w:hAnsi="Times New Roman" w:cs="Times New Roman"/>
        </w:rPr>
        <w:t xml:space="preserve"> (</w:t>
      </w:r>
      <w:r w:rsidR="004C1995" w:rsidRPr="00DF5F9C">
        <w:rPr>
          <w:rFonts w:ascii="Times New Roman" w:hAnsi="Times New Roman" w:cs="Times New Roman"/>
        </w:rPr>
        <w:t>(EC) No 715/2009</w:t>
      </w:r>
      <w:r w:rsidR="004C1995">
        <w:rPr>
          <w:rFonts w:ascii="Times New Roman" w:hAnsi="Times New Roman" w:cs="Times New Roman"/>
        </w:rPr>
        <w:t>)</w:t>
      </w:r>
      <w:r w:rsidR="007E7432">
        <w:rPr>
          <w:rFonts w:ascii="Times New Roman" w:hAnsi="Times New Roman" w:cs="Times New Roman"/>
        </w:rPr>
        <w:t xml:space="preserve"> </w:t>
      </w:r>
    </w:p>
    <w:p w14:paraId="227B125B" w14:textId="363A5DBC" w:rsidR="00FC7C71"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Defines any other data or procedure used and data published, mainly:</w:t>
      </w:r>
    </w:p>
    <w:p w14:paraId="36935291" w14:textId="33D809D2" w:rsidR="00FC7C71" w:rsidRPr="005D66C5" w:rsidRDefault="00FC7C71" w:rsidP="0003442B">
      <w:pPr>
        <w:pStyle w:val="ListParagraph"/>
        <w:numPr>
          <w:ilvl w:val="2"/>
          <w:numId w:val="20"/>
        </w:numPr>
        <w:jc w:val="both"/>
        <w:rPr>
          <w:rFonts w:ascii="Times New Roman" w:hAnsi="Times New Roman" w:cs="Times New Roman"/>
        </w:rPr>
      </w:pPr>
      <w:r w:rsidRPr="005D66C5">
        <w:rPr>
          <w:rFonts w:ascii="Times New Roman" w:hAnsi="Times New Roman" w:cs="Times New Roman"/>
        </w:rPr>
        <w:t>Definitions used in the publications</w:t>
      </w:r>
    </w:p>
    <w:p w14:paraId="782AC53E" w14:textId="01FD9915" w:rsidR="00FC7C71" w:rsidRPr="005D66C5" w:rsidRDefault="00FC7C71" w:rsidP="0003442B">
      <w:pPr>
        <w:pStyle w:val="ListParagraph"/>
        <w:numPr>
          <w:ilvl w:val="2"/>
          <w:numId w:val="20"/>
        </w:numPr>
        <w:jc w:val="both"/>
        <w:rPr>
          <w:rFonts w:ascii="Times New Roman" w:hAnsi="Times New Roman" w:cs="Times New Roman"/>
        </w:rPr>
      </w:pPr>
      <w:r w:rsidRPr="005D66C5">
        <w:rPr>
          <w:rFonts w:ascii="Times New Roman" w:hAnsi="Times New Roman" w:cs="Times New Roman"/>
        </w:rPr>
        <w:t>Publication of implicit capacity shares.</w:t>
      </w:r>
    </w:p>
    <w:p w14:paraId="5FBF81DC" w14:textId="340ABE21" w:rsidR="00A32891" w:rsidRDefault="00FC7C71" w:rsidP="0003442B">
      <w:pPr>
        <w:pStyle w:val="ListParagraph"/>
        <w:numPr>
          <w:ilvl w:val="2"/>
          <w:numId w:val="20"/>
        </w:numPr>
        <w:jc w:val="both"/>
        <w:rPr>
          <w:rFonts w:ascii="Times New Roman" w:hAnsi="Times New Roman" w:cs="Times New Roman"/>
        </w:rPr>
      </w:pPr>
      <w:r w:rsidRPr="005D66C5">
        <w:rPr>
          <w:rFonts w:ascii="Times New Roman" w:hAnsi="Times New Roman" w:cs="Times New Roman"/>
        </w:rPr>
        <w:t>Virtual capacity on the interconnection points</w:t>
      </w:r>
    </w:p>
    <w:p w14:paraId="1B2CD461" w14:textId="2F3E3EEF" w:rsidR="0061768B" w:rsidRDefault="0061768B" w:rsidP="0003442B">
      <w:pPr>
        <w:pStyle w:val="ListParagraph"/>
        <w:numPr>
          <w:ilvl w:val="2"/>
          <w:numId w:val="20"/>
        </w:numPr>
        <w:jc w:val="both"/>
        <w:rPr>
          <w:rFonts w:ascii="Times New Roman" w:hAnsi="Times New Roman" w:cs="Times New Roman"/>
        </w:rPr>
      </w:pPr>
      <w:r w:rsidRPr="0061768B">
        <w:rPr>
          <w:rFonts w:ascii="Times New Roman" w:hAnsi="Times New Roman" w:cs="Times New Roman"/>
        </w:rPr>
        <w:t>Coordination of joint maintenance plans</w:t>
      </w:r>
    </w:p>
    <w:p w14:paraId="0FABBEAA" w14:textId="1330AA2A" w:rsidR="00FB35A5" w:rsidRDefault="00DF5F9C" w:rsidP="00B27B09">
      <w:pPr>
        <w:pStyle w:val="ListParagraph"/>
        <w:numPr>
          <w:ilvl w:val="1"/>
          <w:numId w:val="20"/>
        </w:numPr>
        <w:jc w:val="both"/>
        <w:rPr>
          <w:rFonts w:ascii="Times New Roman" w:hAnsi="Times New Roman" w:cs="Times New Roman"/>
        </w:rPr>
      </w:pPr>
      <w:r>
        <w:rPr>
          <w:rFonts w:ascii="Times New Roman" w:hAnsi="Times New Roman" w:cs="Times New Roman"/>
        </w:rPr>
        <w:t>The use of UMM</w:t>
      </w:r>
      <w:r w:rsidR="00B05161">
        <w:rPr>
          <w:rFonts w:ascii="Times New Roman" w:hAnsi="Times New Roman" w:cs="Times New Roman"/>
        </w:rPr>
        <w:t xml:space="preserve"> and inside information disclosure</w:t>
      </w:r>
    </w:p>
    <w:p w14:paraId="4CFCB8B7" w14:textId="16472BCF" w:rsidR="00EB4A51" w:rsidRDefault="00EB4A51" w:rsidP="00EB4A51">
      <w:pPr>
        <w:pStyle w:val="ListParagraph"/>
        <w:ind w:left="1440"/>
        <w:jc w:val="both"/>
        <w:rPr>
          <w:rFonts w:ascii="Times New Roman" w:hAnsi="Times New Roman" w:cs="Times New Roman"/>
        </w:rPr>
      </w:pPr>
    </w:p>
    <w:p w14:paraId="7C7F47B2" w14:textId="77777777" w:rsidR="00EB4A51" w:rsidRDefault="00EB4A51" w:rsidP="00EB4A51">
      <w:pPr>
        <w:pStyle w:val="ListParagraph"/>
        <w:ind w:left="1440"/>
        <w:jc w:val="both"/>
        <w:rPr>
          <w:rFonts w:ascii="Times New Roman" w:hAnsi="Times New Roman" w:cs="Times New Roman"/>
        </w:rPr>
      </w:pPr>
    </w:p>
    <w:p w14:paraId="446E1AD0" w14:textId="1BFAE602" w:rsidR="00B239AA" w:rsidRPr="005D66C5" w:rsidRDefault="00B239AA" w:rsidP="0003442B">
      <w:pPr>
        <w:jc w:val="both"/>
        <w:rPr>
          <w:rFonts w:ascii="Times New Roman" w:hAnsi="Times New Roman" w:cs="Times New Roman"/>
          <w:b/>
          <w:bCs/>
          <w:sz w:val="28"/>
          <w:szCs w:val="28"/>
        </w:rPr>
      </w:pPr>
      <w:r w:rsidRPr="005D66C5">
        <w:rPr>
          <w:rFonts w:ascii="Times New Roman" w:hAnsi="Times New Roman" w:cs="Times New Roman"/>
          <w:b/>
          <w:bCs/>
          <w:sz w:val="28"/>
          <w:szCs w:val="28"/>
        </w:rPr>
        <w:t xml:space="preserve">Publication </w:t>
      </w:r>
      <w:r w:rsidR="00E67595" w:rsidRPr="005D66C5">
        <w:rPr>
          <w:rFonts w:ascii="Times New Roman" w:hAnsi="Times New Roman" w:cs="Times New Roman"/>
          <w:b/>
          <w:bCs/>
          <w:sz w:val="28"/>
          <w:szCs w:val="28"/>
        </w:rPr>
        <w:t xml:space="preserve">of the market </w:t>
      </w:r>
      <w:r w:rsidR="00B05161">
        <w:rPr>
          <w:rFonts w:ascii="Times New Roman" w:hAnsi="Times New Roman" w:cs="Times New Roman"/>
          <w:b/>
          <w:bCs/>
          <w:sz w:val="28"/>
          <w:szCs w:val="28"/>
        </w:rPr>
        <w:t xml:space="preserve">transparency and inside </w:t>
      </w:r>
      <w:r w:rsidR="00E67595" w:rsidRPr="005D66C5">
        <w:rPr>
          <w:rFonts w:ascii="Times New Roman" w:hAnsi="Times New Roman" w:cs="Times New Roman"/>
          <w:b/>
          <w:bCs/>
          <w:sz w:val="28"/>
          <w:szCs w:val="28"/>
        </w:rPr>
        <w:t>information</w:t>
      </w:r>
    </w:p>
    <w:p w14:paraId="150C6664" w14:textId="0356A8A8" w:rsidR="00AF6B55" w:rsidRPr="005D66C5" w:rsidRDefault="00AF6B55" w:rsidP="0003442B">
      <w:pPr>
        <w:jc w:val="both"/>
        <w:rPr>
          <w:rFonts w:ascii="Times New Roman" w:hAnsi="Times New Roman" w:cs="Times New Roman"/>
        </w:rPr>
      </w:pPr>
      <w:r w:rsidRPr="005D66C5">
        <w:rPr>
          <w:rFonts w:ascii="Times New Roman" w:hAnsi="Times New Roman" w:cs="Times New Roman"/>
        </w:rPr>
        <w:t xml:space="preserve">The Transmission System Operators of Finnish-Baltic region are harmonizing the market information publication principles. The harmonization </w:t>
      </w:r>
      <w:r w:rsidR="00592CEC">
        <w:rPr>
          <w:rFonts w:ascii="Times New Roman" w:hAnsi="Times New Roman" w:cs="Times New Roman"/>
        </w:rPr>
        <w:t xml:space="preserve">principles </w:t>
      </w:r>
      <w:r w:rsidRPr="005D66C5">
        <w:rPr>
          <w:rFonts w:ascii="Times New Roman" w:hAnsi="Times New Roman" w:cs="Times New Roman"/>
        </w:rPr>
        <w:t xml:space="preserve">concern both market relevant data publication (such as physical flows, nominations, capacities, gross calorific values (GCV)) and inside information data publication by Urgent Market Messages (UMMs). </w:t>
      </w:r>
    </w:p>
    <w:p w14:paraId="17C0B63D" w14:textId="68B81485" w:rsidR="00AF6B55" w:rsidRPr="005D66C5" w:rsidRDefault="008509F3" w:rsidP="0003442B">
      <w:pPr>
        <w:jc w:val="both"/>
        <w:rPr>
          <w:rFonts w:ascii="Times New Roman" w:hAnsi="Times New Roman" w:cs="Times New Roman"/>
        </w:rPr>
      </w:pPr>
      <w:r>
        <w:rPr>
          <w:rFonts w:ascii="Times New Roman" w:hAnsi="Times New Roman" w:cs="Times New Roman"/>
        </w:rPr>
        <w:t xml:space="preserve">Chapter 3 of </w:t>
      </w:r>
      <w:r w:rsidR="00AF6B55" w:rsidRPr="005D66C5">
        <w:rPr>
          <w:rFonts w:ascii="Times New Roman" w:hAnsi="Times New Roman" w:cs="Times New Roman"/>
        </w:rPr>
        <w:t xml:space="preserve">Annex I of the </w:t>
      </w:r>
      <w:r w:rsidR="00DF5F9C" w:rsidRPr="00DF5F9C">
        <w:rPr>
          <w:rFonts w:ascii="Times New Roman" w:hAnsi="Times New Roman" w:cs="Times New Roman"/>
        </w:rPr>
        <w:t>Regulation (EC) No 715/2009 of the European Parliament and of the Council of 13 July 2009 on conditions for access to the natural gas transmission networks and repealing Regulation (EC) No 1775/2005</w:t>
      </w:r>
      <w:r w:rsidR="00AF6B55" w:rsidRPr="005D66C5">
        <w:rPr>
          <w:rFonts w:ascii="Times New Roman" w:hAnsi="Times New Roman" w:cs="Times New Roman"/>
        </w:rPr>
        <w:t xml:space="preserve"> sets the requirements</w:t>
      </w:r>
      <w:r w:rsidR="004A3ABE">
        <w:rPr>
          <w:rFonts w:ascii="Times New Roman" w:hAnsi="Times New Roman" w:cs="Times New Roman"/>
        </w:rPr>
        <w:t xml:space="preserve"> (content, scope and format)</w:t>
      </w:r>
      <w:r w:rsidR="00AF6B55" w:rsidRPr="005D66C5">
        <w:rPr>
          <w:rFonts w:ascii="Times New Roman" w:hAnsi="Times New Roman" w:cs="Times New Roman"/>
        </w:rPr>
        <w:t xml:space="preserve"> for </w:t>
      </w:r>
      <w:r w:rsidR="004A3ABE">
        <w:rPr>
          <w:rFonts w:ascii="Times New Roman" w:hAnsi="Times New Roman" w:cs="Times New Roman"/>
        </w:rPr>
        <w:t xml:space="preserve">transparency information </w:t>
      </w:r>
      <w:r w:rsidR="00AF6B55" w:rsidRPr="005D66C5">
        <w:rPr>
          <w:rFonts w:ascii="Times New Roman" w:hAnsi="Times New Roman" w:cs="Times New Roman"/>
        </w:rPr>
        <w:t>publication. The TSOs shall provide the required information in the following manner:</w:t>
      </w:r>
    </w:p>
    <w:p w14:paraId="571C0692"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lastRenderedPageBreak/>
        <w:t>on a website accessible to the public, free of charge and without any need to register or otherwise sign on with the TSO;</w:t>
      </w:r>
    </w:p>
    <w:p w14:paraId="6934E2A8"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on a regular/rolling basis; the frequency shall be according to the changes that take place and the duration of the service;</w:t>
      </w:r>
    </w:p>
    <w:p w14:paraId="2CE83C25"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in a user-friendly manner;</w:t>
      </w:r>
    </w:p>
    <w:p w14:paraId="64582D9B"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in a clear, quantifiable, easily accessible way and on a non-discriminatory basis;</w:t>
      </w:r>
    </w:p>
    <w:p w14:paraId="25DA8F2B"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in a downloadable format that has been agreed between transmission system operators and the national regulatory authorities;</w:t>
      </w:r>
    </w:p>
    <w:p w14:paraId="4CB321C3"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in consistent units, in particular kWh shall be the unit for energy content and m3 shall be the unit for volume;</w:t>
      </w:r>
    </w:p>
    <w:p w14:paraId="0F231813" w14:textId="6155416E"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in the official language(s) of the Member State and in English</w:t>
      </w:r>
      <w:r w:rsidR="00CF39AD">
        <w:rPr>
          <w:rFonts w:ascii="Times New Roman" w:hAnsi="Times New Roman" w:cs="Times New Roman"/>
        </w:rPr>
        <w:t>.</w:t>
      </w:r>
    </w:p>
    <w:p w14:paraId="505F4966" w14:textId="3ABC7BB7" w:rsidR="00AF6B55" w:rsidRPr="005D66C5" w:rsidRDefault="00AF6B55" w:rsidP="0003442B">
      <w:pPr>
        <w:jc w:val="both"/>
        <w:rPr>
          <w:rFonts w:ascii="Times New Roman" w:hAnsi="Times New Roman" w:cs="Times New Roman"/>
        </w:rPr>
      </w:pPr>
      <w:r w:rsidRPr="005D66C5">
        <w:rPr>
          <w:rFonts w:ascii="Times New Roman" w:hAnsi="Times New Roman" w:cs="Times New Roman"/>
        </w:rPr>
        <w:t xml:space="preserve">TSOs are publishing the technical information necessary for network users to gain effective access to the system, the definition of all relevant points for transparency requirements and the information to be published at all relevant points are published on the Transparency Platform offered by ENTSOG and on individual TSOs webpage. </w:t>
      </w:r>
    </w:p>
    <w:p w14:paraId="11C5CCA9" w14:textId="6B2CFFA8" w:rsidR="00121186" w:rsidRDefault="0050430B" w:rsidP="00E77B9A">
      <w:pPr>
        <w:jc w:val="both"/>
        <w:rPr>
          <w:rFonts w:ascii="Times New Roman" w:hAnsi="Times New Roman" w:cs="Times New Roman"/>
        </w:rPr>
      </w:pPr>
      <w:r w:rsidRPr="005D66C5">
        <w:rPr>
          <w:rFonts w:ascii="Times New Roman" w:hAnsi="Times New Roman" w:cs="Times New Roman"/>
        </w:rPr>
        <w:t>The information publication overview is provided in the Annex 1 of this procedure giving overview of all TSOs publication practices in single place.</w:t>
      </w:r>
      <w:r w:rsidR="0055566D" w:rsidRPr="005D66C5">
        <w:rPr>
          <w:rFonts w:ascii="Times New Roman" w:hAnsi="Times New Roman" w:cs="Times New Roman"/>
        </w:rPr>
        <w:t xml:space="preserve"> </w:t>
      </w:r>
    </w:p>
    <w:p w14:paraId="3858B110" w14:textId="77777777" w:rsidR="00E77B9A" w:rsidRPr="005D66C5" w:rsidRDefault="00E77B9A" w:rsidP="00E77B9A">
      <w:pPr>
        <w:jc w:val="both"/>
        <w:rPr>
          <w:rFonts w:ascii="Times New Roman" w:hAnsi="Times New Roman" w:cs="Times New Roman"/>
        </w:rPr>
      </w:pPr>
    </w:p>
    <w:p w14:paraId="02E7F087" w14:textId="78F8216F" w:rsidR="009914E0" w:rsidRPr="005D66C5" w:rsidRDefault="009914E0" w:rsidP="0003442B">
      <w:pPr>
        <w:jc w:val="both"/>
        <w:rPr>
          <w:rFonts w:ascii="Times New Roman" w:hAnsi="Times New Roman" w:cs="Times New Roman"/>
          <w:b/>
          <w:bCs/>
          <w:sz w:val="28"/>
          <w:szCs w:val="28"/>
        </w:rPr>
      </w:pPr>
      <w:r w:rsidRPr="005D66C5">
        <w:rPr>
          <w:rFonts w:ascii="Times New Roman" w:hAnsi="Times New Roman" w:cs="Times New Roman"/>
          <w:b/>
          <w:bCs/>
          <w:sz w:val="28"/>
          <w:szCs w:val="28"/>
        </w:rPr>
        <w:t xml:space="preserve">Capacity calculation </w:t>
      </w:r>
      <w:r w:rsidR="00A3032A" w:rsidRPr="005D66C5">
        <w:rPr>
          <w:rFonts w:ascii="Times New Roman" w:hAnsi="Times New Roman" w:cs="Times New Roman"/>
          <w:b/>
          <w:bCs/>
          <w:sz w:val="28"/>
          <w:szCs w:val="28"/>
        </w:rPr>
        <w:t>and publication</w:t>
      </w:r>
      <w:r w:rsidRPr="005D66C5">
        <w:rPr>
          <w:rFonts w:ascii="Times New Roman" w:hAnsi="Times New Roman" w:cs="Times New Roman"/>
          <w:b/>
          <w:bCs/>
          <w:sz w:val="28"/>
          <w:szCs w:val="28"/>
        </w:rPr>
        <w:t xml:space="preserve"> </w:t>
      </w:r>
    </w:p>
    <w:p w14:paraId="556C0608" w14:textId="7EACDF7A" w:rsidR="00AE4115" w:rsidRPr="005D66C5" w:rsidRDefault="00A3032A" w:rsidP="0003442B">
      <w:pPr>
        <w:jc w:val="both"/>
        <w:rPr>
          <w:rFonts w:ascii="Times New Roman" w:hAnsi="Times New Roman" w:cs="Times New Roman"/>
          <w:b/>
          <w:bCs/>
        </w:rPr>
      </w:pPr>
      <w:r w:rsidRPr="005D66C5">
        <w:rPr>
          <w:rFonts w:ascii="Times New Roman" w:hAnsi="Times New Roman" w:cs="Times New Roman"/>
          <w:b/>
          <w:bCs/>
        </w:rPr>
        <w:t>Capacity calculation methodology</w:t>
      </w:r>
    </w:p>
    <w:p w14:paraId="27BAF926" w14:textId="339AFFE0" w:rsidR="00AE4115" w:rsidRDefault="00391C87" w:rsidP="0003442B">
      <w:pPr>
        <w:jc w:val="both"/>
        <w:rPr>
          <w:rFonts w:ascii="Times New Roman" w:hAnsi="Times New Roman" w:cs="Times New Roman"/>
        </w:rPr>
      </w:pPr>
      <w:r>
        <w:rPr>
          <w:rFonts w:ascii="Times New Roman" w:hAnsi="Times New Roman" w:cs="Times New Roman"/>
        </w:rPr>
        <w:t>Accord</w:t>
      </w:r>
      <w:r w:rsidR="00F35945">
        <w:rPr>
          <w:rFonts w:ascii="Times New Roman" w:hAnsi="Times New Roman" w:cs="Times New Roman"/>
        </w:rPr>
        <w:t>i</w:t>
      </w:r>
      <w:r>
        <w:rPr>
          <w:rFonts w:ascii="Times New Roman" w:hAnsi="Times New Roman" w:cs="Times New Roman"/>
        </w:rPr>
        <w:t xml:space="preserve">ng to </w:t>
      </w:r>
      <w:r w:rsidR="004A1E51">
        <w:rPr>
          <w:rFonts w:ascii="Times New Roman" w:hAnsi="Times New Roman" w:cs="Times New Roman"/>
        </w:rPr>
        <w:t>Art</w:t>
      </w:r>
      <w:r w:rsidR="00F35945">
        <w:rPr>
          <w:rFonts w:ascii="Times New Roman" w:hAnsi="Times New Roman" w:cs="Times New Roman"/>
        </w:rPr>
        <w:t>icle 2(1)(18)</w:t>
      </w:r>
      <w:r w:rsidR="00E73536">
        <w:rPr>
          <w:rFonts w:ascii="Times New Roman" w:hAnsi="Times New Roman" w:cs="Times New Roman"/>
        </w:rPr>
        <w:t xml:space="preserve"> of Regulation </w:t>
      </w:r>
      <w:r w:rsidR="00933359">
        <w:rPr>
          <w:rFonts w:ascii="Times New Roman" w:hAnsi="Times New Roman" w:cs="Times New Roman"/>
        </w:rPr>
        <w:t xml:space="preserve">(EC) No </w:t>
      </w:r>
      <w:r w:rsidR="00E73536">
        <w:rPr>
          <w:rFonts w:ascii="Times New Roman" w:hAnsi="Times New Roman" w:cs="Times New Roman"/>
        </w:rPr>
        <w:t>715/2009</w:t>
      </w:r>
      <w:r w:rsidR="00F35945">
        <w:rPr>
          <w:rFonts w:ascii="Times New Roman" w:hAnsi="Times New Roman" w:cs="Times New Roman"/>
        </w:rPr>
        <w:t xml:space="preserve"> </w:t>
      </w:r>
      <w:r>
        <w:rPr>
          <w:rFonts w:ascii="Times New Roman" w:hAnsi="Times New Roman" w:cs="Times New Roman"/>
        </w:rPr>
        <w:t>the</w:t>
      </w:r>
      <w:r w:rsidR="00736C84">
        <w:rPr>
          <w:rFonts w:ascii="Times New Roman" w:hAnsi="Times New Roman" w:cs="Times New Roman"/>
        </w:rPr>
        <w:t xml:space="preserve"> TSOs are </w:t>
      </w:r>
      <w:r w:rsidR="00F4167D">
        <w:rPr>
          <w:rFonts w:ascii="Times New Roman" w:hAnsi="Times New Roman" w:cs="Times New Roman"/>
        </w:rPr>
        <w:t xml:space="preserve">offering maximum firm capacity which can be offered for market participants </w:t>
      </w:r>
      <w:r w:rsidR="00AB57CD">
        <w:rPr>
          <w:rFonts w:ascii="Times New Roman" w:hAnsi="Times New Roman" w:cs="Times New Roman"/>
        </w:rPr>
        <w:t>taking account of system integrity and the operational requirements of the transmission network.</w:t>
      </w:r>
      <w:r>
        <w:rPr>
          <w:rFonts w:ascii="Times New Roman" w:hAnsi="Times New Roman" w:cs="Times New Roman"/>
        </w:rPr>
        <w:t xml:space="preserve"> </w:t>
      </w:r>
      <w:r w:rsidR="00A3032A" w:rsidRPr="005D66C5">
        <w:rPr>
          <w:rFonts w:ascii="Times New Roman" w:hAnsi="Times New Roman" w:cs="Times New Roman"/>
        </w:rPr>
        <w:t>Each TSO</w:t>
      </w:r>
      <w:r w:rsidR="000D320C">
        <w:rPr>
          <w:rFonts w:ascii="Times New Roman" w:hAnsi="Times New Roman" w:cs="Times New Roman"/>
        </w:rPr>
        <w:t>’s</w:t>
      </w:r>
      <w:r w:rsidR="00A3032A" w:rsidRPr="005D66C5">
        <w:rPr>
          <w:rFonts w:ascii="Times New Roman" w:hAnsi="Times New Roman" w:cs="Times New Roman"/>
        </w:rPr>
        <w:t xml:space="preserve"> capacity calculation methodology is available under Annex 1 table</w:t>
      </w:r>
      <w:r w:rsidR="0055566D" w:rsidRPr="005D66C5">
        <w:rPr>
          <w:rFonts w:ascii="Times New Roman" w:hAnsi="Times New Roman" w:cs="Times New Roman"/>
        </w:rPr>
        <w:t xml:space="preserve"> reference 3.1.2</w:t>
      </w:r>
      <w:r w:rsidR="00A44489">
        <w:rPr>
          <w:rFonts w:ascii="Times New Roman" w:hAnsi="Times New Roman" w:cs="Times New Roman"/>
        </w:rPr>
        <w:t xml:space="preserve"> (m)</w:t>
      </w:r>
      <w:r w:rsidR="00A3032A" w:rsidRPr="005D66C5">
        <w:rPr>
          <w:rFonts w:ascii="Times New Roman" w:hAnsi="Times New Roman" w:cs="Times New Roman"/>
        </w:rPr>
        <w:t>.</w:t>
      </w:r>
      <w:r w:rsidR="0055566D" w:rsidRPr="005D66C5">
        <w:rPr>
          <w:rFonts w:ascii="Times New Roman" w:hAnsi="Times New Roman" w:cs="Times New Roman"/>
        </w:rPr>
        <w:t xml:space="preserve"> TSOs are commonly calculating the </w:t>
      </w:r>
      <w:r w:rsidR="00DB0FC8">
        <w:rPr>
          <w:rFonts w:ascii="Times New Roman" w:hAnsi="Times New Roman" w:cs="Times New Roman"/>
        </w:rPr>
        <w:t xml:space="preserve">technical </w:t>
      </w:r>
      <w:r w:rsidR="0055566D" w:rsidRPr="005D66C5">
        <w:rPr>
          <w:rFonts w:ascii="Times New Roman" w:hAnsi="Times New Roman" w:cs="Times New Roman"/>
        </w:rPr>
        <w:t xml:space="preserve">capacity </w:t>
      </w:r>
      <w:r w:rsidR="0020621E">
        <w:rPr>
          <w:rFonts w:ascii="Times New Roman" w:hAnsi="Times New Roman" w:cs="Times New Roman"/>
        </w:rPr>
        <w:t xml:space="preserve">at </w:t>
      </w:r>
      <w:r w:rsidR="005D66C5">
        <w:rPr>
          <w:rFonts w:ascii="Times New Roman" w:hAnsi="Times New Roman" w:cs="Times New Roman"/>
        </w:rPr>
        <w:t xml:space="preserve">the relevant points and values are coordinated based on “lesser-rule” principle and published </w:t>
      </w:r>
      <w:proofErr w:type="gramStart"/>
      <w:r w:rsidR="005D66C5">
        <w:rPr>
          <w:rFonts w:ascii="Times New Roman" w:hAnsi="Times New Roman" w:cs="Times New Roman"/>
        </w:rPr>
        <w:t>taking into account</w:t>
      </w:r>
      <w:proofErr w:type="gramEnd"/>
      <w:r w:rsidR="005D66C5">
        <w:rPr>
          <w:rFonts w:ascii="Times New Roman" w:hAnsi="Times New Roman" w:cs="Times New Roman"/>
        </w:rPr>
        <w:t xml:space="preserve"> the coordination timeframes</w:t>
      </w:r>
      <w:r w:rsidR="00E10CE5">
        <w:rPr>
          <w:rFonts w:ascii="Times New Roman" w:hAnsi="Times New Roman" w:cs="Times New Roman"/>
        </w:rPr>
        <w:t xml:space="preserve"> and other principles</w:t>
      </w:r>
      <w:r w:rsidR="005D66C5">
        <w:rPr>
          <w:rFonts w:ascii="Times New Roman" w:hAnsi="Times New Roman" w:cs="Times New Roman"/>
        </w:rPr>
        <w:t xml:space="preserve"> </w:t>
      </w:r>
      <w:r w:rsidR="00826363">
        <w:rPr>
          <w:rFonts w:ascii="Times New Roman" w:hAnsi="Times New Roman" w:cs="Times New Roman"/>
        </w:rPr>
        <w:t xml:space="preserve">described </w:t>
      </w:r>
      <w:r w:rsidR="005D66C5">
        <w:rPr>
          <w:rFonts w:ascii="Times New Roman" w:hAnsi="Times New Roman" w:cs="Times New Roman"/>
        </w:rPr>
        <w:t>below.</w:t>
      </w:r>
      <w:r w:rsidR="00D7566B">
        <w:rPr>
          <w:rFonts w:ascii="Times New Roman" w:hAnsi="Times New Roman" w:cs="Times New Roman"/>
        </w:rPr>
        <w:t xml:space="preserve"> </w:t>
      </w:r>
    </w:p>
    <w:p w14:paraId="6FECC452" w14:textId="403D07EA" w:rsidR="000A6141" w:rsidRPr="000A6141" w:rsidRDefault="00B604B9" w:rsidP="000A6141">
      <w:pPr>
        <w:jc w:val="both"/>
        <w:rPr>
          <w:rFonts w:ascii="Times New Roman" w:hAnsi="Times New Roman" w:cs="Times New Roman"/>
        </w:rPr>
      </w:pPr>
      <w:r>
        <w:rPr>
          <w:rFonts w:ascii="Times New Roman" w:hAnsi="Times New Roman" w:cs="Times New Roman"/>
        </w:rPr>
        <w:t xml:space="preserve">Capacity will be published in accordance with the </w:t>
      </w:r>
      <w:r w:rsidR="00933359">
        <w:rPr>
          <w:rFonts w:ascii="Times New Roman" w:hAnsi="Times New Roman" w:cs="Times New Roman"/>
        </w:rPr>
        <w:t xml:space="preserve">Regulation </w:t>
      </w:r>
      <w:r w:rsidR="000A6141" w:rsidRPr="000A6141">
        <w:rPr>
          <w:rFonts w:ascii="Times New Roman" w:hAnsi="Times New Roman" w:cs="Times New Roman"/>
        </w:rPr>
        <w:t>(EC) No 715/2009</w:t>
      </w:r>
      <w:r>
        <w:rPr>
          <w:rFonts w:ascii="Times New Roman" w:hAnsi="Times New Roman" w:cs="Times New Roman"/>
        </w:rPr>
        <w:t xml:space="preserve"> definitions meaning:</w:t>
      </w:r>
    </w:p>
    <w:p w14:paraId="69346497" w14:textId="1A1C06C9" w:rsidR="000A6141" w:rsidRPr="000A6141" w:rsidRDefault="000A6141" w:rsidP="000A6141">
      <w:pPr>
        <w:jc w:val="both"/>
        <w:rPr>
          <w:rFonts w:ascii="Times New Roman" w:hAnsi="Times New Roman" w:cs="Times New Roman"/>
        </w:rPr>
      </w:pPr>
      <w:r w:rsidRPr="000A6141">
        <w:rPr>
          <w:rFonts w:ascii="Times New Roman" w:hAnsi="Times New Roman" w:cs="Times New Roman"/>
        </w:rPr>
        <w:t>‘technical capacity’ means the maximum firm capacity that the transmission system operator can offer to the network users, taking account of system integrity and the operational requirements of the transmission network</w:t>
      </w:r>
    </w:p>
    <w:p w14:paraId="450D62E6" w14:textId="6836D1D0" w:rsidR="007C641B" w:rsidRDefault="000A6141" w:rsidP="0003442B">
      <w:pPr>
        <w:jc w:val="both"/>
        <w:rPr>
          <w:rFonts w:ascii="Times New Roman" w:hAnsi="Times New Roman" w:cs="Times New Roman"/>
        </w:rPr>
      </w:pPr>
      <w:r w:rsidRPr="000A6141">
        <w:rPr>
          <w:rFonts w:ascii="Times New Roman" w:hAnsi="Times New Roman" w:cs="Times New Roman"/>
        </w:rPr>
        <w:t>‘available capacity’ means the part of the technical capacity that is not allocated and is still available to the system at that moment</w:t>
      </w:r>
      <w:bookmarkStart w:id="0" w:name="_Hlk68095070"/>
      <w:bookmarkStart w:id="1" w:name="_Hlk71551211"/>
    </w:p>
    <w:p w14:paraId="091D39D5" w14:textId="77777777" w:rsidR="003F3D1E" w:rsidRDefault="003F3D1E" w:rsidP="0003442B">
      <w:pPr>
        <w:jc w:val="both"/>
        <w:rPr>
          <w:rFonts w:ascii="Times New Roman" w:hAnsi="Times New Roman" w:cs="Times New Roman"/>
        </w:rPr>
      </w:pPr>
    </w:p>
    <w:p w14:paraId="45F532F4" w14:textId="4B0C6C25" w:rsidR="00E67595" w:rsidRPr="00F01598" w:rsidRDefault="00E67595" w:rsidP="0003442B">
      <w:pPr>
        <w:jc w:val="both"/>
        <w:rPr>
          <w:rFonts w:ascii="Times New Roman" w:hAnsi="Times New Roman" w:cs="Times New Roman"/>
          <w:b/>
          <w:bCs/>
        </w:rPr>
      </w:pPr>
      <w:r w:rsidRPr="00F01598">
        <w:rPr>
          <w:rFonts w:ascii="Times New Roman" w:hAnsi="Times New Roman" w:cs="Times New Roman"/>
          <w:b/>
          <w:bCs/>
        </w:rPr>
        <w:t>Capacity calculation and coordination timeframes</w:t>
      </w:r>
      <w:bookmarkEnd w:id="0"/>
    </w:p>
    <w:bookmarkEnd w:id="1"/>
    <w:p w14:paraId="7BF3DC9D" w14:textId="1BAFE6C9" w:rsidR="00EF0B02" w:rsidRDefault="00616421" w:rsidP="0003442B">
      <w:pPr>
        <w:jc w:val="both"/>
        <w:rPr>
          <w:rFonts w:ascii="Times New Roman" w:hAnsi="Times New Roman" w:cs="Times New Roman"/>
        </w:rPr>
      </w:pPr>
      <w:r>
        <w:rPr>
          <w:rFonts w:ascii="Times New Roman" w:hAnsi="Times New Roman" w:cs="Times New Roman"/>
        </w:rPr>
        <w:t xml:space="preserve">The </w:t>
      </w:r>
      <w:r w:rsidR="000E7CAE" w:rsidRPr="005D66C5">
        <w:rPr>
          <w:rFonts w:ascii="Times New Roman" w:hAnsi="Times New Roman" w:cs="Times New Roman"/>
        </w:rPr>
        <w:t>Baltic-Finnish market area TSOs shall coordinate, calculate and publish technical capacity in the timeframes</w:t>
      </w:r>
      <w:r w:rsidR="003D6D9E">
        <w:rPr>
          <w:rFonts w:ascii="Times New Roman" w:hAnsi="Times New Roman" w:cs="Times New Roman"/>
        </w:rPr>
        <w:t xml:space="preserve"> </w:t>
      </w:r>
      <w:r w:rsidR="003E5853">
        <w:rPr>
          <w:rFonts w:ascii="Times New Roman" w:hAnsi="Times New Roman" w:cs="Times New Roman"/>
        </w:rPr>
        <w:t xml:space="preserve">described in this section </w:t>
      </w:r>
      <w:r w:rsidR="003D6D9E">
        <w:rPr>
          <w:rFonts w:ascii="Times New Roman" w:hAnsi="Times New Roman" w:cs="Times New Roman"/>
        </w:rPr>
        <w:t>for all relevant</w:t>
      </w:r>
      <w:r w:rsidR="001B6863">
        <w:rPr>
          <w:rFonts w:ascii="Times New Roman" w:hAnsi="Times New Roman" w:cs="Times New Roman"/>
        </w:rPr>
        <w:t xml:space="preserve"> points</w:t>
      </w:r>
      <w:r w:rsidR="003E5853">
        <w:rPr>
          <w:rFonts w:ascii="Times New Roman" w:hAnsi="Times New Roman" w:cs="Times New Roman"/>
        </w:rPr>
        <w:t xml:space="preserve">. </w:t>
      </w:r>
      <w:r w:rsidR="00AB133F">
        <w:rPr>
          <w:rFonts w:ascii="Times New Roman" w:hAnsi="Times New Roman" w:cs="Times New Roman"/>
        </w:rPr>
        <w:t xml:space="preserve">Due to </w:t>
      </w:r>
      <w:r w:rsidR="001B624F">
        <w:rPr>
          <w:rFonts w:ascii="Times New Roman" w:hAnsi="Times New Roman" w:cs="Times New Roman"/>
        </w:rPr>
        <w:t>different character</w:t>
      </w:r>
      <w:r w:rsidR="008E4C39">
        <w:rPr>
          <w:rFonts w:ascii="Times New Roman" w:hAnsi="Times New Roman" w:cs="Times New Roman"/>
        </w:rPr>
        <w:t>istics</w:t>
      </w:r>
      <w:r w:rsidR="00A26A49">
        <w:rPr>
          <w:rFonts w:ascii="Times New Roman" w:hAnsi="Times New Roman" w:cs="Times New Roman"/>
        </w:rPr>
        <w:t xml:space="preserve"> </w:t>
      </w:r>
      <w:r w:rsidR="008E4C39">
        <w:rPr>
          <w:rFonts w:ascii="Times New Roman" w:hAnsi="Times New Roman" w:cs="Times New Roman"/>
        </w:rPr>
        <w:t xml:space="preserve">of the </w:t>
      </w:r>
      <w:r w:rsidR="00C672F2">
        <w:rPr>
          <w:rFonts w:ascii="Times New Roman" w:hAnsi="Times New Roman" w:cs="Times New Roman"/>
        </w:rPr>
        <w:t xml:space="preserve">relevant </w:t>
      </w:r>
      <w:r w:rsidR="00C672F2" w:rsidRPr="001B6863">
        <w:rPr>
          <w:rFonts w:ascii="Times New Roman" w:hAnsi="Times New Roman" w:cs="Times New Roman"/>
        </w:rPr>
        <w:t>points</w:t>
      </w:r>
      <w:r w:rsidR="008D1033">
        <w:rPr>
          <w:rFonts w:ascii="Times New Roman" w:hAnsi="Times New Roman" w:cs="Times New Roman"/>
        </w:rPr>
        <w:t>, the</w:t>
      </w:r>
      <w:r w:rsidR="00A26A49">
        <w:rPr>
          <w:rFonts w:ascii="Times New Roman" w:hAnsi="Times New Roman" w:cs="Times New Roman"/>
        </w:rPr>
        <w:t xml:space="preserve"> capacity calculation and coordination timeframes are not </w:t>
      </w:r>
      <w:r w:rsidR="00A563EB">
        <w:rPr>
          <w:rFonts w:ascii="Times New Roman" w:hAnsi="Times New Roman" w:cs="Times New Roman"/>
        </w:rPr>
        <w:t>fully harmonized</w:t>
      </w:r>
      <w:r w:rsidR="00F40A2D">
        <w:rPr>
          <w:rFonts w:ascii="Times New Roman" w:hAnsi="Times New Roman" w:cs="Times New Roman"/>
        </w:rPr>
        <w:t>.</w:t>
      </w:r>
      <w:r w:rsidR="00EF0B02">
        <w:rPr>
          <w:rFonts w:ascii="Times New Roman" w:hAnsi="Times New Roman" w:cs="Times New Roman"/>
        </w:rPr>
        <w:t xml:space="preserve"> The current deadlines and principles are defined in existing agreements between </w:t>
      </w:r>
      <w:r w:rsidR="004379D6">
        <w:rPr>
          <w:rFonts w:ascii="Times New Roman" w:hAnsi="Times New Roman" w:cs="Times New Roman"/>
        </w:rPr>
        <w:t>the TSOs</w:t>
      </w:r>
      <w:r w:rsidR="00EF0B02">
        <w:rPr>
          <w:rFonts w:ascii="Times New Roman" w:hAnsi="Times New Roman" w:cs="Times New Roman"/>
        </w:rPr>
        <w:t>:</w:t>
      </w:r>
    </w:p>
    <w:p w14:paraId="1F5C2AFB" w14:textId="0442B405" w:rsidR="00EF0B02" w:rsidRPr="00EF0B02" w:rsidRDefault="00EF0B02" w:rsidP="00266A5F">
      <w:pPr>
        <w:pStyle w:val="CommentText"/>
        <w:numPr>
          <w:ilvl w:val="0"/>
          <w:numId w:val="32"/>
        </w:numPr>
        <w:jc w:val="both"/>
        <w:rPr>
          <w:rFonts w:ascii="Times New Roman" w:hAnsi="Times New Roman" w:cs="Times New Roman"/>
          <w:sz w:val="22"/>
          <w:szCs w:val="22"/>
        </w:rPr>
      </w:pPr>
      <w:r w:rsidRPr="00EF0B02">
        <w:rPr>
          <w:rFonts w:ascii="Times New Roman" w:hAnsi="Times New Roman" w:cs="Times New Roman"/>
          <w:sz w:val="22"/>
          <w:szCs w:val="22"/>
        </w:rPr>
        <w:lastRenderedPageBreak/>
        <w:t>Interconnection agreement (</w:t>
      </w:r>
      <w:proofErr w:type="spellStart"/>
      <w:r w:rsidRPr="00EF0B02">
        <w:rPr>
          <w:rFonts w:ascii="Times New Roman" w:hAnsi="Times New Roman" w:cs="Times New Roman"/>
          <w:sz w:val="22"/>
          <w:szCs w:val="22"/>
        </w:rPr>
        <w:t>E</w:t>
      </w:r>
      <w:r>
        <w:rPr>
          <w:rFonts w:ascii="Times New Roman" w:hAnsi="Times New Roman" w:cs="Times New Roman"/>
          <w:sz w:val="22"/>
          <w:szCs w:val="22"/>
        </w:rPr>
        <w:t>lering</w:t>
      </w:r>
      <w:proofErr w:type="spellEnd"/>
      <w:r>
        <w:rPr>
          <w:rFonts w:ascii="Times New Roman" w:hAnsi="Times New Roman" w:cs="Times New Roman"/>
          <w:sz w:val="22"/>
          <w:szCs w:val="22"/>
        </w:rPr>
        <w:t xml:space="preserve"> and Gasgrid</w:t>
      </w:r>
      <w:r w:rsidRPr="00EF0B02">
        <w:rPr>
          <w:rFonts w:ascii="Times New Roman" w:hAnsi="Times New Roman" w:cs="Times New Roman"/>
          <w:sz w:val="22"/>
          <w:szCs w:val="22"/>
        </w:rPr>
        <w:t>)</w:t>
      </w:r>
      <w:r>
        <w:rPr>
          <w:rFonts w:ascii="Times New Roman" w:hAnsi="Times New Roman" w:cs="Times New Roman"/>
          <w:sz w:val="22"/>
          <w:szCs w:val="22"/>
        </w:rPr>
        <w:t xml:space="preserve">- Agreements governing the operational principles of </w:t>
      </w:r>
      <w:proofErr w:type="spellStart"/>
      <w:r>
        <w:rPr>
          <w:rFonts w:ascii="Times New Roman" w:hAnsi="Times New Roman" w:cs="Times New Roman"/>
          <w:sz w:val="22"/>
          <w:szCs w:val="22"/>
        </w:rPr>
        <w:t>Balticconnector</w:t>
      </w:r>
      <w:proofErr w:type="spellEnd"/>
      <w:r>
        <w:rPr>
          <w:rFonts w:ascii="Times New Roman" w:hAnsi="Times New Roman" w:cs="Times New Roman"/>
          <w:sz w:val="22"/>
          <w:szCs w:val="22"/>
        </w:rPr>
        <w:t xml:space="preserve"> interconnection point as well</w:t>
      </w:r>
      <w:r w:rsidR="00202DBB">
        <w:rPr>
          <w:rFonts w:ascii="Times New Roman" w:hAnsi="Times New Roman" w:cs="Times New Roman"/>
          <w:sz w:val="22"/>
          <w:szCs w:val="22"/>
        </w:rPr>
        <w:t xml:space="preserve"> as</w:t>
      </w:r>
      <w:r>
        <w:rPr>
          <w:rFonts w:ascii="Times New Roman" w:hAnsi="Times New Roman" w:cs="Times New Roman"/>
          <w:sz w:val="22"/>
          <w:szCs w:val="22"/>
        </w:rPr>
        <w:t xml:space="preserve"> the coordination principles between system operators.</w:t>
      </w:r>
    </w:p>
    <w:p w14:paraId="2DE9A039" w14:textId="56ED78A1" w:rsidR="00EF0B02" w:rsidRPr="00EF0B02" w:rsidRDefault="00EF0B02" w:rsidP="00266A5F">
      <w:pPr>
        <w:pStyle w:val="CommentText"/>
        <w:numPr>
          <w:ilvl w:val="0"/>
          <w:numId w:val="32"/>
        </w:numPr>
        <w:jc w:val="both"/>
        <w:rPr>
          <w:rFonts w:ascii="Times New Roman" w:hAnsi="Times New Roman" w:cs="Times New Roman"/>
          <w:sz w:val="22"/>
          <w:szCs w:val="22"/>
        </w:rPr>
      </w:pPr>
      <w:r w:rsidRPr="00EF0B02">
        <w:rPr>
          <w:rFonts w:ascii="Times New Roman" w:hAnsi="Times New Roman" w:cs="Times New Roman"/>
          <w:sz w:val="22"/>
          <w:szCs w:val="22"/>
        </w:rPr>
        <w:t>Technical agreement (</w:t>
      </w:r>
      <w:proofErr w:type="spellStart"/>
      <w:r>
        <w:rPr>
          <w:rFonts w:ascii="Times New Roman" w:hAnsi="Times New Roman" w:cs="Times New Roman"/>
          <w:sz w:val="22"/>
          <w:szCs w:val="22"/>
        </w:rPr>
        <w:t>Elering</w:t>
      </w:r>
      <w:proofErr w:type="spellEnd"/>
      <w:r>
        <w:rPr>
          <w:rFonts w:ascii="Times New Roman" w:hAnsi="Times New Roman" w:cs="Times New Roman"/>
          <w:sz w:val="22"/>
          <w:szCs w:val="22"/>
        </w:rPr>
        <w:t xml:space="preserve"> and Conexus Baltic Grid</w:t>
      </w:r>
      <w:r w:rsidRPr="00EF0B02">
        <w:rPr>
          <w:rFonts w:ascii="Times New Roman" w:hAnsi="Times New Roman" w:cs="Times New Roman"/>
          <w:sz w:val="22"/>
          <w:szCs w:val="22"/>
        </w:rPr>
        <w:t>)</w:t>
      </w:r>
      <w:r>
        <w:rPr>
          <w:rFonts w:ascii="Times New Roman" w:hAnsi="Times New Roman" w:cs="Times New Roman"/>
          <w:sz w:val="22"/>
          <w:szCs w:val="22"/>
        </w:rPr>
        <w:t xml:space="preserve"> Agreement governing the technical principles for operation, data exchange and other related topics.</w:t>
      </w:r>
    </w:p>
    <w:p w14:paraId="2D9195DD" w14:textId="1D7BE331" w:rsidR="00EF0B02" w:rsidRPr="00EF0B02" w:rsidRDefault="00EF0B02" w:rsidP="006E4D16">
      <w:pPr>
        <w:pStyle w:val="ListParagraph"/>
        <w:numPr>
          <w:ilvl w:val="0"/>
          <w:numId w:val="32"/>
        </w:numPr>
        <w:jc w:val="both"/>
        <w:rPr>
          <w:rFonts w:ascii="Times New Roman" w:hAnsi="Times New Roman" w:cs="Times New Roman"/>
        </w:rPr>
      </w:pPr>
      <w:r w:rsidRPr="00EF0B02">
        <w:rPr>
          <w:rFonts w:ascii="Times New Roman" w:hAnsi="Times New Roman" w:cs="Times New Roman"/>
        </w:rPr>
        <w:t>Interconnection agreement (A</w:t>
      </w:r>
      <w:r>
        <w:rPr>
          <w:rFonts w:ascii="Times New Roman" w:hAnsi="Times New Roman" w:cs="Times New Roman"/>
        </w:rPr>
        <w:t>mber</w:t>
      </w:r>
      <w:r w:rsidR="00202DBB">
        <w:rPr>
          <w:rFonts w:ascii="Times New Roman" w:hAnsi="Times New Roman" w:cs="Times New Roman"/>
        </w:rPr>
        <w:t xml:space="preserve"> </w:t>
      </w:r>
      <w:r>
        <w:rPr>
          <w:rFonts w:ascii="Times New Roman" w:hAnsi="Times New Roman" w:cs="Times New Roman"/>
        </w:rPr>
        <w:t xml:space="preserve">Grid and Conexus Baltic Grid) </w:t>
      </w:r>
      <w:r w:rsidRPr="00EF0B02">
        <w:rPr>
          <w:rFonts w:ascii="Times New Roman" w:hAnsi="Times New Roman" w:cs="Times New Roman"/>
        </w:rPr>
        <w:t xml:space="preserve">Agreements governing the operational principles of </w:t>
      </w:r>
      <w:proofErr w:type="spellStart"/>
      <w:r>
        <w:rPr>
          <w:rFonts w:ascii="Times New Roman" w:hAnsi="Times New Roman" w:cs="Times New Roman"/>
        </w:rPr>
        <w:t>Ki</w:t>
      </w:r>
      <w:r w:rsidR="00266A5F">
        <w:rPr>
          <w:rFonts w:ascii="Times New Roman" w:hAnsi="Times New Roman" w:cs="Times New Roman"/>
        </w:rPr>
        <w:t>e</w:t>
      </w:r>
      <w:r>
        <w:rPr>
          <w:rFonts w:ascii="Times New Roman" w:hAnsi="Times New Roman" w:cs="Times New Roman"/>
        </w:rPr>
        <w:t>menai</w:t>
      </w:r>
      <w:proofErr w:type="spellEnd"/>
      <w:r w:rsidRPr="00EF0B02">
        <w:rPr>
          <w:rFonts w:ascii="Times New Roman" w:hAnsi="Times New Roman" w:cs="Times New Roman"/>
        </w:rPr>
        <w:t xml:space="preserve"> interconnection point as well</w:t>
      </w:r>
      <w:r w:rsidR="00202DBB">
        <w:rPr>
          <w:rFonts w:ascii="Times New Roman" w:hAnsi="Times New Roman" w:cs="Times New Roman"/>
        </w:rPr>
        <w:t xml:space="preserve"> as</w:t>
      </w:r>
      <w:r w:rsidRPr="00EF0B02">
        <w:rPr>
          <w:rFonts w:ascii="Times New Roman" w:hAnsi="Times New Roman" w:cs="Times New Roman"/>
        </w:rPr>
        <w:t xml:space="preserve"> the coordination principles between system operators.</w:t>
      </w:r>
    </w:p>
    <w:p w14:paraId="0CD4F637" w14:textId="2A74F8E2" w:rsidR="00195472" w:rsidRDefault="00EF0B02" w:rsidP="00EF0B02">
      <w:pPr>
        <w:jc w:val="both"/>
        <w:rPr>
          <w:rFonts w:ascii="Times New Roman" w:hAnsi="Times New Roman" w:cs="Times New Roman"/>
        </w:rPr>
      </w:pPr>
      <w:r>
        <w:rPr>
          <w:rFonts w:ascii="Times New Roman" w:hAnsi="Times New Roman" w:cs="Times New Roman"/>
        </w:rPr>
        <w:t xml:space="preserve">Based on the outcome of consultation the review of those agreements is foreseen to further align the publication of information and coordination procedures. </w:t>
      </w:r>
      <w:r w:rsidR="00F40A2D">
        <w:rPr>
          <w:rFonts w:ascii="Times New Roman" w:hAnsi="Times New Roman" w:cs="Times New Roman"/>
        </w:rPr>
        <w:t xml:space="preserve">The </w:t>
      </w:r>
      <w:r>
        <w:rPr>
          <w:rFonts w:ascii="Times New Roman" w:hAnsi="Times New Roman" w:cs="Times New Roman"/>
        </w:rPr>
        <w:t>current practices defined in the existing agreements are as follows:</w:t>
      </w:r>
    </w:p>
    <w:p w14:paraId="6C35E44F" w14:textId="5D52E639" w:rsidR="00F43CA9" w:rsidRDefault="00F43CA9" w:rsidP="0003442B">
      <w:pPr>
        <w:jc w:val="both"/>
        <w:rPr>
          <w:rFonts w:ascii="Times New Roman" w:hAnsi="Times New Roman" w:cs="Times New Roman"/>
          <w:b/>
          <w:bCs/>
        </w:rPr>
      </w:pPr>
      <w:r>
        <w:rPr>
          <w:rFonts w:ascii="Times New Roman" w:hAnsi="Times New Roman" w:cs="Times New Roman"/>
          <w:b/>
          <w:bCs/>
        </w:rPr>
        <w:t>Common practices identified</w:t>
      </w:r>
    </w:p>
    <w:p w14:paraId="45AC3EA6" w14:textId="04A22D1D" w:rsidR="00F43CA9" w:rsidRDefault="00F43CA9" w:rsidP="00F43CA9">
      <w:pPr>
        <w:jc w:val="both"/>
        <w:rPr>
          <w:rFonts w:ascii="Times New Roman" w:hAnsi="Times New Roman" w:cs="Times New Roman"/>
        </w:rPr>
      </w:pPr>
      <w:r w:rsidRPr="00B27B09">
        <w:rPr>
          <w:rFonts w:ascii="Times New Roman" w:hAnsi="Times New Roman" w:cs="Times New Roman"/>
        </w:rPr>
        <w:t>Technical capacity</w:t>
      </w:r>
      <w:r w:rsidR="00D65FB1">
        <w:rPr>
          <w:rFonts w:ascii="Times New Roman" w:hAnsi="Times New Roman" w:cs="Times New Roman"/>
        </w:rPr>
        <w:t xml:space="preserve"> </w:t>
      </w:r>
      <w:r w:rsidRPr="00B27B09">
        <w:rPr>
          <w:rFonts w:ascii="Times New Roman" w:hAnsi="Times New Roman" w:cs="Times New Roman"/>
        </w:rPr>
        <w:t xml:space="preserve">will be published </w:t>
      </w:r>
      <w:r>
        <w:rPr>
          <w:rFonts w:ascii="Times New Roman" w:hAnsi="Times New Roman" w:cs="Times New Roman"/>
        </w:rPr>
        <w:t>at least</w:t>
      </w:r>
      <w:r w:rsidR="00D65FB1">
        <w:rPr>
          <w:rFonts w:ascii="Times New Roman" w:hAnsi="Times New Roman" w:cs="Times New Roman"/>
        </w:rPr>
        <w:t xml:space="preserve"> 10 years ahead and </w:t>
      </w:r>
      <w:r w:rsidR="00D65FB1" w:rsidRPr="00D65FB1">
        <w:rPr>
          <w:rFonts w:ascii="Times New Roman" w:hAnsi="Times New Roman" w:cs="Times New Roman"/>
        </w:rPr>
        <w:t>available capacity and booked capacity at least 24 months</w:t>
      </w:r>
      <w:r w:rsidR="00D65FB1">
        <w:rPr>
          <w:rFonts w:ascii="Times New Roman" w:hAnsi="Times New Roman" w:cs="Times New Roman"/>
        </w:rPr>
        <w:t xml:space="preserve"> ahead</w:t>
      </w:r>
      <w:r>
        <w:rPr>
          <w:rFonts w:ascii="Times New Roman" w:hAnsi="Times New Roman" w:cs="Times New Roman"/>
        </w:rPr>
        <w:t>,</w:t>
      </w:r>
      <w:r w:rsidR="00D65FB1">
        <w:rPr>
          <w:rFonts w:ascii="Times New Roman" w:hAnsi="Times New Roman" w:cs="Times New Roman"/>
        </w:rPr>
        <w:t xml:space="preserve"> </w:t>
      </w:r>
      <w:r w:rsidRPr="00B27B09">
        <w:rPr>
          <w:rFonts w:ascii="Times New Roman" w:hAnsi="Times New Roman" w:cs="Times New Roman"/>
        </w:rPr>
        <w:t>based on the available information at the time of publication.</w:t>
      </w:r>
      <w:r>
        <w:rPr>
          <w:rFonts w:ascii="Times New Roman" w:hAnsi="Times New Roman" w:cs="Times New Roman"/>
        </w:rPr>
        <w:t xml:space="preserve"> As the maintenance plan review period consists of outages up to year ahead</w:t>
      </w:r>
      <w:r w:rsidR="006E4D16">
        <w:rPr>
          <w:rFonts w:ascii="Times New Roman" w:hAnsi="Times New Roman" w:cs="Times New Roman"/>
        </w:rPr>
        <w:t xml:space="preserve">, </w:t>
      </w:r>
      <w:r>
        <w:rPr>
          <w:rFonts w:ascii="Times New Roman" w:hAnsi="Times New Roman" w:cs="Times New Roman"/>
        </w:rPr>
        <w:t>the capacity information for next gas years uses the normal operational capacity values</w:t>
      </w:r>
      <w:r w:rsidR="00266A5F">
        <w:rPr>
          <w:rFonts w:ascii="Times New Roman" w:hAnsi="Times New Roman" w:cs="Times New Roman"/>
        </w:rPr>
        <w:t xml:space="preserve"> (if there aren’t any known limitations)</w:t>
      </w:r>
      <w:r>
        <w:rPr>
          <w:rFonts w:ascii="Times New Roman" w:hAnsi="Times New Roman" w:cs="Times New Roman"/>
        </w:rPr>
        <w:t>.</w:t>
      </w:r>
      <w:r w:rsidRPr="00B27B09">
        <w:rPr>
          <w:rFonts w:ascii="Times New Roman" w:hAnsi="Times New Roman" w:cs="Times New Roman"/>
        </w:rPr>
        <w:t xml:space="preserve"> The technical capacity value shall</w:t>
      </w:r>
      <w:r w:rsidR="006E4D16">
        <w:rPr>
          <w:rFonts w:ascii="Times New Roman" w:hAnsi="Times New Roman" w:cs="Times New Roman"/>
        </w:rPr>
        <w:t xml:space="preserve"> be</w:t>
      </w:r>
      <w:r w:rsidRPr="00B27B09">
        <w:rPr>
          <w:rFonts w:ascii="Times New Roman" w:hAnsi="Times New Roman" w:cs="Times New Roman"/>
        </w:rPr>
        <w:t xml:space="preserve"> </w:t>
      </w:r>
      <w:r>
        <w:rPr>
          <w:rFonts w:ascii="Times New Roman" w:hAnsi="Times New Roman" w:cs="Times New Roman"/>
        </w:rPr>
        <w:t>reviewed periodically and updated</w:t>
      </w:r>
      <w:r w:rsidRPr="00B27B09">
        <w:rPr>
          <w:rFonts w:ascii="Times New Roman" w:hAnsi="Times New Roman" w:cs="Times New Roman"/>
        </w:rPr>
        <w:t xml:space="preserve"> </w:t>
      </w:r>
      <w:r>
        <w:rPr>
          <w:rFonts w:ascii="Times New Roman" w:hAnsi="Times New Roman" w:cs="Times New Roman"/>
        </w:rPr>
        <w:t>if</w:t>
      </w:r>
      <w:r w:rsidRPr="00B27B09">
        <w:rPr>
          <w:rFonts w:ascii="Times New Roman" w:hAnsi="Times New Roman" w:cs="Times New Roman"/>
        </w:rPr>
        <w:t xml:space="preserve"> there is new information having impact on the technical capacity value</w:t>
      </w:r>
      <w:r>
        <w:rPr>
          <w:rFonts w:ascii="Times New Roman" w:hAnsi="Times New Roman" w:cs="Times New Roman"/>
        </w:rPr>
        <w:t>s</w:t>
      </w:r>
      <w:r w:rsidR="00266A5F">
        <w:rPr>
          <w:rFonts w:ascii="Times New Roman" w:hAnsi="Times New Roman" w:cs="Times New Roman"/>
        </w:rPr>
        <w:t>.</w:t>
      </w:r>
      <w:r w:rsidRPr="00B27B09">
        <w:rPr>
          <w:rFonts w:ascii="Times New Roman" w:hAnsi="Times New Roman" w:cs="Times New Roman"/>
        </w:rPr>
        <w:t xml:space="preserve"> The technical capacity</w:t>
      </w:r>
      <w:r w:rsidR="001C221E">
        <w:rPr>
          <w:rFonts w:ascii="Times New Roman" w:hAnsi="Times New Roman" w:cs="Times New Roman"/>
        </w:rPr>
        <w:t xml:space="preserve">, </w:t>
      </w:r>
      <w:r w:rsidR="001C221E" w:rsidRPr="001C221E">
        <w:rPr>
          <w:rFonts w:ascii="Times New Roman" w:hAnsi="Times New Roman" w:cs="Times New Roman"/>
        </w:rPr>
        <w:t>available capacity and booked capacity</w:t>
      </w:r>
      <w:r w:rsidRPr="00B27B09">
        <w:rPr>
          <w:rFonts w:ascii="Times New Roman" w:hAnsi="Times New Roman" w:cs="Times New Roman"/>
        </w:rPr>
        <w:t xml:space="preserve"> </w:t>
      </w:r>
      <w:r w:rsidR="001C221E">
        <w:rPr>
          <w:rFonts w:ascii="Times New Roman" w:hAnsi="Times New Roman" w:cs="Times New Roman"/>
        </w:rPr>
        <w:t>are</w:t>
      </w:r>
      <w:r w:rsidRPr="00B27B09">
        <w:rPr>
          <w:rFonts w:ascii="Times New Roman" w:hAnsi="Times New Roman" w:cs="Times New Roman"/>
        </w:rPr>
        <w:t xml:space="preserve"> published on the ENTSOG Transparency Platform and on TSOs homepages. Exceptional event and interruptions limiting the capacity shall be published using UMM messages.</w:t>
      </w:r>
    </w:p>
    <w:p w14:paraId="5056FEC2" w14:textId="59830A58" w:rsidR="00F43CA9" w:rsidRPr="00EB4A51" w:rsidRDefault="00F43CA9" w:rsidP="0003442B">
      <w:pPr>
        <w:jc w:val="both"/>
        <w:rPr>
          <w:rFonts w:ascii="Times New Roman" w:hAnsi="Times New Roman" w:cs="Times New Roman"/>
        </w:rPr>
      </w:pPr>
      <w:r>
        <w:rPr>
          <w:rFonts w:ascii="Times New Roman" w:hAnsi="Times New Roman" w:cs="Times New Roman"/>
        </w:rPr>
        <w:t>When coordinating the maintenance plans the principle that</w:t>
      </w:r>
      <w:r w:rsidR="00897D3D">
        <w:rPr>
          <w:rFonts w:ascii="Times New Roman" w:hAnsi="Times New Roman" w:cs="Times New Roman"/>
        </w:rPr>
        <w:t xml:space="preserve"> </w:t>
      </w:r>
      <w:r>
        <w:rPr>
          <w:rFonts w:ascii="Times New Roman" w:hAnsi="Times New Roman" w:cs="Times New Roman"/>
        </w:rPr>
        <w:t>any planned</w:t>
      </w:r>
      <w:r w:rsidRPr="00B27B09">
        <w:rPr>
          <w:rFonts w:ascii="Times New Roman" w:hAnsi="Times New Roman" w:cs="Times New Roman"/>
        </w:rPr>
        <w:t xml:space="preserve"> maintenance works impacting the capacity </w:t>
      </w:r>
      <w:r>
        <w:rPr>
          <w:rFonts w:ascii="Times New Roman" w:hAnsi="Times New Roman" w:cs="Times New Roman"/>
        </w:rPr>
        <w:t xml:space="preserve">shall not be planned </w:t>
      </w:r>
      <w:r w:rsidRPr="00B27B09">
        <w:rPr>
          <w:rFonts w:ascii="Times New Roman" w:hAnsi="Times New Roman" w:cs="Times New Roman"/>
        </w:rPr>
        <w:t>at least 42 days before the delivery day.</w:t>
      </w:r>
      <w:r>
        <w:rPr>
          <w:rFonts w:ascii="Times New Roman" w:hAnsi="Times New Roman" w:cs="Times New Roman"/>
        </w:rPr>
        <w:t xml:space="preserve"> If there are maintenance works that can’t be postponed unplanned maintenance can be published with shorter lead lime. Any type of outage is published </w:t>
      </w:r>
      <w:r w:rsidR="00BB5452">
        <w:rPr>
          <w:rFonts w:ascii="Times New Roman" w:hAnsi="Times New Roman" w:cs="Times New Roman"/>
        </w:rPr>
        <w:t xml:space="preserve">according REMIT as soon as possible </w:t>
      </w:r>
      <w:r>
        <w:rPr>
          <w:rFonts w:ascii="Times New Roman" w:hAnsi="Times New Roman" w:cs="Times New Roman"/>
        </w:rPr>
        <w:t>after the capacity calculation and coordination of outage</w:t>
      </w:r>
      <w:r w:rsidR="006F04B6">
        <w:rPr>
          <w:rFonts w:ascii="Times New Roman" w:hAnsi="Times New Roman" w:cs="Times New Roman"/>
        </w:rPr>
        <w:t xml:space="preserve"> is finalized</w:t>
      </w:r>
      <w:r w:rsidR="00B81AD1">
        <w:rPr>
          <w:rFonts w:ascii="Times New Roman" w:hAnsi="Times New Roman" w:cs="Times New Roman"/>
        </w:rPr>
        <w:t xml:space="preserve">. </w:t>
      </w:r>
      <w:bookmarkStart w:id="2" w:name="_Hlk75264570"/>
      <w:r w:rsidR="00D129C3" w:rsidRPr="00D129C3">
        <w:rPr>
          <w:rFonts w:ascii="Times New Roman" w:hAnsi="Times New Roman" w:cs="Times New Roman"/>
        </w:rPr>
        <w:t xml:space="preserve">Information regarding place </w:t>
      </w:r>
      <w:r w:rsidR="00D129C3">
        <w:rPr>
          <w:rFonts w:ascii="Times New Roman" w:hAnsi="Times New Roman" w:cs="Times New Roman"/>
        </w:rPr>
        <w:t>of publication is described</w:t>
      </w:r>
      <w:r w:rsidR="00D129C3" w:rsidRPr="00D129C3">
        <w:rPr>
          <w:rFonts w:ascii="Times New Roman" w:hAnsi="Times New Roman" w:cs="Times New Roman"/>
        </w:rPr>
        <w:t xml:space="preserve"> in the section</w:t>
      </w:r>
      <w:bookmarkEnd w:id="2"/>
      <w:r w:rsidR="00D129C3" w:rsidRPr="00D129C3">
        <w:rPr>
          <w:rFonts w:ascii="Times New Roman" w:hAnsi="Times New Roman" w:cs="Times New Roman"/>
        </w:rPr>
        <w:t xml:space="preserve"> </w:t>
      </w:r>
      <w:r w:rsidR="00D129C3" w:rsidRPr="00266A5F">
        <w:rPr>
          <w:rFonts w:ascii="Times New Roman" w:hAnsi="Times New Roman" w:cs="Times New Roman"/>
          <w:i/>
          <w:iCs/>
        </w:rPr>
        <w:t>Coordination of joint maintenance plans</w:t>
      </w:r>
      <w:r w:rsidR="00D129C3">
        <w:rPr>
          <w:rFonts w:ascii="Times New Roman" w:hAnsi="Times New Roman" w:cs="Times New Roman"/>
        </w:rPr>
        <w:t xml:space="preserve">. </w:t>
      </w:r>
    </w:p>
    <w:p w14:paraId="722AE396" w14:textId="7C553742" w:rsidR="00B805C7" w:rsidRDefault="00195472" w:rsidP="0003442B">
      <w:pPr>
        <w:jc w:val="both"/>
        <w:rPr>
          <w:rFonts w:ascii="Times New Roman" w:hAnsi="Times New Roman" w:cs="Times New Roman"/>
          <w:b/>
          <w:bCs/>
        </w:rPr>
      </w:pPr>
      <w:proofErr w:type="spellStart"/>
      <w:r w:rsidRPr="00B27B09">
        <w:rPr>
          <w:rFonts w:ascii="Times New Roman" w:hAnsi="Times New Roman" w:cs="Times New Roman"/>
          <w:b/>
          <w:bCs/>
        </w:rPr>
        <w:t>Elering</w:t>
      </w:r>
      <w:proofErr w:type="spellEnd"/>
      <w:r w:rsidRPr="00B27B09">
        <w:rPr>
          <w:rFonts w:ascii="Times New Roman" w:hAnsi="Times New Roman" w:cs="Times New Roman"/>
          <w:b/>
          <w:bCs/>
        </w:rPr>
        <w:t xml:space="preserve"> AS and Conexus Baltic Grid: </w:t>
      </w:r>
    </w:p>
    <w:p w14:paraId="320F60CD" w14:textId="20E5C28B" w:rsidR="000E7CAE" w:rsidRPr="00B27B09" w:rsidRDefault="006F4B4B" w:rsidP="0003442B">
      <w:pPr>
        <w:jc w:val="both"/>
        <w:rPr>
          <w:rFonts w:ascii="Times New Roman" w:hAnsi="Times New Roman" w:cs="Times New Roman"/>
          <w:b/>
          <w:bCs/>
        </w:rPr>
      </w:pPr>
      <w:r w:rsidRPr="00897D3D">
        <w:rPr>
          <w:rFonts w:ascii="Times New Roman" w:hAnsi="Times New Roman" w:cs="Times New Roman"/>
        </w:rPr>
        <w:t xml:space="preserve">Capacity </w:t>
      </w:r>
      <w:r w:rsidR="008D2034" w:rsidRPr="00897D3D">
        <w:rPr>
          <w:rFonts w:ascii="Times New Roman" w:hAnsi="Times New Roman" w:cs="Times New Roman"/>
        </w:rPr>
        <w:t>coordination</w:t>
      </w:r>
      <w:r w:rsidRPr="00897D3D">
        <w:rPr>
          <w:rFonts w:ascii="Times New Roman" w:hAnsi="Times New Roman" w:cs="Times New Roman"/>
        </w:rPr>
        <w:t xml:space="preserve"> and publication timelines in accordance with the framework agreement between Conexus and </w:t>
      </w:r>
      <w:proofErr w:type="spellStart"/>
      <w:r w:rsidRPr="00897D3D">
        <w:rPr>
          <w:rFonts w:ascii="Times New Roman" w:hAnsi="Times New Roman" w:cs="Times New Roman"/>
        </w:rPr>
        <w:t>Elering</w:t>
      </w:r>
      <w:proofErr w:type="spellEnd"/>
      <w:r w:rsidRPr="00897D3D">
        <w:rPr>
          <w:rFonts w:ascii="Times New Roman" w:hAnsi="Times New Roman" w:cs="Times New Roman"/>
        </w:rPr>
        <w:t xml:space="preserve"> states the following timeframes</w:t>
      </w:r>
      <w:r>
        <w:rPr>
          <w:rFonts w:ascii="Times New Roman" w:hAnsi="Times New Roman" w:cs="Times New Roman"/>
        </w:rPr>
        <w:t xml:space="preserve">. Prior to capacity calculation the system operators coordinate the maintenance plans in order to align the maintenance plans. The coordinated maintenance plan is used for basis for the capacity calculation and </w:t>
      </w:r>
      <w:r w:rsidR="00F43CA9">
        <w:rPr>
          <w:rFonts w:ascii="Times New Roman" w:hAnsi="Times New Roman" w:cs="Times New Roman"/>
        </w:rPr>
        <w:t>coordination</w:t>
      </w:r>
      <w:r w:rsidRPr="00897D3D">
        <w:rPr>
          <w:rFonts w:ascii="Times New Roman" w:hAnsi="Times New Roman" w:cs="Times New Roman"/>
        </w:rPr>
        <w:t>:</w:t>
      </w:r>
    </w:p>
    <w:p w14:paraId="13015564" w14:textId="043EA926"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Year ahead – (booking window opens on 1st of July each year) – by 15</w:t>
      </w:r>
      <w:r w:rsidRPr="005D66C5">
        <w:rPr>
          <w:rFonts w:ascii="Times New Roman" w:hAnsi="Times New Roman" w:cs="Times New Roman"/>
          <w:vertAlign w:val="superscript"/>
        </w:rPr>
        <w:t>th</w:t>
      </w:r>
      <w:r w:rsidRPr="005D66C5">
        <w:rPr>
          <w:rFonts w:ascii="Times New Roman" w:hAnsi="Times New Roman" w:cs="Times New Roman"/>
        </w:rPr>
        <w:t xml:space="preserve"> of </w:t>
      </w:r>
      <w:r w:rsidR="00E30931" w:rsidRPr="005D66C5">
        <w:rPr>
          <w:rFonts w:ascii="Times New Roman" w:hAnsi="Times New Roman" w:cs="Times New Roman"/>
        </w:rPr>
        <w:t xml:space="preserve">June </w:t>
      </w:r>
      <w:r w:rsidRPr="005D66C5">
        <w:rPr>
          <w:rFonts w:ascii="Times New Roman" w:hAnsi="Times New Roman" w:cs="Times New Roman"/>
        </w:rPr>
        <w:t>each year</w:t>
      </w:r>
    </w:p>
    <w:p w14:paraId="3535AAA8" w14:textId="77777777"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Quarterly – (booking window opens 2 months before beginning of the quarter) by 15</w:t>
      </w:r>
      <w:r w:rsidRPr="005D66C5">
        <w:rPr>
          <w:rFonts w:ascii="Times New Roman" w:hAnsi="Times New Roman" w:cs="Times New Roman"/>
          <w:vertAlign w:val="superscript"/>
        </w:rPr>
        <w:t>th</w:t>
      </w:r>
      <w:r w:rsidRPr="005D66C5">
        <w:rPr>
          <w:rFonts w:ascii="Times New Roman" w:hAnsi="Times New Roman" w:cs="Times New Roman"/>
        </w:rPr>
        <w:t xml:space="preserve"> of June, 15</w:t>
      </w:r>
      <w:r w:rsidRPr="005D66C5">
        <w:rPr>
          <w:rFonts w:ascii="Times New Roman" w:hAnsi="Times New Roman" w:cs="Times New Roman"/>
          <w:vertAlign w:val="superscript"/>
        </w:rPr>
        <w:t>th</w:t>
      </w:r>
      <w:r w:rsidRPr="005D66C5">
        <w:rPr>
          <w:rFonts w:ascii="Times New Roman" w:hAnsi="Times New Roman" w:cs="Times New Roman"/>
        </w:rPr>
        <w:t xml:space="preserve"> of September, 15</w:t>
      </w:r>
      <w:r w:rsidRPr="005D66C5">
        <w:rPr>
          <w:rFonts w:ascii="Times New Roman" w:hAnsi="Times New Roman" w:cs="Times New Roman"/>
          <w:vertAlign w:val="superscript"/>
        </w:rPr>
        <w:t>th</w:t>
      </w:r>
      <w:r w:rsidRPr="005D66C5">
        <w:rPr>
          <w:rFonts w:ascii="Times New Roman" w:hAnsi="Times New Roman" w:cs="Times New Roman"/>
        </w:rPr>
        <w:t xml:space="preserve"> of December and 15</w:t>
      </w:r>
      <w:r w:rsidRPr="005D66C5">
        <w:rPr>
          <w:rFonts w:ascii="Times New Roman" w:hAnsi="Times New Roman" w:cs="Times New Roman"/>
          <w:vertAlign w:val="superscript"/>
        </w:rPr>
        <w:t>th</w:t>
      </w:r>
      <w:r w:rsidRPr="005D66C5">
        <w:rPr>
          <w:rFonts w:ascii="Times New Roman" w:hAnsi="Times New Roman" w:cs="Times New Roman"/>
        </w:rPr>
        <w:t xml:space="preserve"> of March</w:t>
      </w:r>
    </w:p>
    <w:p w14:paraId="66E0B3E3" w14:textId="6B5AC895"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 xml:space="preserve">Month ahead – 15th of two months before; </w:t>
      </w:r>
    </w:p>
    <w:p w14:paraId="556208E5" w14:textId="77777777"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Day ahead at 10:00 EE(S)</w:t>
      </w:r>
      <w:proofErr w:type="spellStart"/>
      <w:r w:rsidRPr="005D66C5">
        <w:rPr>
          <w:rFonts w:ascii="Times New Roman" w:hAnsi="Times New Roman" w:cs="Times New Roman"/>
        </w:rPr>
        <w:t>T on</w:t>
      </w:r>
      <w:proofErr w:type="spellEnd"/>
      <w:r w:rsidRPr="005D66C5">
        <w:rPr>
          <w:rFonts w:ascii="Times New Roman" w:hAnsi="Times New Roman" w:cs="Times New Roman"/>
        </w:rPr>
        <w:t xml:space="preserve"> D-1; </w:t>
      </w:r>
    </w:p>
    <w:p w14:paraId="2CFC1594" w14:textId="77777777"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In case of exceptional change of capacity, as soon as possible;</w:t>
      </w:r>
    </w:p>
    <w:p w14:paraId="3DE0B021" w14:textId="33715E39" w:rsidR="001C7F7E" w:rsidRPr="00B27B09" w:rsidRDefault="003D7D95" w:rsidP="0003442B">
      <w:pPr>
        <w:jc w:val="both"/>
        <w:rPr>
          <w:rFonts w:ascii="Times New Roman" w:hAnsi="Times New Roman" w:cs="Times New Roman"/>
          <w:b/>
          <w:bCs/>
        </w:rPr>
      </w:pPr>
      <w:r w:rsidRPr="00B27B09">
        <w:rPr>
          <w:rFonts w:ascii="Times New Roman" w:hAnsi="Times New Roman" w:cs="Times New Roman"/>
          <w:b/>
          <w:bCs/>
        </w:rPr>
        <w:t xml:space="preserve">Gasgrid Finland: </w:t>
      </w:r>
    </w:p>
    <w:p w14:paraId="7155DDB4" w14:textId="77777777" w:rsidR="002C7FC0" w:rsidRDefault="00803274" w:rsidP="00803274">
      <w:pPr>
        <w:jc w:val="both"/>
        <w:rPr>
          <w:rFonts w:ascii="Times New Roman" w:hAnsi="Times New Roman" w:cs="Times New Roman"/>
        </w:rPr>
      </w:pPr>
      <w:r w:rsidRPr="001D4FD9">
        <w:rPr>
          <w:rFonts w:ascii="Times New Roman" w:hAnsi="Times New Roman" w:cs="Times New Roman"/>
        </w:rPr>
        <w:t xml:space="preserve">Gasgrid calculates the technical capacity by using SIMONE modeling software. Gasgrid applies hydraulic </w:t>
      </w:r>
      <w:r w:rsidRPr="002C7FC0">
        <w:rPr>
          <w:rFonts w:ascii="Times New Roman" w:hAnsi="Times New Roman" w:cs="Times New Roman"/>
        </w:rPr>
        <w:t xml:space="preserve">calculation model.  </w:t>
      </w:r>
    </w:p>
    <w:p w14:paraId="5E294C56" w14:textId="38149F2E" w:rsidR="00473F73" w:rsidRDefault="00A53D28" w:rsidP="00803274">
      <w:pPr>
        <w:jc w:val="both"/>
        <w:rPr>
          <w:rFonts w:ascii="Times New Roman" w:hAnsi="Times New Roman" w:cs="Times New Roman"/>
          <w:color w:val="000000"/>
        </w:rPr>
      </w:pPr>
      <w:proofErr w:type="spellStart"/>
      <w:r w:rsidRPr="002C7FC0">
        <w:rPr>
          <w:rFonts w:ascii="Times New Roman" w:hAnsi="Times New Roman" w:cs="Times New Roman"/>
        </w:rPr>
        <w:lastRenderedPageBreak/>
        <w:t>Balticconnector</w:t>
      </w:r>
      <w:proofErr w:type="spellEnd"/>
      <w:r w:rsidRPr="002C7FC0">
        <w:rPr>
          <w:rFonts w:ascii="Times New Roman" w:hAnsi="Times New Roman" w:cs="Times New Roman"/>
        </w:rPr>
        <w:t xml:space="preserve"> is the only interconnection point to/from Finnish gas network. </w:t>
      </w:r>
      <w:r w:rsidR="002C7FC0" w:rsidRPr="002C7FC0">
        <w:rPr>
          <w:rFonts w:ascii="Times New Roman" w:hAnsi="Times New Roman" w:cs="Times New Roman"/>
          <w:color w:val="000000"/>
        </w:rPr>
        <w:t xml:space="preserve">Gasgrid coordinates the entry and exit technical capacity offered at </w:t>
      </w:r>
      <w:proofErr w:type="spellStart"/>
      <w:r w:rsidR="002C7FC0" w:rsidRPr="002C7FC0">
        <w:rPr>
          <w:rFonts w:ascii="Times New Roman" w:hAnsi="Times New Roman" w:cs="Times New Roman"/>
          <w:color w:val="000000"/>
        </w:rPr>
        <w:t>Balticconnector</w:t>
      </w:r>
      <w:proofErr w:type="spellEnd"/>
      <w:r w:rsidR="002C7FC0" w:rsidRPr="002C7FC0">
        <w:rPr>
          <w:rFonts w:ascii="Times New Roman" w:hAnsi="Times New Roman" w:cs="Times New Roman"/>
          <w:color w:val="000000"/>
        </w:rPr>
        <w:t xml:space="preserve"> with Estonian and Latvian TSOs. By coordinating the technical capacities, the purpose is to </w:t>
      </w:r>
      <w:proofErr w:type="spellStart"/>
      <w:r w:rsidR="002C7FC0" w:rsidRPr="002C7FC0">
        <w:rPr>
          <w:rFonts w:ascii="Times New Roman" w:hAnsi="Times New Roman" w:cs="Times New Roman"/>
          <w:color w:val="000000"/>
        </w:rPr>
        <w:t>maximise</w:t>
      </w:r>
      <w:proofErr w:type="spellEnd"/>
      <w:r w:rsidR="002C7FC0" w:rsidRPr="002C7FC0">
        <w:rPr>
          <w:rFonts w:ascii="Times New Roman" w:hAnsi="Times New Roman" w:cs="Times New Roman"/>
          <w:color w:val="000000"/>
        </w:rPr>
        <w:t xml:space="preserve"> the capacity which can be offered for the market participants. The technical capacities are not only impacted by </w:t>
      </w:r>
      <w:r w:rsidR="00473F73">
        <w:rPr>
          <w:rFonts w:ascii="Times New Roman" w:hAnsi="Times New Roman" w:cs="Times New Roman"/>
          <w:color w:val="000000"/>
        </w:rPr>
        <w:t xml:space="preserve">characteristics </w:t>
      </w:r>
      <w:r w:rsidR="002C7FC0" w:rsidRPr="002C7FC0">
        <w:rPr>
          <w:rFonts w:ascii="Times New Roman" w:hAnsi="Times New Roman" w:cs="Times New Roman"/>
          <w:color w:val="000000"/>
        </w:rPr>
        <w:t xml:space="preserve">of local transmission system, but the neighboring transmission systems may have a significant impact on the technical capacities. Gasgrid coordinates the technical capacity calculation results with </w:t>
      </w:r>
      <w:proofErr w:type="spellStart"/>
      <w:r w:rsidR="002C7FC0" w:rsidRPr="002C7FC0">
        <w:rPr>
          <w:rFonts w:ascii="Times New Roman" w:hAnsi="Times New Roman" w:cs="Times New Roman"/>
          <w:color w:val="000000"/>
        </w:rPr>
        <w:t>Elering</w:t>
      </w:r>
      <w:proofErr w:type="spellEnd"/>
      <w:r w:rsidR="002C7FC0" w:rsidRPr="002C7FC0">
        <w:rPr>
          <w:rFonts w:ascii="Times New Roman" w:hAnsi="Times New Roman" w:cs="Times New Roman"/>
          <w:color w:val="000000"/>
        </w:rPr>
        <w:t xml:space="preserve"> AS and Conexus Baltic Grid </w:t>
      </w:r>
      <w:proofErr w:type="gramStart"/>
      <w:r w:rsidR="002C7FC0" w:rsidRPr="002C7FC0">
        <w:rPr>
          <w:rFonts w:ascii="Times New Roman" w:hAnsi="Times New Roman" w:cs="Times New Roman"/>
          <w:color w:val="000000"/>
        </w:rPr>
        <w:t>in order to</w:t>
      </w:r>
      <w:proofErr w:type="gramEnd"/>
      <w:r w:rsidR="002C7FC0" w:rsidRPr="002C7FC0">
        <w:rPr>
          <w:rFonts w:ascii="Times New Roman" w:hAnsi="Times New Roman" w:cs="Times New Roman"/>
          <w:color w:val="000000"/>
        </w:rPr>
        <w:t xml:space="preserve"> align the capacity values so that it takes into account the capability to transport gas accordingl</w:t>
      </w:r>
      <w:r w:rsidR="00FF67C5">
        <w:rPr>
          <w:rFonts w:ascii="Times New Roman" w:hAnsi="Times New Roman" w:cs="Times New Roman"/>
          <w:color w:val="000000"/>
        </w:rPr>
        <w:t xml:space="preserve">y. The technical capacity of </w:t>
      </w:r>
      <w:proofErr w:type="spellStart"/>
      <w:r w:rsidR="00FF67C5">
        <w:rPr>
          <w:rFonts w:ascii="Times New Roman" w:hAnsi="Times New Roman" w:cs="Times New Roman"/>
          <w:color w:val="000000"/>
        </w:rPr>
        <w:t>Balticconnector</w:t>
      </w:r>
      <w:proofErr w:type="spellEnd"/>
      <w:r w:rsidR="00FF67C5">
        <w:rPr>
          <w:rFonts w:ascii="Times New Roman" w:hAnsi="Times New Roman" w:cs="Times New Roman"/>
          <w:color w:val="000000"/>
        </w:rPr>
        <w:t xml:space="preserve"> are published in the ENTSOG Transparency Platform. </w:t>
      </w:r>
    </w:p>
    <w:p w14:paraId="4069832A" w14:textId="77777777" w:rsidR="00942905" w:rsidRDefault="00942905" w:rsidP="00942905">
      <w:pPr>
        <w:jc w:val="both"/>
        <w:rPr>
          <w:rFonts w:ascii="Times New Roman" w:hAnsi="Times New Roman" w:cs="Times New Roman"/>
        </w:rPr>
      </w:pPr>
      <w:r>
        <w:rPr>
          <w:rFonts w:ascii="Times New Roman" w:hAnsi="Times New Roman" w:cs="Times New Roman"/>
        </w:rPr>
        <w:t xml:space="preserve">At </w:t>
      </w:r>
      <w:proofErr w:type="spellStart"/>
      <w:r>
        <w:rPr>
          <w:rFonts w:ascii="Times New Roman" w:hAnsi="Times New Roman" w:cs="Times New Roman"/>
        </w:rPr>
        <w:t>Balticconnector</w:t>
      </w:r>
      <w:proofErr w:type="spellEnd"/>
      <w:r>
        <w:rPr>
          <w:rFonts w:ascii="Times New Roman" w:hAnsi="Times New Roman" w:cs="Times New Roman"/>
        </w:rPr>
        <w:t xml:space="preserve"> interconnection point, the capacity is coordinated and calculated according to the following schedule: </w:t>
      </w:r>
    </w:p>
    <w:p w14:paraId="2AD9BBE0" w14:textId="77777777" w:rsidR="00942905" w:rsidRDefault="00942905" w:rsidP="00942905">
      <w:pPr>
        <w:pStyle w:val="ListParagraph"/>
        <w:numPr>
          <w:ilvl w:val="0"/>
          <w:numId w:val="29"/>
        </w:numPr>
        <w:jc w:val="both"/>
        <w:rPr>
          <w:rFonts w:ascii="Times New Roman" w:hAnsi="Times New Roman" w:cs="Times New Roman"/>
        </w:rPr>
      </w:pPr>
      <w:r>
        <w:rPr>
          <w:rFonts w:ascii="Times New Roman" w:hAnsi="Times New Roman" w:cs="Times New Roman"/>
        </w:rPr>
        <w:t>Y</w:t>
      </w:r>
      <w:r w:rsidRPr="00C24875">
        <w:rPr>
          <w:rFonts w:ascii="Times New Roman" w:hAnsi="Times New Roman" w:cs="Times New Roman"/>
        </w:rPr>
        <w:t>ear ahead capacity is coordinated and calculated by 15th of June each year.</w:t>
      </w:r>
    </w:p>
    <w:p w14:paraId="7E093D23" w14:textId="77777777" w:rsidR="00942905" w:rsidRDefault="00942905" w:rsidP="00942905">
      <w:pPr>
        <w:pStyle w:val="ListParagraph"/>
        <w:numPr>
          <w:ilvl w:val="0"/>
          <w:numId w:val="29"/>
        </w:numPr>
        <w:jc w:val="both"/>
        <w:rPr>
          <w:rFonts w:ascii="Times New Roman" w:hAnsi="Times New Roman" w:cs="Times New Roman"/>
        </w:rPr>
      </w:pPr>
      <w:r w:rsidRPr="00A93F30">
        <w:rPr>
          <w:rFonts w:ascii="Times New Roman" w:hAnsi="Times New Roman" w:cs="Times New Roman"/>
        </w:rPr>
        <w:t>Month ahead – 21st of previous month.</w:t>
      </w:r>
    </w:p>
    <w:p w14:paraId="437B73D5" w14:textId="77777777" w:rsidR="00942905" w:rsidRDefault="00942905" w:rsidP="00942905">
      <w:pPr>
        <w:pStyle w:val="ListParagraph"/>
        <w:numPr>
          <w:ilvl w:val="0"/>
          <w:numId w:val="29"/>
        </w:numPr>
        <w:jc w:val="both"/>
        <w:rPr>
          <w:rFonts w:ascii="Times New Roman" w:hAnsi="Times New Roman" w:cs="Times New Roman"/>
        </w:rPr>
      </w:pPr>
      <w:r w:rsidRPr="00A93F30">
        <w:rPr>
          <w:rFonts w:ascii="Times New Roman" w:hAnsi="Times New Roman" w:cs="Times New Roman"/>
        </w:rPr>
        <w:t>Day</w:t>
      </w:r>
      <w:r>
        <w:rPr>
          <w:rFonts w:ascii="Times New Roman" w:hAnsi="Times New Roman" w:cs="Times New Roman"/>
        </w:rPr>
        <w:t>-</w:t>
      </w:r>
      <w:r w:rsidRPr="00A93F30">
        <w:rPr>
          <w:rFonts w:ascii="Times New Roman" w:hAnsi="Times New Roman" w:cs="Times New Roman"/>
        </w:rPr>
        <w:t xml:space="preserve">ahead at D-1 </w:t>
      </w:r>
      <w:r>
        <w:rPr>
          <w:rFonts w:ascii="Times New Roman" w:hAnsi="Times New Roman" w:cs="Times New Roman"/>
        </w:rPr>
        <w:t>by</w:t>
      </w:r>
      <w:r w:rsidRPr="00A93F30">
        <w:rPr>
          <w:rFonts w:ascii="Times New Roman" w:hAnsi="Times New Roman" w:cs="Times New Roman"/>
        </w:rPr>
        <w:t xml:space="preserve"> 17:00 EE(S)T</w:t>
      </w:r>
    </w:p>
    <w:p w14:paraId="72177FA1" w14:textId="6BDD8CCE" w:rsidR="00942905" w:rsidRDefault="00942905" w:rsidP="00942905">
      <w:pPr>
        <w:pStyle w:val="ListParagraph"/>
        <w:numPr>
          <w:ilvl w:val="0"/>
          <w:numId w:val="29"/>
        </w:numPr>
        <w:jc w:val="both"/>
        <w:rPr>
          <w:rFonts w:ascii="Times New Roman" w:hAnsi="Times New Roman" w:cs="Times New Roman"/>
        </w:rPr>
      </w:pPr>
      <w:r w:rsidRPr="00A93F30">
        <w:rPr>
          <w:rFonts w:ascii="Times New Roman" w:hAnsi="Times New Roman" w:cs="Times New Roman"/>
        </w:rPr>
        <w:t xml:space="preserve">In case of exceptional change of capacity, </w:t>
      </w:r>
      <w:r w:rsidR="00205D71">
        <w:rPr>
          <w:rFonts w:ascii="Times New Roman" w:hAnsi="Times New Roman" w:cs="Times New Roman"/>
        </w:rPr>
        <w:t xml:space="preserve">as soon as possible </w:t>
      </w:r>
      <w:r w:rsidRPr="00247B7D">
        <w:rPr>
          <w:rFonts w:ascii="Times New Roman" w:hAnsi="Times New Roman" w:cs="Times New Roman"/>
        </w:rPr>
        <w:t>after the capacity calculation and coordination of outage is finalized</w:t>
      </w:r>
    </w:p>
    <w:p w14:paraId="0A8827BF" w14:textId="45DA80F5" w:rsidR="00942905" w:rsidRPr="00EC1BE7" w:rsidRDefault="00942905" w:rsidP="00942905">
      <w:pPr>
        <w:jc w:val="both"/>
        <w:rPr>
          <w:rFonts w:ascii="Times New Roman" w:hAnsi="Times New Roman" w:cs="Times New Roman"/>
        </w:rPr>
      </w:pPr>
      <w:r>
        <w:rPr>
          <w:rFonts w:ascii="Times New Roman" w:hAnsi="Times New Roman" w:cs="Times New Roman"/>
        </w:rPr>
        <w:t xml:space="preserve">Gasgrid Finland and </w:t>
      </w:r>
      <w:proofErr w:type="spellStart"/>
      <w:r>
        <w:rPr>
          <w:rFonts w:ascii="Times New Roman" w:hAnsi="Times New Roman" w:cs="Times New Roman"/>
        </w:rPr>
        <w:t>Elering</w:t>
      </w:r>
      <w:proofErr w:type="spellEnd"/>
      <w:r>
        <w:rPr>
          <w:rFonts w:ascii="Times New Roman" w:hAnsi="Times New Roman" w:cs="Times New Roman"/>
        </w:rPr>
        <w:t xml:space="preserve"> will evaluate the applicable coordination and calculation schedule at </w:t>
      </w:r>
      <w:proofErr w:type="spellStart"/>
      <w:r>
        <w:rPr>
          <w:rFonts w:ascii="Times New Roman" w:hAnsi="Times New Roman" w:cs="Times New Roman"/>
        </w:rPr>
        <w:t>Balticconnector</w:t>
      </w:r>
      <w:proofErr w:type="spellEnd"/>
      <w:r>
        <w:rPr>
          <w:rFonts w:ascii="Times New Roman" w:hAnsi="Times New Roman" w:cs="Times New Roman"/>
        </w:rPr>
        <w:t xml:space="preserve">. The schedule may be amended if the TSOs find more efficient and appropriate schedule </w:t>
      </w:r>
      <w:proofErr w:type="gramStart"/>
      <w:r>
        <w:rPr>
          <w:rFonts w:ascii="Times New Roman" w:hAnsi="Times New Roman" w:cs="Times New Roman"/>
        </w:rPr>
        <w:t>taking into account</w:t>
      </w:r>
      <w:proofErr w:type="gramEnd"/>
      <w:r>
        <w:rPr>
          <w:rFonts w:ascii="Times New Roman" w:hAnsi="Times New Roman" w:cs="Times New Roman"/>
        </w:rPr>
        <w:t xml:space="preserve"> the coordinated maintenance plan.</w:t>
      </w:r>
    </w:p>
    <w:p w14:paraId="55DECE20" w14:textId="77777777" w:rsidR="00FF67C5" w:rsidRDefault="00803274" w:rsidP="00803274">
      <w:pPr>
        <w:jc w:val="both"/>
        <w:rPr>
          <w:rFonts w:ascii="Times New Roman" w:hAnsi="Times New Roman" w:cs="Times New Roman"/>
        </w:rPr>
      </w:pPr>
      <w:r>
        <w:rPr>
          <w:rFonts w:ascii="Times New Roman" w:hAnsi="Times New Roman" w:cs="Times New Roman"/>
        </w:rPr>
        <w:t xml:space="preserve">The technical capacity of </w:t>
      </w:r>
      <w:proofErr w:type="spellStart"/>
      <w:r>
        <w:rPr>
          <w:rFonts w:ascii="Times New Roman" w:hAnsi="Times New Roman" w:cs="Times New Roman"/>
        </w:rPr>
        <w:t>Imatra</w:t>
      </w:r>
      <w:proofErr w:type="spellEnd"/>
      <w:r>
        <w:rPr>
          <w:rFonts w:ascii="Times New Roman" w:hAnsi="Times New Roman" w:cs="Times New Roman"/>
        </w:rPr>
        <w:t xml:space="preserve"> entry point is set to the value of </w:t>
      </w:r>
      <w:r w:rsidRPr="00EC548E">
        <w:rPr>
          <w:rFonts w:ascii="Times New Roman" w:hAnsi="Times New Roman" w:cs="Times New Roman"/>
        </w:rPr>
        <w:t>220 GWh/day, except during the periods of maintenance works affecting to the technical capacity.</w:t>
      </w:r>
      <w:r w:rsidR="00FF67C5" w:rsidRPr="00FF67C5">
        <w:rPr>
          <w:rFonts w:ascii="Times New Roman" w:hAnsi="Times New Roman" w:cs="Times New Roman"/>
          <w:color w:val="000000"/>
        </w:rPr>
        <w:t xml:space="preserve"> </w:t>
      </w:r>
      <w:r w:rsidR="00FF67C5">
        <w:rPr>
          <w:rFonts w:ascii="Times New Roman" w:hAnsi="Times New Roman" w:cs="Times New Roman"/>
          <w:color w:val="000000"/>
        </w:rPr>
        <w:t xml:space="preserve">The technical capacity of </w:t>
      </w:r>
      <w:proofErr w:type="spellStart"/>
      <w:r w:rsidR="00FF67C5">
        <w:rPr>
          <w:rFonts w:ascii="Times New Roman" w:hAnsi="Times New Roman" w:cs="Times New Roman"/>
          <w:color w:val="000000"/>
        </w:rPr>
        <w:t>Imatra</w:t>
      </w:r>
      <w:proofErr w:type="spellEnd"/>
      <w:r w:rsidR="00FF67C5">
        <w:rPr>
          <w:rFonts w:ascii="Times New Roman" w:hAnsi="Times New Roman" w:cs="Times New Roman"/>
          <w:color w:val="000000"/>
        </w:rPr>
        <w:t xml:space="preserve"> entry point is published in the ENTSOG Transparency Platform.</w:t>
      </w:r>
      <w:r>
        <w:rPr>
          <w:rFonts w:ascii="Times New Roman" w:hAnsi="Times New Roman" w:cs="Times New Roman"/>
        </w:rPr>
        <w:t xml:space="preserve"> </w:t>
      </w:r>
    </w:p>
    <w:p w14:paraId="0034F19D" w14:textId="0191EA86" w:rsidR="00803274" w:rsidRPr="00C24875" w:rsidRDefault="00803274" w:rsidP="00803274">
      <w:pPr>
        <w:jc w:val="both"/>
      </w:pPr>
      <w:r>
        <w:rPr>
          <w:rFonts w:ascii="Times New Roman" w:hAnsi="Times New Roman" w:cs="Times New Roman"/>
        </w:rPr>
        <w:t xml:space="preserve">At Finnish exit zone, biogas virtual entry point and LNG virtual entry point Gasgrid Finland does not publish technical capacity values, because Gasgrid Finland has evaluated that it is capable to transport and receive gas in its transmission system without limitations. This means shippers may book entry and/or exit capacity products without restrictions on these points.  </w:t>
      </w:r>
    </w:p>
    <w:p w14:paraId="13D05E8D" w14:textId="72F196A1" w:rsidR="00F176BC" w:rsidRDefault="00F176BC" w:rsidP="0003442B">
      <w:pPr>
        <w:jc w:val="both"/>
        <w:rPr>
          <w:rFonts w:ascii="Times New Roman" w:hAnsi="Times New Roman" w:cs="Times New Roman"/>
          <w:b/>
          <w:bCs/>
        </w:rPr>
      </w:pPr>
      <w:r>
        <w:rPr>
          <w:rFonts w:ascii="Times New Roman" w:hAnsi="Times New Roman" w:cs="Times New Roman"/>
          <w:b/>
          <w:bCs/>
        </w:rPr>
        <w:t>Amber</w:t>
      </w:r>
      <w:r w:rsidR="00EC1AE8">
        <w:rPr>
          <w:rFonts w:ascii="Times New Roman" w:hAnsi="Times New Roman" w:cs="Times New Roman"/>
          <w:b/>
          <w:bCs/>
        </w:rPr>
        <w:t xml:space="preserve"> </w:t>
      </w:r>
      <w:r>
        <w:rPr>
          <w:rFonts w:ascii="Times New Roman" w:hAnsi="Times New Roman" w:cs="Times New Roman"/>
          <w:b/>
          <w:bCs/>
        </w:rPr>
        <w:t>Grid:</w:t>
      </w:r>
    </w:p>
    <w:p w14:paraId="5ACE91AD" w14:textId="77777777" w:rsidR="00C250B1" w:rsidRDefault="00C250B1" w:rsidP="00C250B1">
      <w:pPr>
        <w:pStyle w:val="CommentText"/>
        <w:jc w:val="both"/>
        <w:rPr>
          <w:rFonts w:ascii="Times New Roman" w:hAnsi="Times New Roman" w:cs="Times New Roman"/>
          <w:sz w:val="22"/>
          <w:szCs w:val="22"/>
        </w:rPr>
      </w:pPr>
      <w:r>
        <w:rPr>
          <w:rFonts w:ascii="Times New Roman" w:hAnsi="Times New Roman" w:cs="Times New Roman"/>
          <w:sz w:val="22"/>
          <w:szCs w:val="22"/>
        </w:rPr>
        <w:t xml:space="preserve">At GIPL IP offered capacity will be published according to the requirement of CAM NC and network users will be notified according to the following schedule: </w:t>
      </w:r>
    </w:p>
    <w:p w14:paraId="41B77DCD"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yearly products - at least 1 month before the auction starts; Art. 11(8) (yearly capacity auctions shall start on the first Monday of July each year unless otherwise specified in the auction calendar; Art. 11(4));</w:t>
      </w:r>
    </w:p>
    <w:p w14:paraId="37620727"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quarterly products – two weeks before the quarterly auctions start; Art. 12(6</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annual quarterly capacity auctions shall start on the following days, unless otherwise specified in the auction calendar: (a) on the first Monday of August; (b) on the first Monday of November; (c) on the first Monday of February; (d) on the first Monday of May; Art. 12(4));</w:t>
      </w:r>
    </w:p>
    <w:p w14:paraId="46B9294D"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monthly products – one week before the auction starts; Art. 13(6) (auctions shall start on the third Monday of each month for the following monthly standard capacity product unless otherwise specified in the auction calendar; Art 13(4));</w:t>
      </w:r>
    </w:p>
    <w:p w14:paraId="48724969"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day-ahead products – at the time the bidding round opens; Art. 14(8) (The bidding round shall open every day at 15.30 UTC (winter time) or 14.30 UTC (daylight saving); Art. 14(5);</w:t>
      </w:r>
    </w:p>
    <w:p w14:paraId="63772433"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lastRenderedPageBreak/>
        <w:t>Capacity for within-day products - after closure of the last day-ahead auction; Art. 15(9).</w:t>
      </w:r>
    </w:p>
    <w:p w14:paraId="695EDB4E" w14:textId="53A04843" w:rsidR="00963305" w:rsidRPr="003D6D9E" w:rsidRDefault="00963305" w:rsidP="0003442B">
      <w:pPr>
        <w:jc w:val="both"/>
        <w:rPr>
          <w:rFonts w:ascii="Times New Roman" w:hAnsi="Times New Roman" w:cs="Times New Roman"/>
          <w:b/>
          <w:bCs/>
        </w:rPr>
      </w:pPr>
    </w:p>
    <w:p w14:paraId="0FFDACF9" w14:textId="430EF1FB" w:rsidR="00A32891" w:rsidRPr="00B27B09" w:rsidRDefault="005D66C5" w:rsidP="0003442B">
      <w:pPr>
        <w:jc w:val="both"/>
        <w:rPr>
          <w:rFonts w:ascii="Times New Roman" w:hAnsi="Times New Roman" w:cs="Times New Roman"/>
          <w:lang w:val="lv-LV"/>
        </w:rPr>
      </w:pPr>
      <w:r>
        <w:rPr>
          <w:rFonts w:ascii="Times New Roman" w:hAnsi="Times New Roman" w:cs="Times New Roman"/>
          <w:b/>
          <w:bCs/>
          <w:sz w:val="28"/>
          <w:szCs w:val="28"/>
        </w:rPr>
        <w:t xml:space="preserve">Other capacity related information and </w:t>
      </w:r>
      <w:r w:rsidR="00E67595" w:rsidRPr="005D66C5">
        <w:rPr>
          <w:rFonts w:ascii="Times New Roman" w:hAnsi="Times New Roman" w:cs="Times New Roman"/>
          <w:b/>
          <w:bCs/>
          <w:sz w:val="28"/>
          <w:szCs w:val="28"/>
        </w:rPr>
        <w:t>publication principles used in the REMIT and Transparency reporting</w:t>
      </w:r>
    </w:p>
    <w:p w14:paraId="7B1E04C2" w14:textId="2F66017A" w:rsidR="00E67595" w:rsidRPr="005D66C5" w:rsidRDefault="00E67595" w:rsidP="0003442B">
      <w:pPr>
        <w:jc w:val="both"/>
        <w:rPr>
          <w:rFonts w:ascii="Times New Roman" w:hAnsi="Times New Roman" w:cs="Times New Roman"/>
          <w:b/>
          <w:bCs/>
        </w:rPr>
      </w:pPr>
      <w:r w:rsidRPr="005D66C5">
        <w:rPr>
          <w:rFonts w:ascii="Times New Roman" w:hAnsi="Times New Roman" w:cs="Times New Roman"/>
          <w:b/>
          <w:bCs/>
        </w:rPr>
        <w:t>Publication of implicit capacity shares</w:t>
      </w:r>
    </w:p>
    <w:p w14:paraId="46DEFD2F" w14:textId="2FA88CC4" w:rsidR="005D66C5" w:rsidRPr="005D66C5" w:rsidRDefault="005D66C5" w:rsidP="0003442B">
      <w:pPr>
        <w:jc w:val="both"/>
        <w:rPr>
          <w:rFonts w:ascii="Times New Roman" w:hAnsi="Times New Roman" w:cs="Times New Roman"/>
        </w:rPr>
      </w:pPr>
      <w:r w:rsidRPr="005D66C5">
        <w:rPr>
          <w:rFonts w:ascii="Times New Roman" w:hAnsi="Times New Roman" w:cs="Times New Roman"/>
        </w:rPr>
        <w:t xml:space="preserve">Implicit capacity allocation via Trading platform is allocated for </w:t>
      </w:r>
      <w:proofErr w:type="spellStart"/>
      <w:r w:rsidRPr="005D66C5">
        <w:rPr>
          <w:rFonts w:ascii="Times New Roman" w:hAnsi="Times New Roman" w:cs="Times New Roman"/>
        </w:rPr>
        <w:t>Balticconnector</w:t>
      </w:r>
      <w:proofErr w:type="spellEnd"/>
      <w:r w:rsidRPr="005D66C5">
        <w:rPr>
          <w:rFonts w:ascii="Times New Roman" w:hAnsi="Times New Roman" w:cs="Times New Roman"/>
        </w:rPr>
        <w:t xml:space="preserve"> and </w:t>
      </w:r>
      <w:proofErr w:type="spellStart"/>
      <w:r w:rsidRPr="005D66C5">
        <w:rPr>
          <w:rFonts w:ascii="Times New Roman" w:hAnsi="Times New Roman" w:cs="Times New Roman"/>
        </w:rPr>
        <w:t>Ki</w:t>
      </w:r>
      <w:r w:rsidR="000478AF">
        <w:rPr>
          <w:rFonts w:ascii="Times New Roman" w:hAnsi="Times New Roman" w:cs="Times New Roman"/>
        </w:rPr>
        <w:t>e</w:t>
      </w:r>
      <w:r w:rsidRPr="005D66C5">
        <w:rPr>
          <w:rFonts w:ascii="Times New Roman" w:hAnsi="Times New Roman" w:cs="Times New Roman"/>
        </w:rPr>
        <w:t>menai</w:t>
      </w:r>
      <w:proofErr w:type="spellEnd"/>
      <w:r w:rsidRPr="005D66C5">
        <w:rPr>
          <w:rFonts w:ascii="Times New Roman" w:hAnsi="Times New Roman" w:cs="Times New Roman"/>
        </w:rPr>
        <w:t xml:space="preserve"> interconnection </w:t>
      </w:r>
      <w:r w:rsidR="00A44489">
        <w:rPr>
          <w:rFonts w:ascii="Times New Roman" w:hAnsi="Times New Roman" w:cs="Times New Roman"/>
        </w:rPr>
        <w:t>points</w:t>
      </w:r>
      <w:r w:rsidRPr="005D66C5">
        <w:rPr>
          <w:rFonts w:ascii="Times New Roman" w:hAnsi="Times New Roman" w:cs="Times New Roman"/>
        </w:rPr>
        <w:t xml:space="preserve">. The amount of capacity share given to Trading platform for allocation is agreed with adjacent system operators as set out in the network rules of the adjacent market areas.  </w:t>
      </w:r>
    </w:p>
    <w:p w14:paraId="51F02070" w14:textId="7753703F" w:rsidR="00A32891" w:rsidRPr="00E77B9A" w:rsidRDefault="00A32891" w:rsidP="00E77B9A">
      <w:pPr>
        <w:jc w:val="both"/>
        <w:rPr>
          <w:rFonts w:ascii="Times New Roman" w:hAnsi="Times New Roman" w:cs="Times New Roman"/>
        </w:rPr>
      </w:pPr>
      <w:r w:rsidRPr="005D66C5">
        <w:rPr>
          <w:rFonts w:ascii="Times New Roman" w:hAnsi="Times New Roman" w:cs="Times New Roman"/>
        </w:rPr>
        <w:t>In accordance with the network rules set out in the common balancing zone the TSOs publish the information related to implicit capacity share allocated via the trading platform shall be:</w:t>
      </w:r>
    </w:p>
    <w:p w14:paraId="00DE89CD" w14:textId="439664E3" w:rsidR="00A32891" w:rsidRPr="005D66C5" w:rsidRDefault="005D66C5" w:rsidP="005D66C5">
      <w:pPr>
        <w:pStyle w:val="Heading4"/>
        <w:numPr>
          <w:ilvl w:val="0"/>
          <w:numId w:val="27"/>
        </w:numPr>
        <w:jc w:val="both"/>
        <w:rPr>
          <w:rFonts w:ascii="Times New Roman" w:eastAsiaTheme="minorHAnsi" w:hAnsi="Times New Roman" w:cs="Times New Roman"/>
          <w:i w:val="0"/>
          <w:iCs w:val="0"/>
          <w:color w:val="auto"/>
        </w:rPr>
      </w:pPr>
      <w:r w:rsidRPr="005D66C5">
        <w:rPr>
          <w:rFonts w:ascii="Times New Roman" w:eastAsiaTheme="minorHAnsi" w:hAnsi="Times New Roman" w:cs="Times New Roman"/>
          <w:i w:val="0"/>
          <w:iCs w:val="0"/>
          <w:color w:val="auto"/>
        </w:rPr>
        <w:t>In Estonian and Latvian market area: “</w:t>
      </w:r>
      <w:r w:rsidR="00A32891" w:rsidRPr="00E77B9A">
        <w:rPr>
          <w:rFonts w:ascii="Times New Roman" w:eastAsiaTheme="minorHAnsi" w:hAnsi="Times New Roman" w:cs="Times New Roman"/>
          <w:i w:val="0"/>
          <w:iCs w:val="0"/>
          <w:color w:val="auto"/>
        </w:rPr>
        <w:t>The amount of capacity given for implicit capacity allocation via trading platform(s) is determined based on historical data and on the principle of minimizing capacity shortage either for implicit capacity allocation via trading platform or for implicit capacity allocation via confirmed quantity. In case on previous day all capacity given to trading platform(s) was allocated, the trading platform(s) may request amount of capacity to be increased by five per cent. In case on previous day all capacity available for allocation by confirmed quantity was allocated and all capacity given to trading platform(s) was allocated, the amount of capacity given for trading platform(s) is reduced by five per cent.</w:t>
      </w:r>
      <w:r w:rsidRPr="005D66C5">
        <w:rPr>
          <w:rFonts w:ascii="Times New Roman" w:eastAsiaTheme="minorHAnsi" w:hAnsi="Times New Roman" w:cs="Times New Roman"/>
          <w:i w:val="0"/>
          <w:iCs w:val="0"/>
          <w:color w:val="auto"/>
        </w:rPr>
        <w:t>”</w:t>
      </w:r>
      <w:r w:rsidR="00A44489">
        <w:rPr>
          <w:rFonts w:ascii="Times New Roman" w:eastAsiaTheme="minorHAnsi" w:hAnsi="Times New Roman" w:cs="Times New Roman"/>
          <w:i w:val="0"/>
          <w:iCs w:val="0"/>
          <w:color w:val="auto"/>
        </w:rPr>
        <w:t xml:space="preserve">. </w:t>
      </w:r>
      <w:r w:rsidR="00A44489" w:rsidRPr="00A44489">
        <w:rPr>
          <w:rFonts w:ascii="Times New Roman" w:eastAsiaTheme="minorHAnsi" w:hAnsi="Times New Roman" w:cs="Times New Roman"/>
          <w:i w:val="0"/>
          <w:iCs w:val="0"/>
          <w:color w:val="auto"/>
        </w:rPr>
        <w:t>Any change of the implicit capacity share will be communicated in advance in accordance with market rules using the UMM message publication.</w:t>
      </w:r>
      <w:r w:rsidR="00305311">
        <w:rPr>
          <w:rFonts w:ascii="Times New Roman" w:eastAsiaTheme="minorHAnsi" w:hAnsi="Times New Roman" w:cs="Times New Roman"/>
          <w:i w:val="0"/>
          <w:iCs w:val="0"/>
          <w:color w:val="auto"/>
        </w:rPr>
        <w:t xml:space="preserve"> 10% of capacity shares are used currently</w:t>
      </w:r>
    </w:p>
    <w:p w14:paraId="4ADD8B62" w14:textId="2DCA8766" w:rsidR="005D66C5" w:rsidRDefault="007005CF" w:rsidP="00266A5F">
      <w:pPr>
        <w:pStyle w:val="ListParagraph"/>
        <w:numPr>
          <w:ilvl w:val="0"/>
          <w:numId w:val="27"/>
        </w:numPr>
        <w:jc w:val="both"/>
        <w:rPr>
          <w:rFonts w:ascii="Times New Roman" w:hAnsi="Times New Roman" w:cs="Times New Roman"/>
        </w:rPr>
      </w:pPr>
      <w:r>
        <w:rPr>
          <w:rFonts w:ascii="Times New Roman" w:hAnsi="Times New Roman" w:cs="Times New Roman"/>
        </w:rPr>
        <w:t xml:space="preserve">In Finnish market area: </w:t>
      </w:r>
      <w:r w:rsidR="004D173A">
        <w:rPr>
          <w:rFonts w:ascii="Times New Roman" w:hAnsi="Times New Roman" w:cs="Times New Roman"/>
        </w:rPr>
        <w:t xml:space="preserve">Gasgrid Finland shall define the share of technical capacity to be </w:t>
      </w:r>
      <w:r w:rsidR="00384C54">
        <w:rPr>
          <w:rFonts w:ascii="Times New Roman" w:hAnsi="Times New Roman" w:cs="Times New Roman"/>
        </w:rPr>
        <w:t xml:space="preserve">offered via trading platform(s) </w:t>
      </w:r>
      <w:r w:rsidR="0073076A">
        <w:rPr>
          <w:rFonts w:ascii="Times New Roman" w:hAnsi="Times New Roman" w:cs="Times New Roman"/>
        </w:rPr>
        <w:t xml:space="preserve">(gas exchange) </w:t>
      </w:r>
      <w:r w:rsidR="00384C54">
        <w:rPr>
          <w:rFonts w:ascii="Times New Roman" w:hAnsi="Times New Roman" w:cs="Times New Roman"/>
        </w:rPr>
        <w:t xml:space="preserve">and </w:t>
      </w:r>
      <w:r w:rsidR="0073076A">
        <w:rPr>
          <w:rFonts w:ascii="Times New Roman" w:hAnsi="Times New Roman" w:cs="Times New Roman"/>
        </w:rPr>
        <w:t>the TSO</w:t>
      </w:r>
      <w:r w:rsidR="006F2C97">
        <w:rPr>
          <w:rFonts w:ascii="Times New Roman" w:hAnsi="Times New Roman" w:cs="Times New Roman"/>
        </w:rPr>
        <w:t>’s platform</w:t>
      </w:r>
      <w:r w:rsidR="0073076A">
        <w:rPr>
          <w:rFonts w:ascii="Times New Roman" w:hAnsi="Times New Roman" w:cs="Times New Roman"/>
        </w:rPr>
        <w:t xml:space="preserve"> (OTC). </w:t>
      </w:r>
      <w:r>
        <w:rPr>
          <w:rFonts w:ascii="Times New Roman" w:hAnsi="Times New Roman" w:cs="Times New Roman"/>
        </w:rPr>
        <w:t xml:space="preserve">The </w:t>
      </w:r>
      <w:r w:rsidR="00AE569F" w:rsidRPr="00E77B9A">
        <w:rPr>
          <w:rFonts w:ascii="Times New Roman" w:hAnsi="Times New Roman" w:cs="Times New Roman"/>
        </w:rPr>
        <w:t xml:space="preserve">amount of </w:t>
      </w:r>
      <w:r w:rsidR="00E0435B">
        <w:rPr>
          <w:rFonts w:ascii="Times New Roman" w:hAnsi="Times New Roman" w:cs="Times New Roman"/>
        </w:rPr>
        <w:t xml:space="preserve">technical </w:t>
      </w:r>
      <w:r w:rsidR="00AE569F" w:rsidRPr="00E77B9A">
        <w:rPr>
          <w:rFonts w:ascii="Times New Roman" w:hAnsi="Times New Roman" w:cs="Times New Roman"/>
        </w:rPr>
        <w:t xml:space="preserve">capacity given for implicit capacity allocation via trading platform(s) is </w:t>
      </w:r>
      <w:r w:rsidR="007B256D">
        <w:rPr>
          <w:rFonts w:ascii="Times New Roman" w:hAnsi="Times New Roman" w:cs="Times New Roman"/>
        </w:rPr>
        <w:t xml:space="preserve">set </w:t>
      </w:r>
      <w:r w:rsidR="00E0435B">
        <w:rPr>
          <w:rFonts w:ascii="Times New Roman" w:hAnsi="Times New Roman" w:cs="Times New Roman"/>
        </w:rPr>
        <w:t>by Gasgrid</w:t>
      </w:r>
      <w:r w:rsidR="00701BEB">
        <w:rPr>
          <w:rFonts w:ascii="Times New Roman" w:hAnsi="Times New Roman" w:cs="Times New Roman"/>
        </w:rPr>
        <w:t xml:space="preserve">. </w:t>
      </w:r>
      <w:r w:rsidR="00252F11">
        <w:rPr>
          <w:rFonts w:ascii="Times New Roman" w:hAnsi="Times New Roman" w:cs="Times New Roman"/>
        </w:rPr>
        <w:t xml:space="preserve">The </w:t>
      </w:r>
      <w:r w:rsidR="003F1075">
        <w:rPr>
          <w:rFonts w:ascii="Times New Roman" w:hAnsi="Times New Roman" w:cs="Times New Roman"/>
        </w:rPr>
        <w:t xml:space="preserve">rest of </w:t>
      </w:r>
      <w:r w:rsidR="00252F11">
        <w:rPr>
          <w:rFonts w:ascii="Times New Roman" w:hAnsi="Times New Roman" w:cs="Times New Roman"/>
        </w:rPr>
        <w:t>technical capacity</w:t>
      </w:r>
      <w:r w:rsidR="00FC2AE6">
        <w:rPr>
          <w:rFonts w:ascii="Times New Roman" w:hAnsi="Times New Roman" w:cs="Times New Roman"/>
        </w:rPr>
        <w:t xml:space="preserve"> given for implicit capacity allocation is set by Gasgrid</w:t>
      </w:r>
      <w:r w:rsidR="00625F53">
        <w:rPr>
          <w:rFonts w:ascii="Times New Roman" w:hAnsi="Times New Roman" w:cs="Times New Roman"/>
        </w:rPr>
        <w:t xml:space="preserve"> for bilateral </w:t>
      </w:r>
      <w:r w:rsidR="002328DE">
        <w:rPr>
          <w:rFonts w:ascii="Times New Roman" w:hAnsi="Times New Roman" w:cs="Times New Roman"/>
        </w:rPr>
        <w:t>over-the-counter (OTC) trading</w:t>
      </w:r>
      <w:r w:rsidR="00625F53">
        <w:rPr>
          <w:rFonts w:ascii="Times New Roman" w:hAnsi="Times New Roman" w:cs="Times New Roman"/>
        </w:rPr>
        <w:t xml:space="preserve">. </w:t>
      </w:r>
      <w:r w:rsidR="00512DAD">
        <w:rPr>
          <w:rFonts w:ascii="Times New Roman" w:hAnsi="Times New Roman" w:cs="Times New Roman"/>
        </w:rPr>
        <w:t>If the share of capacity</w:t>
      </w:r>
      <w:r w:rsidR="00146D50">
        <w:rPr>
          <w:rFonts w:ascii="Times New Roman" w:hAnsi="Times New Roman" w:cs="Times New Roman"/>
        </w:rPr>
        <w:t xml:space="preserve"> offered for </w:t>
      </w:r>
      <w:r w:rsidR="00B23869">
        <w:rPr>
          <w:rFonts w:ascii="Times New Roman" w:hAnsi="Times New Roman" w:cs="Times New Roman"/>
        </w:rPr>
        <w:t>trading platform(s)</w:t>
      </w:r>
      <w:r w:rsidR="00512DAD">
        <w:rPr>
          <w:rFonts w:ascii="Times New Roman" w:hAnsi="Times New Roman" w:cs="Times New Roman"/>
        </w:rPr>
        <w:t xml:space="preserve"> </w:t>
      </w:r>
      <w:r w:rsidR="009C216D">
        <w:rPr>
          <w:rFonts w:ascii="Times New Roman" w:hAnsi="Times New Roman" w:cs="Times New Roman"/>
        </w:rPr>
        <w:t>will be change</w:t>
      </w:r>
      <w:r w:rsidR="005A3028">
        <w:rPr>
          <w:rFonts w:ascii="Times New Roman" w:hAnsi="Times New Roman" w:cs="Times New Roman"/>
        </w:rPr>
        <w:t>d</w:t>
      </w:r>
      <w:r w:rsidR="009C216D">
        <w:rPr>
          <w:rFonts w:ascii="Times New Roman" w:hAnsi="Times New Roman" w:cs="Times New Roman"/>
        </w:rPr>
        <w:t xml:space="preserve">, Gasgrid will announce about the change beforehand. </w:t>
      </w:r>
    </w:p>
    <w:p w14:paraId="31C22C5C" w14:textId="3AABDE70" w:rsidR="00A44489" w:rsidRPr="003D6D9E" w:rsidRDefault="00A44489" w:rsidP="00266A5F">
      <w:pPr>
        <w:pStyle w:val="ListParagraph"/>
        <w:numPr>
          <w:ilvl w:val="0"/>
          <w:numId w:val="27"/>
        </w:numPr>
        <w:jc w:val="both"/>
        <w:rPr>
          <w:rFonts w:ascii="Times New Roman" w:hAnsi="Times New Roman" w:cs="Times New Roman"/>
        </w:rPr>
      </w:pPr>
      <w:r w:rsidRPr="00A44489">
        <w:rPr>
          <w:rFonts w:ascii="Times New Roman" w:hAnsi="Times New Roman" w:cs="Times New Roman"/>
        </w:rPr>
        <w:t>In Lithuanian market area: at least 80 percent of available day-ahead and within-day capacities at the entry/exit point of the interconnection of Lithuanian and Latvian gas transmission systems shall be allocated via implicit capacity allocation.</w:t>
      </w:r>
    </w:p>
    <w:p w14:paraId="10B487DF" w14:textId="476A4999" w:rsidR="000A6141" w:rsidRDefault="000A6141" w:rsidP="000A6141">
      <w:pPr>
        <w:jc w:val="both"/>
        <w:rPr>
          <w:rFonts w:ascii="Times New Roman" w:hAnsi="Times New Roman" w:cs="Times New Roman"/>
          <w:b/>
          <w:bCs/>
        </w:rPr>
      </w:pPr>
      <w:r>
        <w:rPr>
          <w:rFonts w:ascii="Times New Roman" w:hAnsi="Times New Roman" w:cs="Times New Roman"/>
          <w:b/>
          <w:bCs/>
        </w:rPr>
        <w:t xml:space="preserve">Interruption of the network service. </w:t>
      </w:r>
    </w:p>
    <w:p w14:paraId="1CA4E305" w14:textId="415FF51D" w:rsidR="003D63DB" w:rsidRPr="003D63DB" w:rsidRDefault="003D63DB" w:rsidP="003D63DB">
      <w:pPr>
        <w:jc w:val="both"/>
        <w:rPr>
          <w:rFonts w:ascii="Times New Roman" w:hAnsi="Times New Roman" w:cs="Times New Roman"/>
          <w:b/>
          <w:bCs/>
        </w:rPr>
      </w:pPr>
      <w:proofErr w:type="spellStart"/>
      <w:r w:rsidRPr="003D63DB">
        <w:rPr>
          <w:rFonts w:ascii="Times New Roman" w:hAnsi="Times New Roman" w:cs="Times New Roman"/>
          <w:b/>
          <w:bCs/>
        </w:rPr>
        <w:t>Elering</w:t>
      </w:r>
      <w:proofErr w:type="spellEnd"/>
      <w:r w:rsidRPr="003D63DB">
        <w:rPr>
          <w:rFonts w:ascii="Times New Roman" w:hAnsi="Times New Roman" w:cs="Times New Roman"/>
          <w:b/>
          <w:bCs/>
        </w:rPr>
        <w:t xml:space="preserve">/Conexus: </w:t>
      </w:r>
    </w:p>
    <w:p w14:paraId="6A16CBD6" w14:textId="7F101B9A" w:rsidR="000A6141" w:rsidRPr="000E2F4E" w:rsidRDefault="000A6141" w:rsidP="003D63DB">
      <w:pPr>
        <w:jc w:val="both"/>
        <w:rPr>
          <w:rFonts w:ascii="Times New Roman" w:hAnsi="Times New Roman" w:cs="Times New Roman"/>
        </w:rPr>
      </w:pPr>
      <w:r>
        <w:rPr>
          <w:rFonts w:ascii="Times New Roman" w:hAnsi="Times New Roman" w:cs="Times New Roman"/>
        </w:rPr>
        <w:t>In case of</w:t>
      </w:r>
      <w:r w:rsidR="003D63DB">
        <w:rPr>
          <w:rFonts w:ascii="Times New Roman" w:hAnsi="Times New Roman" w:cs="Times New Roman"/>
        </w:rPr>
        <w:t xml:space="preserve"> exceptional incident in the transmission system where TSOs are forced to limit the technical capacity on entry/exit points the unplanned network service limitation can apply</w:t>
      </w:r>
      <w:r w:rsidR="00B604B9">
        <w:rPr>
          <w:rFonts w:ascii="Times New Roman" w:hAnsi="Times New Roman" w:cs="Times New Roman"/>
        </w:rPr>
        <w:t>. According to the applied practiced i</w:t>
      </w:r>
      <w:r w:rsidRPr="003D63DB">
        <w:rPr>
          <w:rFonts w:ascii="Times New Roman" w:hAnsi="Times New Roman" w:cs="Times New Roman"/>
        </w:rPr>
        <w:t xml:space="preserve">n the event of such emergency incident, the TSO shall make reasonable efforts and take actions to ensure that continuity of the service is established without an undue delay with the aim to minimize the impact on network users. </w:t>
      </w:r>
    </w:p>
    <w:p w14:paraId="539652CA" w14:textId="2BF697A7" w:rsidR="000A6141" w:rsidRDefault="000A6141" w:rsidP="003D63DB">
      <w:pPr>
        <w:jc w:val="both"/>
        <w:rPr>
          <w:rFonts w:ascii="Times New Roman" w:hAnsi="Times New Roman" w:cs="Times New Roman"/>
        </w:rPr>
      </w:pPr>
      <w:r w:rsidRPr="003D63DB">
        <w:rPr>
          <w:rFonts w:ascii="Times New Roman" w:hAnsi="Times New Roman" w:cs="Times New Roman"/>
        </w:rPr>
        <w:t>Application of pro-rata principle and the reduction of amount invoiced means, that during the event of unplanned firm capacity curtailment, or interruption network user is invoiced only for the firm service ensured after application of pro-rata principle on the capacity booked by network user before announcement of curtailment.</w:t>
      </w:r>
      <w:r w:rsidR="001C1C25">
        <w:rPr>
          <w:rFonts w:ascii="Times New Roman" w:hAnsi="Times New Roman" w:cs="Times New Roman"/>
        </w:rPr>
        <w:t xml:space="preserve"> </w:t>
      </w:r>
      <w:r w:rsidR="00B604B9">
        <w:rPr>
          <w:rFonts w:ascii="Times New Roman" w:hAnsi="Times New Roman" w:cs="Times New Roman"/>
        </w:rPr>
        <w:t xml:space="preserve">Details of the interruption procedure and invoicing are set in the network rules of the Common Balancing zone. </w:t>
      </w:r>
    </w:p>
    <w:p w14:paraId="076ABA93" w14:textId="77777777" w:rsidR="00440C7D" w:rsidRDefault="00440C7D" w:rsidP="003D63DB">
      <w:pPr>
        <w:jc w:val="both"/>
        <w:rPr>
          <w:rFonts w:ascii="Times New Roman" w:hAnsi="Times New Roman" w:cs="Times New Roman"/>
        </w:rPr>
      </w:pPr>
    </w:p>
    <w:p w14:paraId="020D6AD9" w14:textId="77777777" w:rsidR="00440C7D" w:rsidRDefault="00440C7D" w:rsidP="003D63DB">
      <w:pPr>
        <w:jc w:val="both"/>
        <w:rPr>
          <w:rFonts w:ascii="Times New Roman" w:hAnsi="Times New Roman" w:cs="Times New Roman"/>
        </w:rPr>
      </w:pPr>
    </w:p>
    <w:p w14:paraId="2E24A089" w14:textId="39EE7C10" w:rsidR="008C4987" w:rsidRPr="00EB4A51" w:rsidRDefault="008C4987" w:rsidP="003D63DB">
      <w:pPr>
        <w:jc w:val="both"/>
        <w:rPr>
          <w:rFonts w:ascii="Times New Roman" w:hAnsi="Times New Roman" w:cs="Times New Roman"/>
          <w:b/>
          <w:bCs/>
        </w:rPr>
      </w:pPr>
      <w:r w:rsidRPr="00EB4A51">
        <w:rPr>
          <w:rFonts w:ascii="Times New Roman" w:hAnsi="Times New Roman" w:cs="Times New Roman"/>
          <w:b/>
          <w:bCs/>
        </w:rPr>
        <w:t>Gasgrid Finland</w:t>
      </w:r>
      <w:r w:rsidR="00EB4A51">
        <w:rPr>
          <w:rFonts w:ascii="Times New Roman" w:hAnsi="Times New Roman" w:cs="Times New Roman"/>
          <w:b/>
          <w:bCs/>
        </w:rPr>
        <w:t>:</w:t>
      </w:r>
    </w:p>
    <w:p w14:paraId="0A40067F" w14:textId="16BCE6EC" w:rsidR="008C4987" w:rsidRPr="008C4987" w:rsidRDefault="008C4987" w:rsidP="008C4987">
      <w:pPr>
        <w:jc w:val="both"/>
        <w:rPr>
          <w:rFonts w:ascii="Times New Roman" w:hAnsi="Times New Roman" w:cs="Times New Roman"/>
        </w:rPr>
      </w:pPr>
      <w:r w:rsidRPr="008C4987">
        <w:rPr>
          <w:rFonts w:ascii="Times New Roman" w:hAnsi="Times New Roman" w:cs="Times New Roman"/>
        </w:rPr>
        <w:t xml:space="preserve">If technical or operational matters result in temporarily restricted </w:t>
      </w:r>
      <w:r>
        <w:rPr>
          <w:rFonts w:ascii="Times New Roman" w:hAnsi="Times New Roman" w:cs="Times New Roman"/>
        </w:rPr>
        <w:t>c</w:t>
      </w:r>
      <w:r w:rsidRPr="008C4987">
        <w:rPr>
          <w:rFonts w:ascii="Times New Roman" w:hAnsi="Times New Roman" w:cs="Times New Roman"/>
        </w:rPr>
        <w:t xml:space="preserve">apacity in all or part of the </w:t>
      </w:r>
      <w:r>
        <w:rPr>
          <w:rFonts w:ascii="Times New Roman" w:hAnsi="Times New Roman" w:cs="Times New Roman"/>
        </w:rPr>
        <w:t>t</w:t>
      </w:r>
      <w:r w:rsidRPr="008C4987">
        <w:rPr>
          <w:rFonts w:ascii="Times New Roman" w:hAnsi="Times New Roman" w:cs="Times New Roman"/>
        </w:rPr>
        <w:t xml:space="preserve">ransmission </w:t>
      </w:r>
      <w:r>
        <w:rPr>
          <w:rFonts w:ascii="Times New Roman" w:hAnsi="Times New Roman" w:cs="Times New Roman"/>
        </w:rPr>
        <w:t>n</w:t>
      </w:r>
      <w:r w:rsidRPr="008C4987">
        <w:rPr>
          <w:rFonts w:ascii="Times New Roman" w:hAnsi="Times New Roman" w:cs="Times New Roman"/>
        </w:rPr>
        <w:t>etwork,</w:t>
      </w:r>
      <w:r>
        <w:rPr>
          <w:rFonts w:ascii="Times New Roman" w:hAnsi="Times New Roman" w:cs="Times New Roman"/>
        </w:rPr>
        <w:t xml:space="preserve"> </w:t>
      </w:r>
      <w:r w:rsidRPr="008C4987">
        <w:rPr>
          <w:rFonts w:ascii="Times New Roman" w:hAnsi="Times New Roman" w:cs="Times New Roman"/>
        </w:rPr>
        <w:t>the T</w:t>
      </w:r>
      <w:r>
        <w:rPr>
          <w:rFonts w:ascii="Times New Roman" w:hAnsi="Times New Roman" w:cs="Times New Roman"/>
        </w:rPr>
        <w:t>SO</w:t>
      </w:r>
      <w:r w:rsidRPr="008C4987">
        <w:rPr>
          <w:rFonts w:ascii="Times New Roman" w:hAnsi="Times New Roman" w:cs="Times New Roman"/>
        </w:rPr>
        <w:t xml:space="preserve"> shall without delay notify all </w:t>
      </w:r>
      <w:r>
        <w:rPr>
          <w:rFonts w:ascii="Times New Roman" w:hAnsi="Times New Roman" w:cs="Times New Roman"/>
        </w:rPr>
        <w:t>s</w:t>
      </w:r>
      <w:r w:rsidRPr="008C4987">
        <w:rPr>
          <w:rFonts w:ascii="Times New Roman" w:hAnsi="Times New Roman" w:cs="Times New Roman"/>
        </w:rPr>
        <w:t xml:space="preserve">hippers and </w:t>
      </w:r>
      <w:r>
        <w:rPr>
          <w:rFonts w:ascii="Times New Roman" w:hAnsi="Times New Roman" w:cs="Times New Roman"/>
        </w:rPr>
        <w:t>t</w:t>
      </w:r>
      <w:r w:rsidRPr="008C4987">
        <w:rPr>
          <w:rFonts w:ascii="Times New Roman" w:hAnsi="Times New Roman" w:cs="Times New Roman"/>
        </w:rPr>
        <w:t>raders about</w:t>
      </w:r>
      <w:r>
        <w:rPr>
          <w:rFonts w:ascii="Times New Roman" w:hAnsi="Times New Roman" w:cs="Times New Roman"/>
        </w:rPr>
        <w:t xml:space="preserve"> </w:t>
      </w:r>
      <w:r w:rsidRPr="008C4987">
        <w:rPr>
          <w:rFonts w:ascii="Times New Roman" w:hAnsi="Times New Roman" w:cs="Times New Roman"/>
        </w:rPr>
        <w:t xml:space="preserve">reduced </w:t>
      </w:r>
      <w:r>
        <w:rPr>
          <w:rFonts w:ascii="Times New Roman" w:hAnsi="Times New Roman" w:cs="Times New Roman"/>
        </w:rPr>
        <w:t>c</w:t>
      </w:r>
      <w:r w:rsidRPr="008C4987">
        <w:rPr>
          <w:rFonts w:ascii="Times New Roman" w:hAnsi="Times New Roman" w:cs="Times New Roman"/>
        </w:rPr>
        <w:t>apacity.</w:t>
      </w:r>
      <w:r>
        <w:rPr>
          <w:rFonts w:ascii="Times New Roman" w:hAnsi="Times New Roman" w:cs="Times New Roman"/>
        </w:rPr>
        <w:t xml:space="preserve"> </w:t>
      </w:r>
      <w:r w:rsidRPr="008C4987">
        <w:rPr>
          <w:rFonts w:ascii="Times New Roman" w:hAnsi="Times New Roman" w:cs="Times New Roman"/>
        </w:rPr>
        <w:t xml:space="preserve">Having issued a reduced </w:t>
      </w:r>
      <w:r>
        <w:rPr>
          <w:rFonts w:ascii="Times New Roman" w:hAnsi="Times New Roman" w:cs="Times New Roman"/>
        </w:rPr>
        <w:t>c</w:t>
      </w:r>
      <w:r w:rsidRPr="008C4987">
        <w:rPr>
          <w:rFonts w:ascii="Times New Roman" w:hAnsi="Times New Roman" w:cs="Times New Roman"/>
        </w:rPr>
        <w:t>apacity notice, the T</w:t>
      </w:r>
      <w:r>
        <w:rPr>
          <w:rFonts w:ascii="Times New Roman" w:hAnsi="Times New Roman" w:cs="Times New Roman"/>
        </w:rPr>
        <w:t>SO</w:t>
      </w:r>
      <w:r w:rsidRPr="008C4987">
        <w:rPr>
          <w:rFonts w:ascii="Times New Roman" w:hAnsi="Times New Roman" w:cs="Times New Roman"/>
        </w:rPr>
        <w:t xml:space="preserve"> shall have the</w:t>
      </w:r>
      <w:r>
        <w:rPr>
          <w:rFonts w:ascii="Times New Roman" w:hAnsi="Times New Roman" w:cs="Times New Roman"/>
        </w:rPr>
        <w:t xml:space="preserve"> </w:t>
      </w:r>
      <w:r w:rsidRPr="008C4987">
        <w:rPr>
          <w:rFonts w:ascii="Times New Roman" w:hAnsi="Times New Roman" w:cs="Times New Roman"/>
        </w:rPr>
        <w:t xml:space="preserve">right to order </w:t>
      </w:r>
      <w:r>
        <w:rPr>
          <w:rFonts w:ascii="Times New Roman" w:hAnsi="Times New Roman" w:cs="Times New Roman"/>
        </w:rPr>
        <w:t>s</w:t>
      </w:r>
      <w:r w:rsidRPr="008C4987">
        <w:rPr>
          <w:rFonts w:ascii="Times New Roman" w:hAnsi="Times New Roman" w:cs="Times New Roman"/>
        </w:rPr>
        <w:t xml:space="preserve">hippers to reduce firm </w:t>
      </w:r>
      <w:r>
        <w:rPr>
          <w:rFonts w:ascii="Times New Roman" w:hAnsi="Times New Roman" w:cs="Times New Roman"/>
        </w:rPr>
        <w:t>c</w:t>
      </w:r>
      <w:r w:rsidRPr="008C4987">
        <w:rPr>
          <w:rFonts w:ascii="Times New Roman" w:hAnsi="Times New Roman" w:cs="Times New Roman"/>
        </w:rPr>
        <w:t>apacity reserved by them on pro rata basis or interrupt deliveries and offtakes in</w:t>
      </w:r>
      <w:r>
        <w:rPr>
          <w:rFonts w:ascii="Times New Roman" w:hAnsi="Times New Roman" w:cs="Times New Roman"/>
        </w:rPr>
        <w:t xml:space="preserve"> </w:t>
      </w:r>
      <w:r w:rsidRPr="008C4987">
        <w:rPr>
          <w:rFonts w:ascii="Times New Roman" w:hAnsi="Times New Roman" w:cs="Times New Roman"/>
        </w:rPr>
        <w:t xml:space="preserve">the </w:t>
      </w:r>
      <w:r>
        <w:rPr>
          <w:rFonts w:ascii="Times New Roman" w:hAnsi="Times New Roman" w:cs="Times New Roman"/>
        </w:rPr>
        <w:t>g</w:t>
      </w:r>
      <w:r w:rsidRPr="008C4987">
        <w:rPr>
          <w:rFonts w:ascii="Times New Roman" w:hAnsi="Times New Roman" w:cs="Times New Roman"/>
        </w:rPr>
        <w:t xml:space="preserve">as </w:t>
      </w:r>
      <w:r>
        <w:rPr>
          <w:rFonts w:ascii="Times New Roman" w:hAnsi="Times New Roman" w:cs="Times New Roman"/>
        </w:rPr>
        <w:t>s</w:t>
      </w:r>
      <w:r w:rsidRPr="008C4987">
        <w:rPr>
          <w:rFonts w:ascii="Times New Roman" w:hAnsi="Times New Roman" w:cs="Times New Roman"/>
        </w:rPr>
        <w:t xml:space="preserve">ystem for as long as </w:t>
      </w:r>
      <w:r>
        <w:rPr>
          <w:rFonts w:ascii="Times New Roman" w:hAnsi="Times New Roman" w:cs="Times New Roman"/>
        </w:rPr>
        <w:t>c</w:t>
      </w:r>
      <w:r w:rsidRPr="008C4987">
        <w:rPr>
          <w:rFonts w:ascii="Times New Roman" w:hAnsi="Times New Roman" w:cs="Times New Roman"/>
        </w:rPr>
        <w:t xml:space="preserve">apacity is restricted in all or part of the </w:t>
      </w:r>
      <w:r>
        <w:rPr>
          <w:rFonts w:ascii="Times New Roman" w:hAnsi="Times New Roman" w:cs="Times New Roman"/>
        </w:rPr>
        <w:t>t</w:t>
      </w:r>
      <w:r w:rsidRPr="008C4987">
        <w:rPr>
          <w:rFonts w:ascii="Times New Roman" w:hAnsi="Times New Roman" w:cs="Times New Roman"/>
        </w:rPr>
        <w:t xml:space="preserve">ransmission </w:t>
      </w:r>
      <w:r>
        <w:rPr>
          <w:rFonts w:ascii="Times New Roman" w:hAnsi="Times New Roman" w:cs="Times New Roman"/>
        </w:rPr>
        <w:t>s</w:t>
      </w:r>
      <w:r w:rsidRPr="008C4987">
        <w:rPr>
          <w:rFonts w:ascii="Times New Roman" w:hAnsi="Times New Roman" w:cs="Times New Roman"/>
        </w:rPr>
        <w:t xml:space="preserve">ystem. The </w:t>
      </w:r>
      <w:r>
        <w:rPr>
          <w:rFonts w:ascii="Times New Roman" w:hAnsi="Times New Roman" w:cs="Times New Roman"/>
        </w:rPr>
        <w:t>s</w:t>
      </w:r>
      <w:r w:rsidRPr="008C4987">
        <w:rPr>
          <w:rFonts w:ascii="Times New Roman" w:hAnsi="Times New Roman" w:cs="Times New Roman"/>
        </w:rPr>
        <w:t>hippers shall ensure</w:t>
      </w:r>
      <w:r>
        <w:rPr>
          <w:rFonts w:ascii="Times New Roman" w:hAnsi="Times New Roman" w:cs="Times New Roman"/>
        </w:rPr>
        <w:t xml:space="preserve"> </w:t>
      </w:r>
      <w:r w:rsidRPr="008C4987">
        <w:rPr>
          <w:rFonts w:ascii="Times New Roman" w:hAnsi="Times New Roman" w:cs="Times New Roman"/>
        </w:rPr>
        <w:t xml:space="preserve">from the </w:t>
      </w:r>
      <w:r>
        <w:rPr>
          <w:rFonts w:ascii="Times New Roman" w:hAnsi="Times New Roman" w:cs="Times New Roman"/>
        </w:rPr>
        <w:t>tr</w:t>
      </w:r>
      <w:r w:rsidRPr="008C4987">
        <w:rPr>
          <w:rFonts w:ascii="Times New Roman" w:hAnsi="Times New Roman" w:cs="Times New Roman"/>
        </w:rPr>
        <w:t xml:space="preserve">ansmission </w:t>
      </w:r>
      <w:r>
        <w:rPr>
          <w:rFonts w:ascii="Times New Roman" w:hAnsi="Times New Roman" w:cs="Times New Roman"/>
        </w:rPr>
        <w:t>n</w:t>
      </w:r>
      <w:r w:rsidRPr="008C4987">
        <w:rPr>
          <w:rFonts w:ascii="Times New Roman" w:hAnsi="Times New Roman" w:cs="Times New Roman"/>
        </w:rPr>
        <w:t xml:space="preserve">etwork </w:t>
      </w:r>
      <w:r>
        <w:rPr>
          <w:rFonts w:ascii="Times New Roman" w:hAnsi="Times New Roman" w:cs="Times New Roman"/>
        </w:rPr>
        <w:t>e</w:t>
      </w:r>
      <w:r w:rsidRPr="008C4987">
        <w:rPr>
          <w:rFonts w:ascii="Times New Roman" w:hAnsi="Times New Roman" w:cs="Times New Roman"/>
        </w:rPr>
        <w:t xml:space="preserve">nd </w:t>
      </w:r>
      <w:r>
        <w:rPr>
          <w:rFonts w:ascii="Times New Roman" w:hAnsi="Times New Roman" w:cs="Times New Roman"/>
        </w:rPr>
        <w:t>us</w:t>
      </w:r>
      <w:r w:rsidRPr="008C4987">
        <w:rPr>
          <w:rFonts w:ascii="Times New Roman" w:hAnsi="Times New Roman" w:cs="Times New Roman"/>
        </w:rPr>
        <w:t xml:space="preserve">ers that they comply with the order and, indirectly via their </w:t>
      </w:r>
      <w:r>
        <w:rPr>
          <w:rFonts w:ascii="Times New Roman" w:hAnsi="Times New Roman" w:cs="Times New Roman"/>
        </w:rPr>
        <w:t>r</w:t>
      </w:r>
      <w:r w:rsidRPr="008C4987">
        <w:rPr>
          <w:rFonts w:ascii="Times New Roman" w:hAnsi="Times New Roman" w:cs="Times New Roman"/>
        </w:rPr>
        <w:t>etailers, that the</w:t>
      </w:r>
      <w:r>
        <w:rPr>
          <w:rFonts w:ascii="Times New Roman" w:hAnsi="Times New Roman" w:cs="Times New Roman"/>
        </w:rPr>
        <w:t xml:space="preserve"> d</w:t>
      </w:r>
      <w:r w:rsidRPr="008C4987">
        <w:rPr>
          <w:rFonts w:ascii="Times New Roman" w:hAnsi="Times New Roman" w:cs="Times New Roman"/>
        </w:rPr>
        <w:t xml:space="preserve">istribution </w:t>
      </w:r>
      <w:r>
        <w:rPr>
          <w:rFonts w:ascii="Times New Roman" w:hAnsi="Times New Roman" w:cs="Times New Roman"/>
        </w:rPr>
        <w:t>n</w:t>
      </w:r>
      <w:r w:rsidRPr="008C4987">
        <w:rPr>
          <w:rFonts w:ascii="Times New Roman" w:hAnsi="Times New Roman" w:cs="Times New Roman"/>
        </w:rPr>
        <w:t xml:space="preserve">etwork </w:t>
      </w:r>
      <w:r>
        <w:rPr>
          <w:rFonts w:ascii="Times New Roman" w:hAnsi="Times New Roman" w:cs="Times New Roman"/>
        </w:rPr>
        <w:t>e</w:t>
      </w:r>
      <w:r w:rsidRPr="008C4987">
        <w:rPr>
          <w:rFonts w:ascii="Times New Roman" w:hAnsi="Times New Roman" w:cs="Times New Roman"/>
        </w:rPr>
        <w:t xml:space="preserve">nd </w:t>
      </w:r>
      <w:r>
        <w:rPr>
          <w:rFonts w:ascii="Times New Roman" w:hAnsi="Times New Roman" w:cs="Times New Roman"/>
        </w:rPr>
        <w:t>u</w:t>
      </w:r>
      <w:r w:rsidRPr="008C4987">
        <w:rPr>
          <w:rFonts w:ascii="Times New Roman" w:hAnsi="Times New Roman" w:cs="Times New Roman"/>
        </w:rPr>
        <w:t>sers comply with the order.</w:t>
      </w:r>
    </w:p>
    <w:p w14:paraId="79367A24" w14:textId="4C176CF8" w:rsidR="008C4987" w:rsidRPr="008C4987" w:rsidRDefault="008C4987" w:rsidP="008C4987">
      <w:pPr>
        <w:jc w:val="both"/>
        <w:rPr>
          <w:rFonts w:ascii="Times New Roman" w:hAnsi="Times New Roman" w:cs="Times New Roman"/>
        </w:rPr>
      </w:pPr>
      <w:r w:rsidRPr="008C4987">
        <w:rPr>
          <w:rFonts w:ascii="Times New Roman" w:hAnsi="Times New Roman" w:cs="Times New Roman"/>
        </w:rPr>
        <w:t>The T</w:t>
      </w:r>
      <w:r>
        <w:rPr>
          <w:rFonts w:ascii="Times New Roman" w:hAnsi="Times New Roman" w:cs="Times New Roman"/>
        </w:rPr>
        <w:t>SO</w:t>
      </w:r>
      <w:r w:rsidRPr="008C4987">
        <w:rPr>
          <w:rFonts w:ascii="Times New Roman" w:hAnsi="Times New Roman" w:cs="Times New Roman"/>
        </w:rPr>
        <w:t xml:space="preserve"> shall distribute the part of the </w:t>
      </w:r>
      <w:r>
        <w:rPr>
          <w:rFonts w:ascii="Times New Roman" w:hAnsi="Times New Roman" w:cs="Times New Roman"/>
        </w:rPr>
        <w:t>c</w:t>
      </w:r>
      <w:r w:rsidRPr="008C4987">
        <w:rPr>
          <w:rFonts w:ascii="Times New Roman" w:hAnsi="Times New Roman" w:cs="Times New Roman"/>
        </w:rPr>
        <w:t>apacity available among</w:t>
      </w:r>
      <w:r>
        <w:rPr>
          <w:rFonts w:ascii="Times New Roman" w:hAnsi="Times New Roman" w:cs="Times New Roman"/>
        </w:rPr>
        <w:t xml:space="preserve"> </w:t>
      </w:r>
      <w:r w:rsidRPr="008C4987">
        <w:rPr>
          <w:rFonts w:ascii="Times New Roman" w:hAnsi="Times New Roman" w:cs="Times New Roman"/>
        </w:rPr>
        <w:t xml:space="preserve">the affected </w:t>
      </w:r>
      <w:r>
        <w:rPr>
          <w:rFonts w:ascii="Times New Roman" w:hAnsi="Times New Roman" w:cs="Times New Roman"/>
        </w:rPr>
        <w:t>s</w:t>
      </w:r>
      <w:r w:rsidRPr="008C4987">
        <w:rPr>
          <w:rFonts w:ascii="Times New Roman" w:hAnsi="Times New Roman" w:cs="Times New Roman"/>
        </w:rPr>
        <w:t xml:space="preserve">hippers and other </w:t>
      </w:r>
      <w:r>
        <w:rPr>
          <w:rFonts w:ascii="Times New Roman" w:hAnsi="Times New Roman" w:cs="Times New Roman"/>
        </w:rPr>
        <w:t>p</w:t>
      </w:r>
      <w:r w:rsidRPr="008C4987">
        <w:rPr>
          <w:rFonts w:ascii="Times New Roman" w:hAnsi="Times New Roman" w:cs="Times New Roman"/>
        </w:rPr>
        <w:t>articipants as follows:</w:t>
      </w:r>
    </w:p>
    <w:p w14:paraId="126E9B6E" w14:textId="7B1ECC36" w:rsidR="008C4987" w:rsidRPr="008C4987" w:rsidRDefault="008C4987" w:rsidP="00EB4A51">
      <w:pPr>
        <w:pStyle w:val="ListParagraph"/>
        <w:numPr>
          <w:ilvl w:val="0"/>
          <w:numId w:val="36"/>
        </w:numPr>
        <w:jc w:val="both"/>
        <w:rPr>
          <w:rFonts w:ascii="Times New Roman" w:hAnsi="Times New Roman" w:cs="Times New Roman"/>
        </w:rPr>
      </w:pPr>
      <w:r w:rsidRPr="008C4987">
        <w:rPr>
          <w:rFonts w:ascii="Times New Roman" w:hAnsi="Times New Roman" w:cs="Times New Roman"/>
        </w:rPr>
        <w:t xml:space="preserve">Interruptible </w:t>
      </w:r>
      <w:r>
        <w:rPr>
          <w:rFonts w:ascii="Times New Roman" w:hAnsi="Times New Roman" w:cs="Times New Roman"/>
        </w:rPr>
        <w:t>c</w:t>
      </w:r>
      <w:r w:rsidRPr="008C4987">
        <w:rPr>
          <w:rFonts w:ascii="Times New Roman" w:hAnsi="Times New Roman" w:cs="Times New Roman"/>
        </w:rPr>
        <w:t xml:space="preserve">apacity shall be restricted before firm </w:t>
      </w:r>
      <w:r>
        <w:rPr>
          <w:rFonts w:ascii="Times New Roman" w:hAnsi="Times New Roman" w:cs="Times New Roman"/>
        </w:rPr>
        <w:t>c</w:t>
      </w:r>
      <w:r w:rsidRPr="008C4987">
        <w:rPr>
          <w:rFonts w:ascii="Times New Roman" w:hAnsi="Times New Roman" w:cs="Times New Roman"/>
        </w:rPr>
        <w:t xml:space="preserve">apacity. Deliveries to non-protected </w:t>
      </w:r>
      <w:r>
        <w:rPr>
          <w:rFonts w:ascii="Times New Roman" w:hAnsi="Times New Roman" w:cs="Times New Roman"/>
        </w:rPr>
        <w:t>e</w:t>
      </w:r>
      <w:r w:rsidRPr="008C4987">
        <w:rPr>
          <w:rFonts w:ascii="Times New Roman" w:hAnsi="Times New Roman" w:cs="Times New Roman"/>
        </w:rPr>
        <w:t xml:space="preserve">nd </w:t>
      </w:r>
      <w:r>
        <w:rPr>
          <w:rFonts w:ascii="Times New Roman" w:hAnsi="Times New Roman" w:cs="Times New Roman"/>
        </w:rPr>
        <w:t>u</w:t>
      </w:r>
      <w:r w:rsidRPr="008C4987">
        <w:rPr>
          <w:rFonts w:ascii="Times New Roman" w:hAnsi="Times New Roman" w:cs="Times New Roman"/>
        </w:rPr>
        <w:t xml:space="preserve">ser </w:t>
      </w:r>
      <w:r>
        <w:rPr>
          <w:rFonts w:ascii="Times New Roman" w:hAnsi="Times New Roman" w:cs="Times New Roman"/>
        </w:rPr>
        <w:t>m</w:t>
      </w:r>
      <w:r w:rsidRPr="008C4987">
        <w:rPr>
          <w:rFonts w:ascii="Times New Roman" w:hAnsi="Times New Roman" w:cs="Times New Roman"/>
        </w:rPr>
        <w:t xml:space="preserve">etering </w:t>
      </w:r>
      <w:r>
        <w:rPr>
          <w:rFonts w:ascii="Times New Roman" w:hAnsi="Times New Roman" w:cs="Times New Roman"/>
        </w:rPr>
        <w:t>s</w:t>
      </w:r>
      <w:r w:rsidRPr="008C4987">
        <w:rPr>
          <w:rFonts w:ascii="Times New Roman" w:hAnsi="Times New Roman" w:cs="Times New Roman"/>
        </w:rPr>
        <w:t>ites</w:t>
      </w:r>
      <w:r>
        <w:rPr>
          <w:rFonts w:ascii="Times New Roman" w:hAnsi="Times New Roman" w:cs="Times New Roman"/>
        </w:rPr>
        <w:t xml:space="preserve"> </w:t>
      </w:r>
      <w:r w:rsidRPr="008C4987">
        <w:rPr>
          <w:rFonts w:ascii="Times New Roman" w:hAnsi="Times New Roman" w:cs="Times New Roman"/>
        </w:rPr>
        <w:t xml:space="preserve">shall be restricted before deliveries to </w:t>
      </w:r>
      <w:r>
        <w:rPr>
          <w:rFonts w:ascii="Times New Roman" w:hAnsi="Times New Roman" w:cs="Times New Roman"/>
        </w:rPr>
        <w:t>p</w:t>
      </w:r>
      <w:r w:rsidRPr="008C4987">
        <w:rPr>
          <w:rFonts w:ascii="Times New Roman" w:hAnsi="Times New Roman" w:cs="Times New Roman"/>
        </w:rPr>
        <w:t xml:space="preserve">rotected </w:t>
      </w:r>
      <w:r>
        <w:rPr>
          <w:rFonts w:ascii="Times New Roman" w:hAnsi="Times New Roman" w:cs="Times New Roman"/>
        </w:rPr>
        <w:t>m</w:t>
      </w:r>
      <w:r w:rsidRPr="008C4987">
        <w:rPr>
          <w:rFonts w:ascii="Times New Roman" w:hAnsi="Times New Roman" w:cs="Times New Roman"/>
        </w:rPr>
        <w:t xml:space="preserve">etering </w:t>
      </w:r>
      <w:r>
        <w:rPr>
          <w:rFonts w:ascii="Times New Roman" w:hAnsi="Times New Roman" w:cs="Times New Roman"/>
        </w:rPr>
        <w:t>s</w:t>
      </w:r>
      <w:r w:rsidRPr="008C4987">
        <w:rPr>
          <w:rFonts w:ascii="Times New Roman" w:hAnsi="Times New Roman" w:cs="Times New Roman"/>
        </w:rPr>
        <w:t>ites.</w:t>
      </w:r>
    </w:p>
    <w:p w14:paraId="384D8D59" w14:textId="68A885E9" w:rsidR="008C4987" w:rsidRPr="00EB4A51" w:rsidRDefault="008C4987" w:rsidP="00EB4A51">
      <w:pPr>
        <w:pStyle w:val="ListParagraph"/>
        <w:numPr>
          <w:ilvl w:val="0"/>
          <w:numId w:val="36"/>
        </w:numPr>
        <w:jc w:val="both"/>
        <w:rPr>
          <w:rFonts w:ascii="Times New Roman" w:hAnsi="Times New Roman" w:cs="Times New Roman"/>
        </w:rPr>
      </w:pPr>
      <w:r w:rsidRPr="00EB4A51">
        <w:rPr>
          <w:rFonts w:ascii="Times New Roman" w:hAnsi="Times New Roman" w:cs="Times New Roman"/>
        </w:rPr>
        <w:t xml:space="preserve">Efforts shall be made to minimize impacts on </w:t>
      </w:r>
      <w:r>
        <w:rPr>
          <w:rFonts w:ascii="Times New Roman" w:hAnsi="Times New Roman" w:cs="Times New Roman"/>
        </w:rPr>
        <w:t>c</w:t>
      </w:r>
      <w:r w:rsidRPr="00EB4A51">
        <w:rPr>
          <w:rFonts w:ascii="Times New Roman" w:hAnsi="Times New Roman" w:cs="Times New Roman"/>
        </w:rPr>
        <w:t>onsumers so that there will be no interruptions to the supply of gas.</w:t>
      </w:r>
    </w:p>
    <w:p w14:paraId="55EE85A4" w14:textId="3B71AF80" w:rsidR="008C4987" w:rsidRDefault="008C4987" w:rsidP="008C4987">
      <w:pPr>
        <w:jc w:val="both"/>
        <w:rPr>
          <w:rFonts w:ascii="Times New Roman" w:hAnsi="Times New Roman" w:cs="Times New Roman"/>
        </w:rPr>
      </w:pPr>
      <w:r w:rsidRPr="008C4987">
        <w:rPr>
          <w:rFonts w:ascii="Times New Roman" w:hAnsi="Times New Roman" w:cs="Times New Roman"/>
        </w:rPr>
        <w:t>The T</w:t>
      </w:r>
      <w:r>
        <w:rPr>
          <w:rFonts w:ascii="Times New Roman" w:hAnsi="Times New Roman" w:cs="Times New Roman"/>
        </w:rPr>
        <w:t>SO</w:t>
      </w:r>
      <w:r w:rsidRPr="008C4987">
        <w:rPr>
          <w:rFonts w:ascii="Times New Roman" w:hAnsi="Times New Roman" w:cs="Times New Roman"/>
        </w:rPr>
        <w:t xml:space="preserve"> shall compensate to </w:t>
      </w:r>
      <w:r>
        <w:rPr>
          <w:rFonts w:ascii="Times New Roman" w:hAnsi="Times New Roman" w:cs="Times New Roman"/>
        </w:rPr>
        <w:t>s</w:t>
      </w:r>
      <w:r w:rsidRPr="008C4987">
        <w:rPr>
          <w:rFonts w:ascii="Times New Roman" w:hAnsi="Times New Roman" w:cs="Times New Roman"/>
        </w:rPr>
        <w:t>hippers for restrictions on firm</w:t>
      </w:r>
      <w:r>
        <w:rPr>
          <w:rFonts w:ascii="Times New Roman" w:hAnsi="Times New Roman" w:cs="Times New Roman"/>
        </w:rPr>
        <w:t xml:space="preserve"> c</w:t>
      </w:r>
      <w:r w:rsidRPr="008C4987">
        <w:rPr>
          <w:rFonts w:ascii="Times New Roman" w:hAnsi="Times New Roman" w:cs="Times New Roman"/>
        </w:rPr>
        <w:t>apacity products.</w:t>
      </w:r>
      <w:r w:rsidR="00440C7D">
        <w:rPr>
          <w:rFonts w:ascii="Times New Roman" w:hAnsi="Times New Roman" w:cs="Times New Roman"/>
        </w:rPr>
        <w:t xml:space="preserve"> </w:t>
      </w:r>
      <w:r w:rsidRPr="008C4987">
        <w:rPr>
          <w:rFonts w:ascii="Times New Roman" w:hAnsi="Times New Roman" w:cs="Times New Roman"/>
        </w:rPr>
        <w:t xml:space="preserve">If a </w:t>
      </w:r>
      <w:r w:rsidR="00440C7D">
        <w:rPr>
          <w:rFonts w:ascii="Times New Roman" w:hAnsi="Times New Roman" w:cs="Times New Roman"/>
        </w:rPr>
        <w:t>s</w:t>
      </w:r>
      <w:r w:rsidRPr="008C4987">
        <w:rPr>
          <w:rFonts w:ascii="Times New Roman" w:hAnsi="Times New Roman" w:cs="Times New Roman"/>
        </w:rPr>
        <w:t xml:space="preserve">hipper or its </w:t>
      </w:r>
      <w:r w:rsidR="00440C7D">
        <w:rPr>
          <w:rFonts w:ascii="Times New Roman" w:hAnsi="Times New Roman" w:cs="Times New Roman"/>
        </w:rPr>
        <w:t>t</w:t>
      </w:r>
      <w:r w:rsidRPr="008C4987">
        <w:rPr>
          <w:rFonts w:ascii="Times New Roman" w:hAnsi="Times New Roman" w:cs="Times New Roman"/>
        </w:rPr>
        <w:t xml:space="preserve">ransmission </w:t>
      </w:r>
      <w:r w:rsidR="00440C7D">
        <w:rPr>
          <w:rFonts w:ascii="Times New Roman" w:hAnsi="Times New Roman" w:cs="Times New Roman"/>
        </w:rPr>
        <w:t>n</w:t>
      </w:r>
      <w:r w:rsidRPr="008C4987">
        <w:rPr>
          <w:rFonts w:ascii="Times New Roman" w:hAnsi="Times New Roman" w:cs="Times New Roman"/>
        </w:rPr>
        <w:t xml:space="preserve">etwork or </w:t>
      </w:r>
      <w:r w:rsidR="00440C7D">
        <w:rPr>
          <w:rFonts w:ascii="Times New Roman" w:hAnsi="Times New Roman" w:cs="Times New Roman"/>
        </w:rPr>
        <w:t>d</w:t>
      </w:r>
      <w:r w:rsidRPr="008C4987">
        <w:rPr>
          <w:rFonts w:ascii="Times New Roman" w:hAnsi="Times New Roman" w:cs="Times New Roman"/>
        </w:rPr>
        <w:t xml:space="preserve">istribution </w:t>
      </w:r>
      <w:r w:rsidR="00440C7D">
        <w:rPr>
          <w:rFonts w:ascii="Times New Roman" w:hAnsi="Times New Roman" w:cs="Times New Roman"/>
        </w:rPr>
        <w:t>n</w:t>
      </w:r>
      <w:r w:rsidRPr="008C4987">
        <w:rPr>
          <w:rFonts w:ascii="Times New Roman" w:hAnsi="Times New Roman" w:cs="Times New Roman"/>
        </w:rPr>
        <w:t xml:space="preserve">etwork </w:t>
      </w:r>
      <w:r w:rsidR="00440C7D">
        <w:rPr>
          <w:rFonts w:ascii="Times New Roman" w:hAnsi="Times New Roman" w:cs="Times New Roman"/>
        </w:rPr>
        <w:t>e</w:t>
      </w:r>
      <w:r w:rsidRPr="008C4987">
        <w:rPr>
          <w:rFonts w:ascii="Times New Roman" w:hAnsi="Times New Roman" w:cs="Times New Roman"/>
        </w:rPr>
        <w:t xml:space="preserve">nd </w:t>
      </w:r>
      <w:r w:rsidR="00440C7D">
        <w:rPr>
          <w:rFonts w:ascii="Times New Roman" w:hAnsi="Times New Roman" w:cs="Times New Roman"/>
        </w:rPr>
        <w:t>u</w:t>
      </w:r>
      <w:r w:rsidRPr="008C4987">
        <w:rPr>
          <w:rFonts w:ascii="Times New Roman" w:hAnsi="Times New Roman" w:cs="Times New Roman"/>
        </w:rPr>
        <w:t>sers do not comply with an order of the</w:t>
      </w:r>
      <w:r w:rsidR="00440C7D">
        <w:rPr>
          <w:rFonts w:ascii="Times New Roman" w:hAnsi="Times New Roman" w:cs="Times New Roman"/>
        </w:rPr>
        <w:t xml:space="preserve"> TSO</w:t>
      </w:r>
      <w:r w:rsidRPr="008C4987">
        <w:rPr>
          <w:rFonts w:ascii="Times New Roman" w:hAnsi="Times New Roman" w:cs="Times New Roman"/>
        </w:rPr>
        <w:t xml:space="preserve"> to restrict or interrupt natural gas delivery or offtake, the</w:t>
      </w:r>
      <w:r w:rsidR="00440C7D">
        <w:rPr>
          <w:rFonts w:ascii="Times New Roman" w:hAnsi="Times New Roman" w:cs="Times New Roman"/>
        </w:rPr>
        <w:t xml:space="preserve"> s</w:t>
      </w:r>
      <w:r w:rsidRPr="008C4987">
        <w:rPr>
          <w:rFonts w:ascii="Times New Roman" w:hAnsi="Times New Roman" w:cs="Times New Roman"/>
        </w:rPr>
        <w:t>hipper shall pay the excess capacity charge for natural gas quantities exceeding the order</w:t>
      </w:r>
      <w:r w:rsidR="00440C7D">
        <w:rPr>
          <w:rFonts w:ascii="Times New Roman" w:hAnsi="Times New Roman" w:cs="Times New Roman"/>
        </w:rPr>
        <w:t xml:space="preserve"> </w:t>
      </w:r>
      <w:r w:rsidRPr="008C4987">
        <w:rPr>
          <w:rFonts w:ascii="Times New Roman" w:hAnsi="Times New Roman" w:cs="Times New Roman"/>
        </w:rPr>
        <w:t>of the T</w:t>
      </w:r>
      <w:r w:rsidR="00440C7D">
        <w:rPr>
          <w:rFonts w:ascii="Times New Roman" w:hAnsi="Times New Roman" w:cs="Times New Roman"/>
        </w:rPr>
        <w:t>SO</w:t>
      </w:r>
      <w:r w:rsidRPr="008C4987">
        <w:rPr>
          <w:rFonts w:ascii="Times New Roman" w:hAnsi="Times New Roman" w:cs="Times New Roman"/>
        </w:rPr>
        <w:t>.</w:t>
      </w:r>
    </w:p>
    <w:p w14:paraId="1366A861" w14:textId="64565F3D" w:rsidR="000E2F4E" w:rsidRDefault="000E2F4E" w:rsidP="008C4987">
      <w:pPr>
        <w:jc w:val="both"/>
        <w:rPr>
          <w:rFonts w:ascii="Times New Roman" w:hAnsi="Times New Roman" w:cs="Times New Roman"/>
        </w:rPr>
      </w:pPr>
    </w:p>
    <w:p w14:paraId="233308DB" w14:textId="4E5D56BB" w:rsidR="000E2F4E" w:rsidRPr="003D63DB" w:rsidRDefault="000E2F4E" w:rsidP="000E2F4E">
      <w:pPr>
        <w:jc w:val="both"/>
        <w:rPr>
          <w:rFonts w:ascii="Times New Roman" w:hAnsi="Times New Roman" w:cs="Times New Roman"/>
          <w:b/>
          <w:bCs/>
        </w:rPr>
      </w:pPr>
      <w:r>
        <w:rPr>
          <w:rFonts w:ascii="Times New Roman" w:hAnsi="Times New Roman" w:cs="Times New Roman"/>
          <w:b/>
          <w:bCs/>
        </w:rPr>
        <w:t>Amber Grid</w:t>
      </w:r>
      <w:r w:rsidRPr="003D63DB">
        <w:rPr>
          <w:rFonts w:ascii="Times New Roman" w:hAnsi="Times New Roman" w:cs="Times New Roman"/>
          <w:b/>
          <w:bCs/>
        </w:rPr>
        <w:t xml:space="preserve">: </w:t>
      </w:r>
    </w:p>
    <w:p w14:paraId="77E772F3" w14:textId="42258353" w:rsidR="000E2F4E" w:rsidRPr="000E2F4E" w:rsidRDefault="000E2F4E" w:rsidP="000E2F4E">
      <w:pPr>
        <w:jc w:val="both"/>
        <w:rPr>
          <w:rFonts w:ascii="Times New Roman" w:hAnsi="Times New Roman" w:cs="Times New Roman"/>
        </w:rPr>
      </w:pPr>
      <w:r>
        <w:rPr>
          <w:rFonts w:ascii="Times New Roman" w:hAnsi="Times New Roman" w:cs="Times New Roman"/>
        </w:rPr>
        <w:t>In case of</w:t>
      </w:r>
      <w:r w:rsidR="007D16F1">
        <w:rPr>
          <w:rFonts w:ascii="Times New Roman" w:hAnsi="Times New Roman" w:cs="Times New Roman"/>
        </w:rPr>
        <w:t xml:space="preserve"> maintenance or</w:t>
      </w:r>
      <w:r>
        <w:rPr>
          <w:rFonts w:ascii="Times New Roman" w:hAnsi="Times New Roman" w:cs="Times New Roman"/>
        </w:rPr>
        <w:t xml:space="preserve"> exceptional incident in the transmission system where TSO </w:t>
      </w:r>
      <w:r w:rsidR="008624D2">
        <w:rPr>
          <w:rFonts w:ascii="Times New Roman" w:hAnsi="Times New Roman" w:cs="Times New Roman"/>
        </w:rPr>
        <w:t>is</w:t>
      </w:r>
      <w:r>
        <w:rPr>
          <w:rFonts w:ascii="Times New Roman" w:hAnsi="Times New Roman" w:cs="Times New Roman"/>
        </w:rPr>
        <w:t xml:space="preserve"> forced to limit the technical capacity on entry/exit points network service limitation can apply. </w:t>
      </w:r>
      <w:r w:rsidRPr="003D63DB">
        <w:rPr>
          <w:rFonts w:ascii="Times New Roman" w:hAnsi="Times New Roman" w:cs="Times New Roman"/>
        </w:rPr>
        <w:t xml:space="preserve">TSO shall make reasonable efforts and take actions to ensure that continuity of the service is established without an undue delay with the aim to minimize the impact on network users. </w:t>
      </w:r>
    </w:p>
    <w:p w14:paraId="6090845F" w14:textId="048BCF63" w:rsidR="000E2F4E" w:rsidRPr="003D63DB" w:rsidRDefault="008624D2" w:rsidP="008C4987">
      <w:pPr>
        <w:jc w:val="both"/>
        <w:rPr>
          <w:rFonts w:ascii="Times New Roman" w:hAnsi="Times New Roman" w:cs="Times New Roman"/>
        </w:rPr>
      </w:pPr>
      <w:r w:rsidRPr="008624D2">
        <w:rPr>
          <w:rFonts w:ascii="Times New Roman" w:hAnsi="Times New Roman" w:cs="Times New Roman"/>
        </w:rPr>
        <w:t>In case of capacity restrictions, interruptible capacity of the shortest period</w:t>
      </w:r>
      <w:r>
        <w:rPr>
          <w:rFonts w:ascii="Times New Roman" w:hAnsi="Times New Roman" w:cs="Times New Roman"/>
        </w:rPr>
        <w:t xml:space="preserve"> shall be limited firstly,</w:t>
      </w:r>
      <w:r w:rsidRPr="008624D2">
        <w:rPr>
          <w:rFonts w:ascii="Times New Roman" w:hAnsi="Times New Roman" w:cs="Times New Roman"/>
        </w:rPr>
        <w:t xml:space="preserve"> then interruptible capacity of a longer period</w:t>
      </w:r>
      <w:r>
        <w:rPr>
          <w:rFonts w:ascii="Times New Roman" w:hAnsi="Times New Roman" w:cs="Times New Roman"/>
        </w:rPr>
        <w:t xml:space="preserve"> </w:t>
      </w:r>
      <w:r w:rsidRPr="008624D2">
        <w:rPr>
          <w:rFonts w:ascii="Times New Roman" w:hAnsi="Times New Roman" w:cs="Times New Roman"/>
        </w:rPr>
        <w:t xml:space="preserve">and finally, if </w:t>
      </w:r>
      <w:r>
        <w:rPr>
          <w:rFonts w:ascii="Times New Roman" w:hAnsi="Times New Roman" w:cs="Times New Roman"/>
        </w:rPr>
        <w:t>needed</w:t>
      </w:r>
      <w:r w:rsidRPr="008624D2">
        <w:rPr>
          <w:rFonts w:ascii="Times New Roman" w:hAnsi="Times New Roman" w:cs="Times New Roman"/>
        </w:rPr>
        <w:t xml:space="preserve">, firm capacity </w:t>
      </w:r>
      <w:r>
        <w:rPr>
          <w:rFonts w:ascii="Times New Roman" w:hAnsi="Times New Roman" w:cs="Times New Roman"/>
        </w:rPr>
        <w:t xml:space="preserve">shall be limited. </w:t>
      </w:r>
      <w:r w:rsidR="000E2F4E">
        <w:rPr>
          <w:rFonts w:ascii="Times New Roman" w:hAnsi="Times New Roman" w:cs="Times New Roman"/>
        </w:rPr>
        <w:t xml:space="preserve">Details of the interruption procedure and invoicing are set in the network rules </w:t>
      </w:r>
      <w:r w:rsidR="002B5586" w:rsidRPr="002B5586">
        <w:rPr>
          <w:rFonts w:ascii="Times New Roman" w:hAnsi="Times New Roman" w:cs="Times New Roman"/>
        </w:rPr>
        <w:t xml:space="preserve">for </w:t>
      </w:r>
      <w:r w:rsidR="002B5586">
        <w:rPr>
          <w:rFonts w:ascii="Times New Roman" w:hAnsi="Times New Roman" w:cs="Times New Roman"/>
        </w:rPr>
        <w:t>a</w:t>
      </w:r>
      <w:r w:rsidR="002B5586" w:rsidRPr="002B5586">
        <w:rPr>
          <w:rFonts w:ascii="Times New Roman" w:hAnsi="Times New Roman" w:cs="Times New Roman"/>
        </w:rPr>
        <w:t xml:space="preserve">ccess to the </w:t>
      </w:r>
      <w:r w:rsidR="002B5586">
        <w:rPr>
          <w:rFonts w:ascii="Times New Roman" w:hAnsi="Times New Roman" w:cs="Times New Roman"/>
        </w:rPr>
        <w:t>t</w:t>
      </w:r>
      <w:r w:rsidR="002B5586" w:rsidRPr="002B5586">
        <w:rPr>
          <w:rFonts w:ascii="Times New Roman" w:hAnsi="Times New Roman" w:cs="Times New Roman"/>
        </w:rPr>
        <w:t xml:space="preserve">ransmission </w:t>
      </w:r>
      <w:r w:rsidR="002B5586">
        <w:rPr>
          <w:rFonts w:ascii="Times New Roman" w:hAnsi="Times New Roman" w:cs="Times New Roman"/>
        </w:rPr>
        <w:t>s</w:t>
      </w:r>
      <w:r w:rsidR="002B5586" w:rsidRPr="002B5586">
        <w:rPr>
          <w:rFonts w:ascii="Times New Roman" w:hAnsi="Times New Roman" w:cs="Times New Roman"/>
        </w:rPr>
        <w:t>ystem</w:t>
      </w:r>
      <w:r w:rsidR="000E2F4E">
        <w:rPr>
          <w:rFonts w:ascii="Times New Roman" w:hAnsi="Times New Roman" w:cs="Times New Roman"/>
        </w:rPr>
        <w:t xml:space="preserve">. </w:t>
      </w:r>
    </w:p>
    <w:p w14:paraId="6AA32AF9" w14:textId="77777777" w:rsidR="000A6141" w:rsidRDefault="000A6141" w:rsidP="0003442B">
      <w:pPr>
        <w:jc w:val="both"/>
        <w:rPr>
          <w:rFonts w:ascii="Times New Roman" w:hAnsi="Times New Roman" w:cs="Times New Roman"/>
          <w:b/>
          <w:bCs/>
        </w:rPr>
      </w:pPr>
    </w:p>
    <w:p w14:paraId="011A9DCD" w14:textId="48EDECD3" w:rsidR="00B239AA" w:rsidRPr="005D66C5" w:rsidRDefault="00A32891" w:rsidP="0003442B">
      <w:pPr>
        <w:jc w:val="both"/>
        <w:rPr>
          <w:rFonts w:ascii="Times New Roman" w:hAnsi="Times New Roman" w:cs="Times New Roman"/>
          <w:b/>
          <w:bCs/>
        </w:rPr>
      </w:pPr>
      <w:r w:rsidRPr="005D66C5">
        <w:rPr>
          <w:rFonts w:ascii="Times New Roman" w:hAnsi="Times New Roman" w:cs="Times New Roman"/>
          <w:b/>
          <w:bCs/>
        </w:rPr>
        <w:t xml:space="preserve">Virtual capacity on the </w:t>
      </w:r>
      <w:r w:rsidR="00141EC4">
        <w:rPr>
          <w:rFonts w:ascii="Times New Roman" w:hAnsi="Times New Roman" w:cs="Times New Roman"/>
          <w:b/>
          <w:bCs/>
        </w:rPr>
        <w:t>entry-exit</w:t>
      </w:r>
      <w:r w:rsidR="00141EC4" w:rsidRPr="005D66C5">
        <w:rPr>
          <w:rFonts w:ascii="Times New Roman" w:hAnsi="Times New Roman" w:cs="Times New Roman"/>
          <w:b/>
          <w:bCs/>
        </w:rPr>
        <w:t xml:space="preserve"> </w:t>
      </w:r>
      <w:r w:rsidRPr="005D66C5">
        <w:rPr>
          <w:rFonts w:ascii="Times New Roman" w:hAnsi="Times New Roman" w:cs="Times New Roman"/>
          <w:b/>
          <w:bCs/>
        </w:rPr>
        <w:t>points</w:t>
      </w:r>
    </w:p>
    <w:p w14:paraId="07CD04B8" w14:textId="405F051C" w:rsidR="0050430B" w:rsidRPr="005D66C5" w:rsidRDefault="0050430B" w:rsidP="0003442B">
      <w:pPr>
        <w:jc w:val="both"/>
        <w:rPr>
          <w:rFonts w:ascii="Times New Roman" w:hAnsi="Times New Roman" w:cs="Times New Roman"/>
        </w:rPr>
      </w:pPr>
      <w:r w:rsidRPr="005D66C5">
        <w:rPr>
          <w:rFonts w:ascii="Times New Roman" w:hAnsi="Times New Roman" w:cs="Times New Roman"/>
        </w:rPr>
        <w:t xml:space="preserve">On </w:t>
      </w:r>
      <w:proofErr w:type="spellStart"/>
      <w:r w:rsidRPr="005D66C5">
        <w:rPr>
          <w:rFonts w:ascii="Times New Roman" w:hAnsi="Times New Roman" w:cs="Times New Roman"/>
        </w:rPr>
        <w:t>Balticconnector</w:t>
      </w:r>
      <w:proofErr w:type="spellEnd"/>
      <w:r w:rsidRPr="005D66C5">
        <w:rPr>
          <w:rFonts w:ascii="Times New Roman" w:hAnsi="Times New Roman" w:cs="Times New Roman"/>
        </w:rPr>
        <w:t xml:space="preserve"> and </w:t>
      </w:r>
      <w:proofErr w:type="spellStart"/>
      <w:r w:rsidRPr="005D66C5">
        <w:rPr>
          <w:rFonts w:ascii="Times New Roman" w:hAnsi="Times New Roman" w:cs="Times New Roman"/>
        </w:rPr>
        <w:t>Incu</w:t>
      </w:r>
      <w:r w:rsidR="006A26D5">
        <w:rPr>
          <w:rFonts w:ascii="Times New Roman" w:hAnsi="Times New Roman" w:cs="Times New Roman"/>
        </w:rPr>
        <w:t>k</w:t>
      </w:r>
      <w:r w:rsidRPr="005D66C5">
        <w:rPr>
          <w:rFonts w:ascii="Times New Roman" w:hAnsi="Times New Roman" w:cs="Times New Roman"/>
        </w:rPr>
        <w:t>a</w:t>
      </w:r>
      <w:r w:rsidR="006A26D5">
        <w:rPr>
          <w:rFonts w:ascii="Times New Roman" w:hAnsi="Times New Roman" w:cs="Times New Roman"/>
        </w:rPr>
        <w:t>l</w:t>
      </w:r>
      <w:r w:rsidRPr="005D66C5">
        <w:rPr>
          <w:rFonts w:ascii="Times New Roman" w:hAnsi="Times New Roman" w:cs="Times New Roman"/>
        </w:rPr>
        <w:t>ns</w:t>
      </w:r>
      <w:proofErr w:type="spellEnd"/>
      <w:r w:rsidR="00141EC4">
        <w:rPr>
          <w:rFonts w:ascii="Times New Roman" w:hAnsi="Times New Roman" w:cs="Times New Roman"/>
        </w:rPr>
        <w:t xml:space="preserve"> UGS entry-exit</w:t>
      </w:r>
      <w:r w:rsidRPr="005D66C5">
        <w:rPr>
          <w:rFonts w:ascii="Times New Roman" w:hAnsi="Times New Roman" w:cs="Times New Roman"/>
        </w:rPr>
        <w:t xml:space="preserve"> points</w:t>
      </w:r>
      <w:r w:rsidR="00EE46B7">
        <w:rPr>
          <w:rFonts w:ascii="Times New Roman" w:hAnsi="Times New Roman" w:cs="Times New Roman"/>
        </w:rPr>
        <w:t>,</w:t>
      </w:r>
      <w:r w:rsidRPr="005D66C5">
        <w:rPr>
          <w:rFonts w:ascii="Times New Roman" w:hAnsi="Times New Roman" w:cs="Times New Roman"/>
        </w:rPr>
        <w:t xml:space="preserve"> the virtual capacity is offered in coordination with </w:t>
      </w:r>
      <w:r w:rsidR="00065547" w:rsidRPr="005D66C5">
        <w:rPr>
          <w:rFonts w:ascii="Times New Roman" w:hAnsi="Times New Roman" w:cs="Times New Roman"/>
        </w:rPr>
        <w:t xml:space="preserve">adjacent system operator </w:t>
      </w:r>
      <w:proofErr w:type="gramStart"/>
      <w:r w:rsidR="00065547" w:rsidRPr="005D66C5">
        <w:rPr>
          <w:rFonts w:ascii="Times New Roman" w:hAnsi="Times New Roman" w:cs="Times New Roman"/>
        </w:rPr>
        <w:t>taking into account</w:t>
      </w:r>
      <w:proofErr w:type="gramEnd"/>
      <w:r w:rsidR="00065547" w:rsidRPr="005D66C5">
        <w:rPr>
          <w:rFonts w:ascii="Times New Roman" w:hAnsi="Times New Roman" w:cs="Times New Roman"/>
        </w:rPr>
        <w:t xml:space="preserve"> possible physical limitations. </w:t>
      </w:r>
      <w:r w:rsidR="00141EC4">
        <w:rPr>
          <w:rFonts w:ascii="Times New Roman" w:hAnsi="Times New Roman" w:cs="Times New Roman"/>
        </w:rPr>
        <w:t>Virtual</w:t>
      </w:r>
      <w:r w:rsidR="00065547" w:rsidRPr="005D66C5">
        <w:rPr>
          <w:rFonts w:ascii="Times New Roman" w:hAnsi="Times New Roman" w:cs="Times New Roman"/>
        </w:rPr>
        <w:t xml:space="preserve"> capacity is offered based on day</w:t>
      </w:r>
      <w:r w:rsidR="00830DFB">
        <w:rPr>
          <w:rFonts w:ascii="Times New Roman" w:hAnsi="Times New Roman" w:cs="Times New Roman"/>
        </w:rPr>
        <w:t>-</w:t>
      </w:r>
      <w:r w:rsidR="00065547" w:rsidRPr="005D66C5">
        <w:rPr>
          <w:rFonts w:ascii="Times New Roman" w:hAnsi="Times New Roman" w:cs="Times New Roman"/>
        </w:rPr>
        <w:t>ahead confirmed nominations. Physical and virtual limitations of specific points are listed below:</w:t>
      </w:r>
    </w:p>
    <w:p w14:paraId="190E075E" w14:textId="2B1C1A11" w:rsidR="00065547" w:rsidRPr="00A438D8" w:rsidRDefault="00065547" w:rsidP="00A438D8">
      <w:pPr>
        <w:pStyle w:val="ListParagraph"/>
        <w:numPr>
          <w:ilvl w:val="0"/>
          <w:numId w:val="26"/>
        </w:numPr>
        <w:jc w:val="both"/>
        <w:rPr>
          <w:rFonts w:ascii="Times New Roman" w:hAnsi="Times New Roman" w:cs="Times New Roman"/>
        </w:rPr>
      </w:pPr>
      <w:proofErr w:type="spellStart"/>
      <w:r w:rsidRPr="00A438D8">
        <w:rPr>
          <w:rFonts w:ascii="Times New Roman" w:hAnsi="Times New Roman" w:cs="Times New Roman"/>
        </w:rPr>
        <w:t>Balticconnector</w:t>
      </w:r>
      <w:proofErr w:type="spellEnd"/>
      <w:r w:rsidRPr="00A438D8">
        <w:rPr>
          <w:rFonts w:ascii="Times New Roman" w:hAnsi="Times New Roman" w:cs="Times New Roman"/>
        </w:rPr>
        <w:t xml:space="preserve">: Virtual capacity </w:t>
      </w:r>
      <w:r w:rsidR="00DC7D27" w:rsidRPr="00A438D8">
        <w:rPr>
          <w:rFonts w:ascii="Times New Roman" w:hAnsi="Times New Roman" w:cs="Times New Roman"/>
        </w:rPr>
        <w:t>may be offered based on Virtual Reverse Flow at</w:t>
      </w:r>
      <w:r w:rsidR="00A438D8">
        <w:rPr>
          <w:rFonts w:ascii="Times New Roman" w:hAnsi="Times New Roman" w:cs="Times New Roman"/>
        </w:rPr>
        <w:t xml:space="preserve"> </w:t>
      </w:r>
      <w:proofErr w:type="spellStart"/>
      <w:r w:rsidR="00DC7D27" w:rsidRPr="00A438D8">
        <w:rPr>
          <w:rFonts w:ascii="Times New Roman" w:hAnsi="Times New Roman" w:cs="Times New Roman"/>
        </w:rPr>
        <w:t>Balticconnector</w:t>
      </w:r>
      <w:proofErr w:type="spellEnd"/>
      <w:r w:rsidR="00DC7D27" w:rsidRPr="00A438D8">
        <w:rPr>
          <w:rFonts w:ascii="Times New Roman" w:hAnsi="Times New Roman" w:cs="Times New Roman"/>
        </w:rPr>
        <w:t xml:space="preserve"> to increase Available Capacity.</w:t>
      </w:r>
      <w:r w:rsidR="00A438D8">
        <w:rPr>
          <w:rFonts w:ascii="Times New Roman" w:hAnsi="Times New Roman" w:cs="Times New Roman"/>
        </w:rPr>
        <w:t xml:space="preserve"> The virtual capacity </w:t>
      </w:r>
      <w:r w:rsidRPr="00A438D8">
        <w:rPr>
          <w:rFonts w:ascii="Times New Roman" w:hAnsi="Times New Roman" w:cs="Times New Roman"/>
        </w:rPr>
        <w:t>is limited due to the</w:t>
      </w:r>
      <w:r w:rsidR="00C12166" w:rsidRPr="00A438D8">
        <w:rPr>
          <w:rFonts w:ascii="Times New Roman" w:hAnsi="Times New Roman" w:cs="Times New Roman"/>
        </w:rPr>
        <w:t xml:space="preserve"> possible</w:t>
      </w:r>
      <w:r w:rsidRPr="00A438D8">
        <w:rPr>
          <w:rFonts w:ascii="Times New Roman" w:hAnsi="Times New Roman" w:cs="Times New Roman"/>
        </w:rPr>
        <w:t xml:space="preserve"> change</w:t>
      </w:r>
      <w:r w:rsidR="00C12166" w:rsidRPr="00A438D8">
        <w:rPr>
          <w:rFonts w:ascii="Times New Roman" w:hAnsi="Times New Roman" w:cs="Times New Roman"/>
        </w:rPr>
        <w:t>s in</w:t>
      </w:r>
      <w:r w:rsidRPr="00A438D8">
        <w:rPr>
          <w:rFonts w:ascii="Times New Roman" w:hAnsi="Times New Roman" w:cs="Times New Roman"/>
        </w:rPr>
        <w:t xml:space="preserve"> day</w:t>
      </w:r>
      <w:r w:rsidR="00C12166" w:rsidRPr="00A438D8">
        <w:rPr>
          <w:rFonts w:ascii="Times New Roman" w:hAnsi="Times New Roman" w:cs="Times New Roman"/>
        </w:rPr>
        <w:t>-</w:t>
      </w:r>
      <w:r w:rsidRPr="00A438D8">
        <w:rPr>
          <w:rFonts w:ascii="Times New Roman" w:hAnsi="Times New Roman" w:cs="Times New Roman"/>
        </w:rPr>
        <w:t>ahead nominations.</w:t>
      </w:r>
      <w:r w:rsidR="00841A40">
        <w:rPr>
          <w:rFonts w:ascii="Times New Roman" w:hAnsi="Times New Roman" w:cs="Times New Roman"/>
        </w:rPr>
        <w:t xml:space="preserve"> The maximum offered virtual capacity per direction </w:t>
      </w:r>
      <w:r w:rsidR="00841A40">
        <w:rPr>
          <w:rFonts w:ascii="Times New Roman" w:hAnsi="Times New Roman" w:cs="Times New Roman"/>
        </w:rPr>
        <w:lastRenderedPageBreak/>
        <w:t xml:space="preserve">is 46 000 kWh/h. </w:t>
      </w:r>
      <w:r w:rsidR="00462078" w:rsidRPr="00A438D8">
        <w:rPr>
          <w:rFonts w:ascii="Times New Roman" w:hAnsi="Times New Roman" w:cs="Times New Roman"/>
        </w:rPr>
        <w:t>If the amount of virtual capacity will be changed, Gasgrid will announce about the change beforehand.</w:t>
      </w:r>
    </w:p>
    <w:p w14:paraId="78C87E5A" w14:textId="2E6FE724" w:rsidR="00065547" w:rsidRDefault="00065547" w:rsidP="00E77B9A">
      <w:pPr>
        <w:pStyle w:val="ListParagraph"/>
        <w:numPr>
          <w:ilvl w:val="0"/>
          <w:numId w:val="26"/>
        </w:numPr>
        <w:jc w:val="both"/>
        <w:rPr>
          <w:rFonts w:ascii="Times New Roman" w:hAnsi="Times New Roman" w:cs="Times New Roman"/>
        </w:rPr>
      </w:pPr>
      <w:proofErr w:type="spellStart"/>
      <w:r w:rsidRPr="005D66C5">
        <w:rPr>
          <w:rFonts w:ascii="Times New Roman" w:hAnsi="Times New Roman" w:cs="Times New Roman"/>
        </w:rPr>
        <w:t>Incu</w:t>
      </w:r>
      <w:r w:rsidR="006A26D5">
        <w:rPr>
          <w:rFonts w:ascii="Times New Roman" w:hAnsi="Times New Roman" w:cs="Times New Roman"/>
        </w:rPr>
        <w:t>k</w:t>
      </w:r>
      <w:r w:rsidRPr="005D66C5">
        <w:rPr>
          <w:rFonts w:ascii="Times New Roman" w:hAnsi="Times New Roman" w:cs="Times New Roman"/>
        </w:rPr>
        <w:t>a</w:t>
      </w:r>
      <w:r w:rsidR="006A26D5">
        <w:rPr>
          <w:rFonts w:ascii="Times New Roman" w:hAnsi="Times New Roman" w:cs="Times New Roman"/>
        </w:rPr>
        <w:t>l</w:t>
      </w:r>
      <w:r w:rsidRPr="005D66C5">
        <w:rPr>
          <w:rFonts w:ascii="Times New Roman" w:hAnsi="Times New Roman" w:cs="Times New Roman"/>
        </w:rPr>
        <w:t>ns</w:t>
      </w:r>
      <w:proofErr w:type="spellEnd"/>
      <w:r w:rsidRPr="005D66C5">
        <w:rPr>
          <w:rFonts w:ascii="Times New Roman" w:hAnsi="Times New Roman" w:cs="Times New Roman"/>
        </w:rPr>
        <w:t xml:space="preserve"> UGS </w:t>
      </w:r>
      <w:r w:rsidR="00B96D72">
        <w:rPr>
          <w:rFonts w:ascii="Times New Roman" w:hAnsi="Times New Roman" w:cs="Times New Roman"/>
        </w:rPr>
        <w:t xml:space="preserve">entry – exit </w:t>
      </w:r>
      <w:r w:rsidRPr="005D66C5">
        <w:rPr>
          <w:rFonts w:ascii="Times New Roman" w:hAnsi="Times New Roman" w:cs="Times New Roman"/>
        </w:rPr>
        <w:t>point</w:t>
      </w:r>
      <w:r w:rsidR="00B96D72">
        <w:rPr>
          <w:rFonts w:ascii="Times New Roman" w:hAnsi="Times New Roman" w:cs="Times New Roman"/>
        </w:rPr>
        <w:t>s</w:t>
      </w:r>
      <w:r w:rsidRPr="005D66C5">
        <w:rPr>
          <w:rFonts w:ascii="Times New Roman" w:hAnsi="Times New Roman" w:cs="Times New Roman"/>
        </w:rPr>
        <w:t xml:space="preserve"> has </w:t>
      </w:r>
      <w:r w:rsidR="006877A1">
        <w:rPr>
          <w:rFonts w:ascii="Times New Roman" w:hAnsi="Times New Roman" w:cs="Times New Roman"/>
        </w:rPr>
        <w:t xml:space="preserve">interruptible </w:t>
      </w:r>
      <w:r w:rsidRPr="005D66C5">
        <w:rPr>
          <w:rFonts w:ascii="Times New Roman" w:hAnsi="Times New Roman" w:cs="Times New Roman"/>
        </w:rPr>
        <w:t xml:space="preserve">virtual </w:t>
      </w:r>
      <w:r w:rsidR="00B96D72">
        <w:rPr>
          <w:rFonts w:ascii="Times New Roman" w:hAnsi="Times New Roman" w:cs="Times New Roman"/>
        </w:rPr>
        <w:t>counter-</w:t>
      </w:r>
      <w:r w:rsidRPr="005D66C5">
        <w:rPr>
          <w:rFonts w:ascii="Times New Roman" w:hAnsi="Times New Roman" w:cs="Times New Roman"/>
        </w:rPr>
        <w:t>flow</w:t>
      </w:r>
      <w:r w:rsidR="00B96D72">
        <w:rPr>
          <w:rFonts w:ascii="Times New Roman" w:hAnsi="Times New Roman" w:cs="Times New Roman"/>
        </w:rPr>
        <w:t xml:space="preserve"> capacity</w:t>
      </w:r>
      <w:r w:rsidRPr="005D66C5">
        <w:rPr>
          <w:rFonts w:ascii="Times New Roman" w:hAnsi="Times New Roman" w:cs="Times New Roman"/>
        </w:rPr>
        <w:t xml:space="preserve"> up to the amount allocated in </w:t>
      </w:r>
      <w:r w:rsidR="00B96D72" w:rsidRPr="00B96D72">
        <w:rPr>
          <w:rFonts w:ascii="Times New Roman" w:hAnsi="Times New Roman" w:cs="Times New Roman"/>
        </w:rPr>
        <w:t xml:space="preserve">the direction of the actual technological regime (storage cycle season) of </w:t>
      </w:r>
      <w:proofErr w:type="spellStart"/>
      <w:r w:rsidR="00B96D72" w:rsidRPr="00B96D72">
        <w:rPr>
          <w:rFonts w:ascii="Times New Roman" w:hAnsi="Times New Roman" w:cs="Times New Roman"/>
        </w:rPr>
        <w:t>Incukalns</w:t>
      </w:r>
      <w:proofErr w:type="spellEnd"/>
      <w:r w:rsidR="00B96D72" w:rsidRPr="00B96D72">
        <w:rPr>
          <w:rFonts w:ascii="Times New Roman" w:hAnsi="Times New Roman" w:cs="Times New Roman"/>
        </w:rPr>
        <w:t xml:space="preserve"> UGS</w:t>
      </w:r>
      <w:r w:rsidR="00B96D72">
        <w:rPr>
          <w:rFonts w:ascii="Times New Roman" w:hAnsi="Times New Roman" w:cs="Times New Roman"/>
        </w:rPr>
        <w:t xml:space="preserve"> </w:t>
      </w:r>
      <w:r w:rsidR="00B96D72" w:rsidRPr="00B96D72">
        <w:rPr>
          <w:rFonts w:ascii="Times New Roman" w:hAnsi="Times New Roman" w:cs="Times New Roman"/>
        </w:rPr>
        <w:t>in accordance with the R</w:t>
      </w:r>
      <w:r w:rsidR="00B96D72">
        <w:rPr>
          <w:rFonts w:ascii="Times New Roman" w:hAnsi="Times New Roman" w:cs="Times New Roman"/>
        </w:rPr>
        <w:t>egulations regarding the</w:t>
      </w:r>
      <w:r w:rsidR="00B96D72" w:rsidRPr="00B96D72">
        <w:rPr>
          <w:rFonts w:ascii="Times New Roman" w:hAnsi="Times New Roman" w:cs="Times New Roman"/>
        </w:rPr>
        <w:t xml:space="preserve"> </w:t>
      </w:r>
      <w:r w:rsidR="00B96D72">
        <w:rPr>
          <w:rFonts w:ascii="Times New Roman" w:hAnsi="Times New Roman" w:cs="Times New Roman"/>
        </w:rPr>
        <w:t>u</w:t>
      </w:r>
      <w:r w:rsidR="00B96D72" w:rsidRPr="00B96D72">
        <w:rPr>
          <w:rFonts w:ascii="Times New Roman" w:hAnsi="Times New Roman" w:cs="Times New Roman"/>
        </w:rPr>
        <w:t xml:space="preserve">se of </w:t>
      </w:r>
      <w:r w:rsidR="00B96D72">
        <w:rPr>
          <w:rFonts w:ascii="Times New Roman" w:hAnsi="Times New Roman" w:cs="Times New Roman"/>
        </w:rPr>
        <w:t xml:space="preserve">the </w:t>
      </w:r>
      <w:proofErr w:type="spellStart"/>
      <w:r w:rsidR="00B96D72" w:rsidRPr="00B96D72">
        <w:rPr>
          <w:rFonts w:ascii="Times New Roman" w:hAnsi="Times New Roman" w:cs="Times New Roman"/>
        </w:rPr>
        <w:t>Incukalns</w:t>
      </w:r>
      <w:proofErr w:type="spellEnd"/>
      <w:r w:rsidR="00B96D72" w:rsidRPr="00B96D72">
        <w:rPr>
          <w:rFonts w:ascii="Times New Roman" w:hAnsi="Times New Roman" w:cs="Times New Roman"/>
        </w:rPr>
        <w:t xml:space="preserve"> UGS.</w:t>
      </w:r>
      <w:r w:rsidRPr="005D66C5">
        <w:rPr>
          <w:rFonts w:ascii="Times New Roman" w:hAnsi="Times New Roman" w:cs="Times New Roman"/>
        </w:rPr>
        <w:t xml:space="preserve"> </w:t>
      </w:r>
    </w:p>
    <w:p w14:paraId="6DBF6E4A" w14:textId="32708E11" w:rsidR="0050430B" w:rsidRDefault="00497CD6" w:rsidP="00E77B9A">
      <w:pPr>
        <w:jc w:val="both"/>
        <w:rPr>
          <w:rFonts w:ascii="Times New Roman" w:hAnsi="Times New Roman" w:cs="Times New Roman"/>
          <w:b/>
          <w:bCs/>
        </w:rPr>
      </w:pPr>
      <w:r w:rsidRPr="00C24875">
        <w:rPr>
          <w:rFonts w:ascii="Times New Roman" w:hAnsi="Times New Roman" w:cs="Times New Roman"/>
          <w:b/>
          <w:bCs/>
        </w:rPr>
        <w:t>Coordination of joint maintenance plans</w:t>
      </w:r>
    </w:p>
    <w:p w14:paraId="2306F0DA" w14:textId="395A868F" w:rsidR="00497CD6" w:rsidRPr="00C24875" w:rsidRDefault="00FB3F30" w:rsidP="00E77B9A">
      <w:pPr>
        <w:jc w:val="both"/>
        <w:rPr>
          <w:rFonts w:ascii="Times New Roman" w:hAnsi="Times New Roman" w:cs="Times New Roman"/>
        </w:rPr>
      </w:pPr>
      <w:r>
        <w:rPr>
          <w:rFonts w:ascii="Times New Roman" w:hAnsi="Times New Roman" w:cs="Times New Roman"/>
        </w:rPr>
        <w:t xml:space="preserve">The TSOs of Baltic-Finnish region have started the joint </w:t>
      </w:r>
      <w:r w:rsidR="004F4B11">
        <w:rPr>
          <w:rFonts w:ascii="Times New Roman" w:hAnsi="Times New Roman" w:cs="Times New Roman"/>
        </w:rPr>
        <w:t>assessment of Regional Transmission System</w:t>
      </w:r>
      <w:r w:rsidR="008D6067">
        <w:rPr>
          <w:rFonts w:ascii="Times New Roman" w:hAnsi="Times New Roman" w:cs="Times New Roman"/>
        </w:rPr>
        <w:t xml:space="preserve"> maintenance plans and</w:t>
      </w:r>
      <w:r w:rsidR="004F4B11">
        <w:rPr>
          <w:rFonts w:ascii="Times New Roman" w:hAnsi="Times New Roman" w:cs="Times New Roman"/>
        </w:rPr>
        <w:t xml:space="preserve"> Capability </w:t>
      </w:r>
      <w:r w:rsidR="008D6067">
        <w:rPr>
          <w:rFonts w:ascii="Times New Roman" w:hAnsi="Times New Roman" w:cs="Times New Roman"/>
        </w:rPr>
        <w:t xml:space="preserve">analysis </w:t>
      </w:r>
      <w:r w:rsidR="004F4B11">
        <w:rPr>
          <w:rFonts w:ascii="Times New Roman" w:hAnsi="Times New Roman" w:cs="Times New Roman"/>
        </w:rPr>
        <w:t xml:space="preserve">in order to </w:t>
      </w:r>
      <w:r w:rsidR="00F90473">
        <w:rPr>
          <w:rFonts w:ascii="Times New Roman" w:hAnsi="Times New Roman" w:cs="Times New Roman"/>
        </w:rPr>
        <w:t xml:space="preserve">operate the gas systems on a regional level more efficiently. </w:t>
      </w:r>
      <w:r w:rsidR="00B604B9" w:rsidRPr="00B604B9">
        <w:rPr>
          <w:rFonts w:ascii="Times New Roman" w:hAnsi="Times New Roman" w:cs="Times New Roman"/>
        </w:rPr>
        <w:t>Transmission system operators publish annually, by</w:t>
      </w:r>
      <w:r w:rsidR="00B604B9">
        <w:rPr>
          <w:rFonts w:ascii="Times New Roman" w:hAnsi="Times New Roman" w:cs="Times New Roman"/>
        </w:rPr>
        <w:t xml:space="preserve"> 01.07</w:t>
      </w:r>
      <w:r w:rsidR="00B604B9" w:rsidRPr="00B604B9">
        <w:rPr>
          <w:rFonts w:ascii="Times New Roman" w:hAnsi="Times New Roman" w:cs="Times New Roman"/>
        </w:rPr>
        <w:t xml:space="preserve">, all planned maintenance periods that might affect network users' rights from transport contracts and corresponding operational </w:t>
      </w:r>
      <w:proofErr w:type="spellStart"/>
      <w:proofErr w:type="gramStart"/>
      <w:r w:rsidR="00B604B9" w:rsidRPr="00B604B9">
        <w:rPr>
          <w:rFonts w:ascii="Times New Roman" w:hAnsi="Times New Roman" w:cs="Times New Roman"/>
        </w:rPr>
        <w:t>information.</w:t>
      </w:r>
      <w:r w:rsidR="00E10CE5">
        <w:rPr>
          <w:rFonts w:ascii="Times New Roman" w:hAnsi="Times New Roman" w:cs="Times New Roman"/>
        </w:rPr>
        <w:t>T</w:t>
      </w:r>
      <w:r w:rsidR="00D42900">
        <w:rPr>
          <w:rFonts w:ascii="Times New Roman" w:hAnsi="Times New Roman" w:cs="Times New Roman"/>
        </w:rPr>
        <w:t>he</w:t>
      </w:r>
      <w:proofErr w:type="spellEnd"/>
      <w:proofErr w:type="gramEnd"/>
      <w:r w:rsidR="00D42900">
        <w:rPr>
          <w:rFonts w:ascii="Times New Roman" w:hAnsi="Times New Roman" w:cs="Times New Roman"/>
        </w:rPr>
        <w:t xml:space="preserve"> </w:t>
      </w:r>
      <w:r w:rsidR="00C41D72">
        <w:rPr>
          <w:rFonts w:ascii="Times New Roman" w:hAnsi="Times New Roman" w:cs="Times New Roman"/>
        </w:rPr>
        <w:t xml:space="preserve">timeline for the action points of </w:t>
      </w:r>
      <w:r w:rsidR="00C62789">
        <w:rPr>
          <w:rFonts w:ascii="Times New Roman" w:hAnsi="Times New Roman" w:cs="Times New Roman"/>
        </w:rPr>
        <w:t>technical and operational co-operation</w:t>
      </w:r>
      <w:r w:rsidR="00C41D72">
        <w:rPr>
          <w:rFonts w:ascii="Times New Roman" w:hAnsi="Times New Roman" w:cs="Times New Roman"/>
        </w:rPr>
        <w:t xml:space="preserve"> are presented</w:t>
      </w:r>
      <w:r w:rsidR="008D6067">
        <w:rPr>
          <w:rFonts w:ascii="Times New Roman" w:hAnsi="Times New Roman" w:cs="Times New Roman"/>
        </w:rPr>
        <w:t xml:space="preserve"> below</w:t>
      </w:r>
      <w:r w:rsidR="00C41D72">
        <w:rPr>
          <w:rFonts w:ascii="Times New Roman" w:hAnsi="Times New Roman" w:cs="Times New Roman"/>
        </w:rPr>
        <w:t xml:space="preserve">. </w:t>
      </w:r>
      <w:r w:rsidR="00C62789">
        <w:rPr>
          <w:rFonts w:ascii="Times New Roman" w:hAnsi="Times New Roman" w:cs="Times New Roman"/>
        </w:rPr>
        <w:t xml:space="preserve"> </w:t>
      </w:r>
    </w:p>
    <w:p w14:paraId="3966CF0B" w14:textId="107FAAD7" w:rsidR="00497CD6" w:rsidRDefault="00497CD6" w:rsidP="00E77B9A">
      <w:pPr>
        <w:jc w:val="both"/>
        <w:rPr>
          <w:rFonts w:ascii="Times New Roman" w:hAnsi="Times New Roman" w:cs="Times New Roman"/>
          <w:b/>
          <w:bCs/>
        </w:rPr>
      </w:pPr>
      <w:r>
        <w:rPr>
          <w:noProof/>
        </w:rPr>
        <w:drawing>
          <wp:inline distT="0" distB="0" distL="0" distR="0" wp14:anchorId="05D43FF9" wp14:editId="6C0D7E29">
            <wp:extent cx="5760720" cy="1332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332865"/>
                    </a:xfrm>
                    <a:prstGeom prst="rect">
                      <a:avLst/>
                    </a:prstGeom>
                  </pic:spPr>
                </pic:pic>
              </a:graphicData>
            </a:graphic>
          </wp:inline>
        </w:drawing>
      </w:r>
    </w:p>
    <w:p w14:paraId="67CF48A2" w14:textId="1BBED564" w:rsidR="009C4045" w:rsidRDefault="00A82365" w:rsidP="00E77B9A">
      <w:pPr>
        <w:jc w:val="both"/>
        <w:rPr>
          <w:rFonts w:ascii="Times New Roman" w:hAnsi="Times New Roman" w:cs="Times New Roman"/>
        </w:rPr>
      </w:pPr>
      <w:r w:rsidRPr="00C24875">
        <w:rPr>
          <w:rFonts w:ascii="Times New Roman" w:hAnsi="Times New Roman" w:cs="Times New Roman"/>
        </w:rPr>
        <w:t xml:space="preserve">The coordination of the maintenance </w:t>
      </w:r>
      <w:r w:rsidR="008D6067">
        <w:rPr>
          <w:rFonts w:ascii="Times New Roman" w:hAnsi="Times New Roman" w:cs="Times New Roman"/>
        </w:rPr>
        <w:t>is led by</w:t>
      </w:r>
      <w:r w:rsidRPr="00C24875">
        <w:rPr>
          <w:rFonts w:ascii="Times New Roman" w:hAnsi="Times New Roman" w:cs="Times New Roman"/>
        </w:rPr>
        <w:t xml:space="preserve"> Conexus </w:t>
      </w:r>
      <w:r>
        <w:rPr>
          <w:rFonts w:ascii="Times New Roman" w:hAnsi="Times New Roman" w:cs="Times New Roman"/>
        </w:rPr>
        <w:t>Baltic Grid</w:t>
      </w:r>
      <w:r w:rsidRPr="00C24875">
        <w:rPr>
          <w:rFonts w:ascii="Times New Roman" w:hAnsi="Times New Roman" w:cs="Times New Roman"/>
        </w:rPr>
        <w:t>. T</w:t>
      </w:r>
      <w:r w:rsidR="00023A7E">
        <w:rPr>
          <w:rFonts w:ascii="Times New Roman" w:hAnsi="Times New Roman" w:cs="Times New Roman"/>
        </w:rPr>
        <w:t>he TSOs</w:t>
      </w:r>
      <w:r w:rsidRPr="00C24875">
        <w:rPr>
          <w:rFonts w:ascii="Times New Roman" w:hAnsi="Times New Roman" w:cs="Times New Roman"/>
        </w:rPr>
        <w:t xml:space="preserve"> are collecting their national maintenance needs and their impact, after which the timing of maintenance will be coordinated</w:t>
      </w:r>
      <w:r w:rsidR="008D6067">
        <w:rPr>
          <w:rFonts w:ascii="Times New Roman" w:hAnsi="Times New Roman" w:cs="Times New Roman"/>
        </w:rPr>
        <w:t xml:space="preserve"> commonly</w:t>
      </w:r>
      <w:r w:rsidR="00316DC4">
        <w:rPr>
          <w:rFonts w:ascii="Times New Roman" w:hAnsi="Times New Roman" w:cs="Times New Roman"/>
        </w:rPr>
        <w:t>. The target is that t</w:t>
      </w:r>
      <w:r w:rsidR="00B70205">
        <w:rPr>
          <w:rFonts w:ascii="Times New Roman" w:hAnsi="Times New Roman" w:cs="Times New Roman"/>
        </w:rPr>
        <w:t>he maintenance works will have a</w:t>
      </w:r>
      <w:r w:rsidRPr="00C24875">
        <w:rPr>
          <w:rFonts w:ascii="Times New Roman" w:hAnsi="Times New Roman" w:cs="Times New Roman"/>
        </w:rPr>
        <w:t>s little</w:t>
      </w:r>
      <w:r w:rsidR="00B70205">
        <w:rPr>
          <w:rFonts w:ascii="Times New Roman" w:hAnsi="Times New Roman" w:cs="Times New Roman"/>
        </w:rPr>
        <w:t xml:space="preserve"> impact</w:t>
      </w:r>
      <w:r w:rsidR="00C0514F">
        <w:rPr>
          <w:rFonts w:ascii="Times New Roman" w:hAnsi="Times New Roman" w:cs="Times New Roman"/>
        </w:rPr>
        <w:t xml:space="preserve"> for market participants</w:t>
      </w:r>
      <w:r w:rsidRPr="00C24875">
        <w:rPr>
          <w:rFonts w:ascii="Times New Roman" w:hAnsi="Times New Roman" w:cs="Times New Roman"/>
        </w:rPr>
        <w:t xml:space="preserve"> as possible. </w:t>
      </w:r>
      <w:r w:rsidR="00052457">
        <w:rPr>
          <w:rFonts w:ascii="Times New Roman" w:hAnsi="Times New Roman" w:cs="Times New Roman"/>
        </w:rPr>
        <w:t>On</w:t>
      </w:r>
      <w:r w:rsidR="00C0514F">
        <w:rPr>
          <w:rFonts w:ascii="Times New Roman" w:hAnsi="Times New Roman" w:cs="Times New Roman"/>
        </w:rPr>
        <w:t xml:space="preserve">ce </w:t>
      </w:r>
      <w:r w:rsidRPr="00C24875">
        <w:rPr>
          <w:rFonts w:ascii="Times New Roman" w:hAnsi="Times New Roman" w:cs="Times New Roman"/>
        </w:rPr>
        <w:t xml:space="preserve">the </w:t>
      </w:r>
      <w:r w:rsidR="008D6067">
        <w:rPr>
          <w:rFonts w:ascii="Times New Roman" w:hAnsi="Times New Roman" w:cs="Times New Roman"/>
        </w:rPr>
        <w:t>coordination</w:t>
      </w:r>
      <w:r w:rsidRPr="00C24875">
        <w:rPr>
          <w:rFonts w:ascii="Times New Roman" w:hAnsi="Times New Roman" w:cs="Times New Roman"/>
        </w:rPr>
        <w:t xml:space="preserve"> of the TSOs is completed</w:t>
      </w:r>
      <w:r w:rsidR="008D6067">
        <w:rPr>
          <w:rFonts w:ascii="Times New Roman" w:hAnsi="Times New Roman" w:cs="Times New Roman"/>
        </w:rPr>
        <w:t xml:space="preserve"> and final maintenance plans are confirmed</w:t>
      </w:r>
      <w:r w:rsidRPr="00C24875">
        <w:rPr>
          <w:rFonts w:ascii="Times New Roman" w:hAnsi="Times New Roman" w:cs="Times New Roman"/>
        </w:rPr>
        <w:t xml:space="preserve">, the information will be </w:t>
      </w:r>
      <w:r w:rsidR="008D6067">
        <w:rPr>
          <w:rFonts w:ascii="Times New Roman" w:hAnsi="Times New Roman" w:cs="Times New Roman"/>
        </w:rPr>
        <w:t>published</w:t>
      </w:r>
      <w:r w:rsidRPr="00C24875">
        <w:rPr>
          <w:rFonts w:ascii="Times New Roman" w:hAnsi="Times New Roman" w:cs="Times New Roman"/>
        </w:rPr>
        <w:t xml:space="preserve"> to the market</w:t>
      </w:r>
      <w:r w:rsidR="008D6067">
        <w:rPr>
          <w:rFonts w:ascii="Times New Roman" w:hAnsi="Times New Roman" w:cs="Times New Roman"/>
        </w:rPr>
        <w:t xml:space="preserve">. </w:t>
      </w:r>
      <w:r w:rsidR="00247B7D">
        <w:rPr>
          <w:rFonts w:ascii="Times New Roman" w:hAnsi="Times New Roman" w:cs="Times New Roman"/>
        </w:rPr>
        <w:t xml:space="preserve">During the maintenance period the review of the annual maintenance plan is done based on individual changes of the </w:t>
      </w:r>
      <w:r w:rsidR="00946AA9">
        <w:rPr>
          <w:rFonts w:ascii="Times New Roman" w:hAnsi="Times New Roman" w:cs="Times New Roman"/>
        </w:rPr>
        <w:t xml:space="preserve">maintenances. TSO leading the maintenance work shall notify the adjacent TSOs of the change of timeline and possible impact on other outages involved in the maintenance plans. Any coordinated outage in the maintenance plan shall be communicated to the market after the coordination and calculation of capacity information is </w:t>
      </w:r>
      <w:r w:rsidR="008D2034">
        <w:rPr>
          <w:rFonts w:ascii="Times New Roman" w:hAnsi="Times New Roman" w:cs="Times New Roman"/>
        </w:rPr>
        <w:t>finalized</w:t>
      </w:r>
      <w:r w:rsidR="00C5178C">
        <w:rPr>
          <w:rFonts w:ascii="Times New Roman" w:hAnsi="Times New Roman" w:cs="Times New Roman"/>
        </w:rPr>
        <w:t>.</w:t>
      </w:r>
      <w:r w:rsidR="00946AA9">
        <w:rPr>
          <w:rFonts w:ascii="Times New Roman" w:hAnsi="Times New Roman" w:cs="Times New Roman"/>
        </w:rPr>
        <w:t xml:space="preserve"> </w:t>
      </w:r>
    </w:p>
    <w:p w14:paraId="3BBBE8FE" w14:textId="181FD9C6" w:rsidR="00267F9B" w:rsidRDefault="00946AA9" w:rsidP="00E77B9A">
      <w:pPr>
        <w:jc w:val="both"/>
        <w:rPr>
          <w:rFonts w:ascii="Times New Roman" w:hAnsi="Times New Roman" w:cs="Times New Roman"/>
        </w:rPr>
      </w:pPr>
      <w:r>
        <w:rPr>
          <w:rFonts w:ascii="Times New Roman" w:hAnsi="Times New Roman" w:cs="Times New Roman"/>
        </w:rPr>
        <w:t>Each TSO shall be responsible for the publication of their affected asset information</w:t>
      </w:r>
      <w:r w:rsidR="007C7D6A">
        <w:rPr>
          <w:rFonts w:ascii="Times New Roman" w:hAnsi="Times New Roman" w:cs="Times New Roman"/>
        </w:rPr>
        <w:t xml:space="preserve"> together with </w:t>
      </w:r>
      <w:r w:rsidR="00B604B9">
        <w:rPr>
          <w:rFonts w:ascii="Times New Roman" w:hAnsi="Times New Roman" w:cs="Times New Roman"/>
        </w:rPr>
        <w:t>impact</w:t>
      </w:r>
      <w:r w:rsidR="007C7D6A">
        <w:rPr>
          <w:rFonts w:ascii="Times New Roman" w:hAnsi="Times New Roman" w:cs="Times New Roman"/>
        </w:rPr>
        <w:t xml:space="preserve"> of the capacity</w:t>
      </w:r>
      <w:r>
        <w:rPr>
          <w:rFonts w:ascii="Times New Roman" w:hAnsi="Times New Roman" w:cs="Times New Roman"/>
        </w:rPr>
        <w:t xml:space="preserve"> and shall use the publication locations set out in Annex 1 of this document, </w:t>
      </w:r>
      <w:bookmarkStart w:id="3" w:name="_Hlk75264136"/>
      <w:r>
        <w:rPr>
          <w:rFonts w:ascii="Times New Roman" w:hAnsi="Times New Roman" w:cs="Times New Roman"/>
        </w:rPr>
        <w:t>mainly</w:t>
      </w:r>
      <w:r w:rsidR="00E144B5">
        <w:rPr>
          <w:rFonts w:ascii="Times New Roman" w:hAnsi="Times New Roman" w:cs="Times New Roman"/>
        </w:rPr>
        <w:t xml:space="preserve"> </w:t>
      </w:r>
      <w:r>
        <w:rPr>
          <w:rFonts w:ascii="Times New Roman" w:hAnsi="Times New Roman" w:cs="Times New Roman"/>
        </w:rPr>
        <w:t xml:space="preserve">TSOs </w:t>
      </w:r>
      <w:r w:rsidR="00E144B5">
        <w:rPr>
          <w:rFonts w:ascii="Times New Roman" w:hAnsi="Times New Roman" w:cs="Times New Roman"/>
        </w:rPr>
        <w:t>website</w:t>
      </w:r>
      <w:r>
        <w:rPr>
          <w:rFonts w:ascii="Times New Roman" w:hAnsi="Times New Roman" w:cs="Times New Roman"/>
        </w:rPr>
        <w:t>,</w:t>
      </w:r>
      <w:r w:rsidR="00897D3D">
        <w:rPr>
          <w:rFonts w:ascii="Times New Roman" w:hAnsi="Times New Roman" w:cs="Times New Roman"/>
        </w:rPr>
        <w:t xml:space="preserve"> </w:t>
      </w:r>
      <w:r w:rsidR="00E144B5">
        <w:rPr>
          <w:rFonts w:ascii="Times New Roman" w:hAnsi="Times New Roman" w:cs="Times New Roman"/>
        </w:rPr>
        <w:t>respective UMMs</w:t>
      </w:r>
      <w:r w:rsidR="0078455B">
        <w:rPr>
          <w:rFonts w:ascii="Times New Roman" w:hAnsi="Times New Roman" w:cs="Times New Roman"/>
        </w:rPr>
        <w:t xml:space="preserve"> </w:t>
      </w:r>
      <w:r>
        <w:rPr>
          <w:rFonts w:ascii="Times New Roman" w:hAnsi="Times New Roman" w:cs="Times New Roman"/>
        </w:rPr>
        <w:t xml:space="preserve">and </w:t>
      </w:r>
      <w:r w:rsidR="0078455B">
        <w:rPr>
          <w:rFonts w:ascii="Times New Roman" w:hAnsi="Times New Roman" w:cs="Times New Roman"/>
        </w:rPr>
        <w:t>ENTSOG Transparency Platform</w:t>
      </w:r>
      <w:bookmarkEnd w:id="3"/>
      <w:r w:rsidR="007C7D6A">
        <w:rPr>
          <w:rFonts w:ascii="Times New Roman" w:hAnsi="Times New Roman" w:cs="Times New Roman"/>
        </w:rPr>
        <w:t xml:space="preserve"> </w:t>
      </w:r>
      <w:r w:rsidR="00B604B9">
        <w:rPr>
          <w:rFonts w:ascii="Times New Roman" w:hAnsi="Times New Roman" w:cs="Times New Roman"/>
        </w:rPr>
        <w:t>the deadline set by the joint maintenance plan publication</w:t>
      </w:r>
      <w:r w:rsidR="007C7D6A">
        <w:rPr>
          <w:rFonts w:ascii="Times New Roman" w:hAnsi="Times New Roman" w:cs="Times New Roman"/>
        </w:rPr>
        <w:t>.</w:t>
      </w:r>
      <w:r w:rsidR="00E144B5">
        <w:rPr>
          <w:rFonts w:ascii="Times New Roman" w:hAnsi="Times New Roman" w:cs="Times New Roman"/>
        </w:rPr>
        <w:t xml:space="preserve"> </w:t>
      </w:r>
    </w:p>
    <w:p w14:paraId="0AD970FC" w14:textId="77777777" w:rsidR="00FF46E8" w:rsidRDefault="00FF46E8" w:rsidP="00FF46E8">
      <w:pPr>
        <w:jc w:val="both"/>
        <w:rPr>
          <w:rFonts w:ascii="Times New Roman" w:hAnsi="Times New Roman" w:cs="Times New Roman"/>
          <w:b/>
          <w:bCs/>
        </w:rPr>
      </w:pPr>
      <w:r w:rsidRPr="00C24875">
        <w:rPr>
          <w:rFonts w:ascii="Times New Roman" w:hAnsi="Times New Roman" w:cs="Times New Roman"/>
          <w:b/>
          <w:bCs/>
        </w:rPr>
        <w:t xml:space="preserve">Coordination </w:t>
      </w:r>
      <w:r>
        <w:rPr>
          <w:rFonts w:ascii="Times New Roman" w:hAnsi="Times New Roman" w:cs="Times New Roman"/>
          <w:b/>
          <w:bCs/>
        </w:rPr>
        <w:t>with third country TSOs</w:t>
      </w:r>
    </w:p>
    <w:p w14:paraId="52D01E41" w14:textId="6D37CAFD" w:rsidR="00FF46E8" w:rsidRPr="00FF46E8" w:rsidRDefault="00FF46E8" w:rsidP="00FF46E8">
      <w:pPr>
        <w:jc w:val="both"/>
        <w:rPr>
          <w:rFonts w:ascii="Times New Roman" w:hAnsi="Times New Roman" w:cs="Times New Roman"/>
        </w:rPr>
      </w:pPr>
      <w:r w:rsidRPr="00FF46E8">
        <w:rPr>
          <w:rFonts w:ascii="Times New Roman" w:hAnsi="Times New Roman" w:cs="Times New Roman"/>
        </w:rPr>
        <w:t xml:space="preserve">In the process of </w:t>
      </w:r>
      <w:r w:rsidR="007C7D6A">
        <w:rPr>
          <w:rFonts w:ascii="Times New Roman" w:hAnsi="Times New Roman" w:cs="Times New Roman"/>
        </w:rPr>
        <w:t xml:space="preserve">joint </w:t>
      </w:r>
      <w:r w:rsidRPr="00FF46E8">
        <w:rPr>
          <w:rFonts w:ascii="Times New Roman" w:hAnsi="Times New Roman" w:cs="Times New Roman"/>
        </w:rPr>
        <w:t xml:space="preserve">maintenance </w:t>
      </w:r>
      <w:r>
        <w:rPr>
          <w:rFonts w:ascii="Times New Roman" w:hAnsi="Times New Roman" w:cs="Times New Roman"/>
        </w:rPr>
        <w:t>plan</w:t>
      </w:r>
      <w:r w:rsidRPr="00FF46E8">
        <w:rPr>
          <w:rFonts w:ascii="Times New Roman" w:hAnsi="Times New Roman" w:cs="Times New Roman"/>
        </w:rPr>
        <w:t xml:space="preserve"> coordinat</w:t>
      </w:r>
      <w:r>
        <w:rPr>
          <w:rFonts w:ascii="Times New Roman" w:hAnsi="Times New Roman" w:cs="Times New Roman"/>
        </w:rPr>
        <w:t>ion</w:t>
      </w:r>
      <w:r w:rsidRPr="00FF46E8">
        <w:rPr>
          <w:rFonts w:ascii="Times New Roman" w:hAnsi="Times New Roman" w:cs="Times New Roman"/>
        </w:rPr>
        <w:t xml:space="preserve">, the TSOs also </w:t>
      </w:r>
      <w:proofErr w:type="gramStart"/>
      <w:r w:rsidRPr="00FF46E8">
        <w:rPr>
          <w:rFonts w:ascii="Times New Roman" w:hAnsi="Times New Roman" w:cs="Times New Roman"/>
        </w:rPr>
        <w:t>take into account</w:t>
      </w:r>
      <w:proofErr w:type="gramEnd"/>
      <w:r w:rsidRPr="00FF46E8">
        <w:rPr>
          <w:rFonts w:ascii="Times New Roman" w:hAnsi="Times New Roman" w:cs="Times New Roman"/>
        </w:rPr>
        <w:t xml:space="preserve"> the actual and available information on repair works in the Russian Federation</w:t>
      </w:r>
      <w:r>
        <w:rPr>
          <w:rFonts w:ascii="Times New Roman" w:hAnsi="Times New Roman" w:cs="Times New Roman"/>
        </w:rPr>
        <w:t xml:space="preserve"> by the time of common coordination</w:t>
      </w:r>
      <w:r w:rsidRPr="00FF46E8">
        <w:rPr>
          <w:rFonts w:ascii="Times New Roman" w:hAnsi="Times New Roman" w:cs="Times New Roman"/>
        </w:rPr>
        <w:t>. The TSOs of Finnish-Baltic region send the agreed work plans to the TSO of the Russian Federation</w:t>
      </w:r>
      <w:r>
        <w:rPr>
          <w:rFonts w:ascii="Times New Roman" w:hAnsi="Times New Roman" w:cs="Times New Roman"/>
        </w:rPr>
        <w:t xml:space="preserve"> once they are agreed amongst Baltic-Finnish TSOs</w:t>
      </w:r>
      <w:r w:rsidRPr="00FF46E8">
        <w:rPr>
          <w:rFonts w:ascii="Times New Roman" w:hAnsi="Times New Roman" w:cs="Times New Roman"/>
        </w:rPr>
        <w:t>.</w:t>
      </w:r>
    </w:p>
    <w:p w14:paraId="152591FC" w14:textId="1E9F3616" w:rsidR="00FF46E8" w:rsidRPr="00FF46E8" w:rsidRDefault="00FF46E8" w:rsidP="00FF46E8">
      <w:pPr>
        <w:jc w:val="both"/>
        <w:rPr>
          <w:rFonts w:ascii="Times New Roman" w:hAnsi="Times New Roman" w:cs="Times New Roman"/>
        </w:rPr>
      </w:pPr>
      <w:r w:rsidRPr="00FF46E8">
        <w:rPr>
          <w:rFonts w:ascii="Times New Roman" w:hAnsi="Times New Roman" w:cs="Times New Roman"/>
        </w:rPr>
        <w:t xml:space="preserve">The coordinated maintenance plans are exchanges with TSO of the Russian Federation in the annual maintenance plan coordination. As the conformation deadline set out by TSO of the Russian Federation is set based on current agreements (between Baltic TSOs and Gazprom) for 01.12 the maintenance plan coordinated and published by TSOs of Finnish-Baltic region will be updated </w:t>
      </w:r>
      <w:proofErr w:type="gramStart"/>
      <w:r w:rsidRPr="00FF46E8">
        <w:rPr>
          <w:rFonts w:ascii="Times New Roman" w:hAnsi="Times New Roman" w:cs="Times New Roman"/>
        </w:rPr>
        <w:t>taking into account</w:t>
      </w:r>
      <w:proofErr w:type="gramEnd"/>
      <w:r w:rsidRPr="00FF46E8">
        <w:rPr>
          <w:rFonts w:ascii="Times New Roman" w:hAnsi="Times New Roman" w:cs="Times New Roman"/>
        </w:rPr>
        <w:t xml:space="preserve"> the Russian system operator outages after the relevant coordination. </w:t>
      </w:r>
    </w:p>
    <w:p w14:paraId="5D767B4E" w14:textId="77777777" w:rsidR="002A761E" w:rsidRDefault="002A761E" w:rsidP="00E77B9A">
      <w:pPr>
        <w:jc w:val="both"/>
        <w:rPr>
          <w:rFonts w:ascii="Times New Roman" w:hAnsi="Times New Roman" w:cs="Times New Roman"/>
          <w:b/>
          <w:bCs/>
          <w:sz w:val="28"/>
          <w:szCs w:val="28"/>
        </w:rPr>
      </w:pPr>
    </w:p>
    <w:p w14:paraId="4359DD00" w14:textId="4FE59F01" w:rsidR="00267F9B" w:rsidRPr="008D2034" w:rsidRDefault="004C1995" w:rsidP="00E77B9A">
      <w:pPr>
        <w:jc w:val="both"/>
        <w:rPr>
          <w:rFonts w:ascii="Times New Roman" w:hAnsi="Times New Roman" w:cs="Times New Roman"/>
          <w:b/>
          <w:bCs/>
          <w:sz w:val="28"/>
          <w:szCs w:val="28"/>
        </w:rPr>
      </w:pPr>
      <w:r w:rsidRPr="008D2034">
        <w:rPr>
          <w:rFonts w:ascii="Times New Roman" w:hAnsi="Times New Roman" w:cs="Times New Roman"/>
          <w:b/>
          <w:bCs/>
          <w:sz w:val="28"/>
          <w:szCs w:val="28"/>
        </w:rPr>
        <w:t>The use of UMM and inside information disclosure</w:t>
      </w:r>
      <w:r w:rsidR="00FF46E8">
        <w:rPr>
          <w:rFonts w:ascii="Times New Roman" w:hAnsi="Times New Roman" w:cs="Times New Roman"/>
          <w:b/>
          <w:bCs/>
          <w:sz w:val="28"/>
          <w:szCs w:val="28"/>
        </w:rPr>
        <w:t xml:space="preserve"> </w:t>
      </w:r>
    </w:p>
    <w:p w14:paraId="4AFBD64D" w14:textId="642A0ED9" w:rsidR="007C7D6A" w:rsidRDefault="00B604B9" w:rsidP="00F43CA9">
      <w:pPr>
        <w:jc w:val="both"/>
        <w:rPr>
          <w:rFonts w:ascii="Times New Roman" w:hAnsi="Times New Roman" w:cs="Times New Roman"/>
        </w:rPr>
      </w:pPr>
      <w:r>
        <w:rPr>
          <w:rFonts w:ascii="Times New Roman" w:hAnsi="Times New Roman" w:cs="Times New Roman"/>
        </w:rPr>
        <w:t>TSOs</w:t>
      </w:r>
      <w:r w:rsidRPr="00B604B9">
        <w:rPr>
          <w:rFonts w:ascii="Times New Roman" w:hAnsi="Times New Roman" w:cs="Times New Roman"/>
        </w:rPr>
        <w:t xml:space="preserve"> shall publicly disclose in an effective and timely manner inside information which they possess in respect of business or facilities which the market participant concerned, or its parent undertaking or related undertaking, owns or controls or for whose operational matters that market participant or undertaking is responsible, either in whole or in part</w:t>
      </w:r>
      <w:r>
        <w:rPr>
          <w:rFonts w:ascii="Times New Roman" w:hAnsi="Times New Roman" w:cs="Times New Roman"/>
        </w:rPr>
        <w:t xml:space="preserve"> in accordance with the </w:t>
      </w:r>
      <w:r w:rsidR="00933359">
        <w:rPr>
          <w:rFonts w:ascii="Times New Roman" w:hAnsi="Times New Roman" w:cs="Times New Roman"/>
        </w:rPr>
        <w:t xml:space="preserve">Regulation </w:t>
      </w:r>
      <w:r>
        <w:rPr>
          <w:rFonts w:ascii="Times New Roman" w:hAnsi="Times New Roman" w:cs="Times New Roman"/>
        </w:rPr>
        <w:t xml:space="preserve">(EC) </w:t>
      </w:r>
      <w:r w:rsidR="00933359">
        <w:rPr>
          <w:rFonts w:ascii="Times New Roman" w:hAnsi="Times New Roman" w:cs="Times New Roman"/>
        </w:rPr>
        <w:t>N</w:t>
      </w:r>
      <w:r>
        <w:rPr>
          <w:rFonts w:ascii="Times New Roman" w:hAnsi="Times New Roman" w:cs="Times New Roman"/>
        </w:rPr>
        <w:t>o 1227/2011</w:t>
      </w:r>
      <w:r w:rsidRPr="00B604B9">
        <w:rPr>
          <w:rFonts w:ascii="Times New Roman" w:hAnsi="Times New Roman" w:cs="Times New Roman"/>
        </w:rPr>
        <w:t>.</w:t>
      </w:r>
    </w:p>
    <w:p w14:paraId="3D7A9052" w14:textId="45EA5CED" w:rsidR="00F43CA9" w:rsidRDefault="00F43CA9" w:rsidP="00F43CA9">
      <w:pPr>
        <w:jc w:val="both"/>
        <w:rPr>
          <w:rFonts w:ascii="Times New Roman" w:hAnsi="Times New Roman" w:cs="Times New Roman"/>
        </w:rPr>
      </w:pPr>
      <w:r>
        <w:rPr>
          <w:rFonts w:ascii="Times New Roman" w:hAnsi="Times New Roman" w:cs="Times New Roman"/>
        </w:rPr>
        <w:t>Starting from 01.01.2021 all TSOs of Baltic-Finnish market area are publishing information in one common inside information reporting platform provided by G</w:t>
      </w:r>
      <w:r w:rsidR="00826C58">
        <w:rPr>
          <w:rFonts w:ascii="Times New Roman" w:hAnsi="Times New Roman" w:cs="Times New Roman"/>
        </w:rPr>
        <w:t>ET</w:t>
      </w:r>
      <w:r>
        <w:rPr>
          <w:rFonts w:ascii="Times New Roman" w:hAnsi="Times New Roman" w:cs="Times New Roman"/>
        </w:rPr>
        <w:t xml:space="preserve"> Baltic. All TSOs information on their relevant interconnection points and impact on capacity information can be found in single place. TSOs are commonly coordinating the information published with adjacent system operators to assure the integrity of the information and to keep communication same for both area market participants.</w:t>
      </w:r>
    </w:p>
    <w:p w14:paraId="4ED66B4D" w14:textId="223C1396" w:rsidR="003F3D1E" w:rsidRDefault="003F3D1E" w:rsidP="00F43CA9">
      <w:pPr>
        <w:jc w:val="both"/>
        <w:rPr>
          <w:rFonts w:ascii="Times New Roman" w:hAnsi="Times New Roman" w:cs="Times New Roman"/>
        </w:rPr>
      </w:pPr>
      <w:r>
        <w:rPr>
          <w:rFonts w:ascii="Times New Roman" w:hAnsi="Times New Roman" w:cs="Times New Roman"/>
        </w:rPr>
        <w:t xml:space="preserve">The main information TSOs are publishing is related to the infrastructure unavailability where the gas capacities are affected due to respective event. This information is published using format “Unavailability of gas facilities” and gives information on the capacity available for technical use. Here it is important to note that available capacity in the UMM publication principle is used as technical capacity in the scope of </w:t>
      </w:r>
      <w:r w:rsidR="00933359">
        <w:rPr>
          <w:rFonts w:ascii="Times New Roman" w:hAnsi="Times New Roman" w:cs="Times New Roman"/>
        </w:rPr>
        <w:t xml:space="preserve">Regulation </w:t>
      </w:r>
      <w:r>
        <w:rPr>
          <w:rFonts w:ascii="Times New Roman" w:hAnsi="Times New Roman" w:cs="Times New Roman"/>
        </w:rPr>
        <w:t>(</w:t>
      </w:r>
      <w:r w:rsidRPr="000A6141">
        <w:rPr>
          <w:rFonts w:ascii="Times New Roman" w:hAnsi="Times New Roman" w:cs="Times New Roman"/>
        </w:rPr>
        <w:t>EC) No 715/2009</w:t>
      </w:r>
      <w:r>
        <w:rPr>
          <w:rFonts w:ascii="Times New Roman" w:hAnsi="Times New Roman" w:cs="Times New Roman"/>
        </w:rPr>
        <w:t xml:space="preserve"> </w:t>
      </w:r>
      <w:proofErr w:type="gramStart"/>
      <w:r>
        <w:rPr>
          <w:rFonts w:ascii="Times New Roman" w:hAnsi="Times New Roman" w:cs="Times New Roman"/>
        </w:rPr>
        <w:t>in order to</w:t>
      </w:r>
      <w:proofErr w:type="gramEnd"/>
      <w:r>
        <w:rPr>
          <w:rFonts w:ascii="Times New Roman" w:hAnsi="Times New Roman" w:cs="Times New Roman"/>
        </w:rPr>
        <w:t xml:space="preserve"> indicate </w:t>
      </w:r>
      <w:r w:rsidRPr="003F3D1E">
        <w:rPr>
          <w:rFonts w:ascii="Times New Roman" w:hAnsi="Times New Roman" w:cs="Times New Roman"/>
        </w:rPr>
        <w:t>the maximum firm capacity that the transmission system operator can offer to the network users, taking account of system integrity and the operational requirements of the transmission network</w:t>
      </w:r>
      <w:r w:rsidR="00671A9C">
        <w:rPr>
          <w:rFonts w:ascii="Times New Roman" w:hAnsi="Times New Roman" w:cs="Times New Roman"/>
        </w:rPr>
        <w:t xml:space="preserve">. </w:t>
      </w:r>
    </w:p>
    <w:p w14:paraId="21FF72CE" w14:textId="7C40309C" w:rsidR="00F43CA9" w:rsidRDefault="00F43CA9" w:rsidP="00F43CA9">
      <w:pPr>
        <w:jc w:val="both"/>
        <w:rPr>
          <w:rFonts w:ascii="Times New Roman" w:hAnsi="Times New Roman" w:cs="Times New Roman"/>
        </w:rPr>
      </w:pPr>
      <w:r>
        <w:rPr>
          <w:rFonts w:ascii="Times New Roman" w:hAnsi="Times New Roman" w:cs="Times New Roman"/>
        </w:rPr>
        <w:t>In addition to infrastructure unavailability</w:t>
      </w:r>
      <w:r w:rsidR="00D10CC2">
        <w:rPr>
          <w:rFonts w:ascii="Times New Roman" w:hAnsi="Times New Roman" w:cs="Times New Roman"/>
        </w:rPr>
        <w:t xml:space="preserve"> </w:t>
      </w:r>
      <w:r>
        <w:rPr>
          <w:rFonts w:ascii="Times New Roman" w:hAnsi="Times New Roman" w:cs="Times New Roman"/>
        </w:rPr>
        <w:t xml:space="preserve">TSOs are also publishing relevant market information using </w:t>
      </w:r>
      <w:r w:rsidR="00B604B9">
        <w:rPr>
          <w:rFonts w:ascii="Times New Roman" w:hAnsi="Times New Roman" w:cs="Times New Roman"/>
        </w:rPr>
        <w:t>“O</w:t>
      </w:r>
      <w:r>
        <w:rPr>
          <w:rFonts w:ascii="Times New Roman" w:hAnsi="Times New Roman" w:cs="Times New Roman"/>
        </w:rPr>
        <w:t>ther market information messages</w:t>
      </w:r>
      <w:r w:rsidR="00B604B9">
        <w:rPr>
          <w:rFonts w:ascii="Times New Roman" w:hAnsi="Times New Roman" w:cs="Times New Roman"/>
        </w:rPr>
        <w:t>”</w:t>
      </w:r>
      <w:r>
        <w:rPr>
          <w:rFonts w:ascii="Times New Roman" w:hAnsi="Times New Roman" w:cs="Times New Roman"/>
        </w:rPr>
        <w:t xml:space="preserve">. </w:t>
      </w:r>
      <w:r w:rsidR="00B81AD1" w:rsidRPr="00B81AD1">
        <w:rPr>
          <w:rFonts w:ascii="Times New Roman" w:hAnsi="Times New Roman" w:cs="Times New Roman"/>
        </w:rPr>
        <w:t>For instance, but not limited to</w:t>
      </w:r>
      <w:r>
        <w:rPr>
          <w:rFonts w:ascii="Times New Roman" w:hAnsi="Times New Roman" w:cs="Times New Roman"/>
        </w:rPr>
        <w:t>:</w:t>
      </w:r>
    </w:p>
    <w:p w14:paraId="7E033D11" w14:textId="3ACFBE2C" w:rsidR="00F43CA9" w:rsidRDefault="00F43CA9" w:rsidP="00F43CA9">
      <w:pPr>
        <w:pStyle w:val="ListParagraph"/>
        <w:numPr>
          <w:ilvl w:val="0"/>
          <w:numId w:val="34"/>
        </w:numPr>
        <w:jc w:val="both"/>
        <w:rPr>
          <w:rFonts w:ascii="Times New Roman" w:hAnsi="Times New Roman" w:cs="Times New Roman"/>
        </w:rPr>
      </w:pPr>
      <w:r>
        <w:rPr>
          <w:rFonts w:ascii="Times New Roman" w:hAnsi="Times New Roman" w:cs="Times New Roman"/>
        </w:rPr>
        <w:t xml:space="preserve">Expansion and dismantling of </w:t>
      </w:r>
      <w:r w:rsidR="00D10CC2">
        <w:rPr>
          <w:rFonts w:ascii="Times New Roman" w:hAnsi="Times New Roman" w:cs="Times New Roman"/>
        </w:rPr>
        <w:t xml:space="preserve">new </w:t>
      </w:r>
      <w:r>
        <w:rPr>
          <w:rFonts w:ascii="Times New Roman" w:hAnsi="Times New Roman" w:cs="Times New Roman"/>
        </w:rPr>
        <w:t>infrastructure that causes change of technical capacity</w:t>
      </w:r>
    </w:p>
    <w:p w14:paraId="3CD6488A" w14:textId="26D97E41" w:rsidR="00F43CA9" w:rsidRPr="008D2034" w:rsidRDefault="00F43CA9" w:rsidP="008D2034">
      <w:pPr>
        <w:pStyle w:val="ListParagraph"/>
        <w:numPr>
          <w:ilvl w:val="0"/>
          <w:numId w:val="34"/>
        </w:numPr>
        <w:jc w:val="both"/>
        <w:rPr>
          <w:rFonts w:ascii="Times New Roman" w:hAnsi="Times New Roman" w:cs="Times New Roman"/>
        </w:rPr>
      </w:pPr>
      <w:r>
        <w:rPr>
          <w:rFonts w:ascii="Times New Roman" w:hAnsi="Times New Roman" w:cs="Times New Roman"/>
        </w:rPr>
        <w:t xml:space="preserve">Information about milestones of relevant infrastructure projects </w:t>
      </w:r>
    </w:p>
    <w:p w14:paraId="5FE41A95" w14:textId="625C431C" w:rsidR="00F43CA9" w:rsidRDefault="00F43CA9" w:rsidP="00F43CA9">
      <w:pPr>
        <w:jc w:val="both"/>
        <w:rPr>
          <w:rFonts w:ascii="Times New Roman" w:hAnsi="Times New Roman" w:cs="Times New Roman"/>
          <w:lang w:val="lv-LV"/>
        </w:rPr>
      </w:pPr>
      <w:r>
        <w:rPr>
          <w:rFonts w:ascii="Times New Roman" w:hAnsi="Times New Roman" w:cs="Times New Roman"/>
        </w:rPr>
        <w:t xml:space="preserve">TSOs consider, that “planned unavailability” means a programmed change in capacity, for instance, maintenance plan, whereas “unplanned unavailability” stands for a change in capacity due to, for instance, an outage or forced limitation of capacities. Planned interruptions are usually intentional and driven by the decision of TSOs, whereas unplanned events are not intentional and </w:t>
      </w:r>
      <w:r>
        <w:rPr>
          <w:rFonts w:ascii="Times New Roman" w:hAnsi="Times New Roman" w:cs="Times New Roman"/>
          <w:lang w:val="lv-LV"/>
        </w:rPr>
        <w:t>not related to TSOs decisions.</w:t>
      </w:r>
    </w:p>
    <w:p w14:paraId="4CDCA67C" w14:textId="4CA758F4" w:rsidR="00F43CA9" w:rsidRDefault="00F43CA9" w:rsidP="00F43CA9">
      <w:pPr>
        <w:jc w:val="both"/>
        <w:rPr>
          <w:rFonts w:ascii="Times New Roman" w:hAnsi="Times New Roman" w:cs="Times New Roman"/>
        </w:rPr>
      </w:pPr>
      <w:r>
        <w:rPr>
          <w:rFonts w:ascii="Times New Roman" w:hAnsi="Times New Roman" w:cs="Times New Roman"/>
        </w:rPr>
        <w:t xml:space="preserve">A </w:t>
      </w:r>
      <w:r w:rsidR="00826C58">
        <w:rPr>
          <w:rFonts w:ascii="Times New Roman" w:hAnsi="Times New Roman" w:cs="Times New Roman"/>
        </w:rPr>
        <w:t>separate criterion</w:t>
      </w:r>
      <w:r>
        <w:rPr>
          <w:rFonts w:ascii="Times New Roman" w:hAnsi="Times New Roman" w:cs="Times New Roman"/>
        </w:rPr>
        <w:t xml:space="preserve"> for the unplanned unavailability (instead of planned unavailability) is that </w:t>
      </w:r>
      <w:r w:rsidR="00FF46E8">
        <w:rPr>
          <w:rFonts w:ascii="Times New Roman" w:hAnsi="Times New Roman" w:cs="Times New Roman"/>
        </w:rPr>
        <w:t xml:space="preserve">if </w:t>
      </w:r>
      <w:proofErr w:type="gramStart"/>
      <w:r w:rsidR="00FF46E8">
        <w:rPr>
          <w:rFonts w:ascii="Times New Roman" w:hAnsi="Times New Roman" w:cs="Times New Roman"/>
        </w:rPr>
        <w:t xml:space="preserve">the </w:t>
      </w:r>
      <w:r>
        <w:rPr>
          <w:rFonts w:ascii="Times New Roman" w:hAnsi="Times New Roman" w:cs="Times New Roman"/>
        </w:rPr>
        <w:t xml:space="preserve"> relevant</w:t>
      </w:r>
      <w:proofErr w:type="gramEnd"/>
      <w:r>
        <w:rPr>
          <w:rFonts w:ascii="Times New Roman" w:hAnsi="Times New Roman" w:cs="Times New Roman"/>
        </w:rPr>
        <w:t xml:space="preserve"> capacity unavailability</w:t>
      </w:r>
      <w:r w:rsidR="00FF46E8">
        <w:rPr>
          <w:rFonts w:ascii="Times New Roman" w:hAnsi="Times New Roman" w:cs="Times New Roman"/>
        </w:rPr>
        <w:t xml:space="preserve"> information for the</w:t>
      </w:r>
      <w:r>
        <w:rPr>
          <w:rFonts w:ascii="Times New Roman" w:hAnsi="Times New Roman" w:cs="Times New Roman"/>
        </w:rPr>
        <w:t xml:space="preserve"> </w:t>
      </w:r>
      <w:r w:rsidR="00FF46E8">
        <w:rPr>
          <w:rFonts w:ascii="Times New Roman" w:hAnsi="Times New Roman" w:cs="Times New Roman"/>
        </w:rPr>
        <w:t xml:space="preserve">UMM becomes available and </w:t>
      </w:r>
      <w:r>
        <w:rPr>
          <w:rFonts w:ascii="Times New Roman" w:hAnsi="Times New Roman" w:cs="Times New Roman"/>
        </w:rPr>
        <w:t xml:space="preserve"> is published less than 42 calendar days prior to the commencement of the particular capacity interruption to which UMM applies</w:t>
      </w:r>
      <w:r w:rsidR="00FF46E8">
        <w:rPr>
          <w:rFonts w:ascii="Times New Roman" w:hAnsi="Times New Roman" w:cs="Times New Roman"/>
        </w:rPr>
        <w:t>, then UMM is considered unplanned and relevant message status is used</w:t>
      </w:r>
      <w:r>
        <w:rPr>
          <w:rFonts w:ascii="Times New Roman" w:hAnsi="Times New Roman" w:cs="Times New Roman"/>
        </w:rPr>
        <w:t>.</w:t>
      </w:r>
    </w:p>
    <w:p w14:paraId="61E71BDB" w14:textId="77777777" w:rsidR="00520FD6" w:rsidRDefault="00520FD6" w:rsidP="00E77B9A">
      <w:pPr>
        <w:jc w:val="both"/>
        <w:rPr>
          <w:rFonts w:ascii="Times New Roman" w:hAnsi="Times New Roman" w:cs="Times New Roman"/>
          <w:b/>
          <w:bCs/>
          <w:sz w:val="28"/>
          <w:szCs w:val="28"/>
        </w:rPr>
      </w:pPr>
    </w:p>
    <w:p w14:paraId="1A7C3076" w14:textId="0F163475" w:rsidR="00A32891" w:rsidRDefault="0050430B" w:rsidP="00E77B9A">
      <w:pPr>
        <w:jc w:val="both"/>
        <w:rPr>
          <w:rFonts w:ascii="Times New Roman" w:hAnsi="Times New Roman" w:cs="Times New Roman"/>
          <w:b/>
          <w:bCs/>
          <w:sz w:val="28"/>
          <w:szCs w:val="28"/>
        </w:rPr>
      </w:pPr>
      <w:r w:rsidRPr="005D66C5">
        <w:rPr>
          <w:rFonts w:ascii="Times New Roman" w:hAnsi="Times New Roman" w:cs="Times New Roman"/>
          <w:b/>
          <w:bCs/>
          <w:sz w:val="28"/>
          <w:szCs w:val="28"/>
        </w:rPr>
        <w:t>Annex 1: Data publication overview.</w:t>
      </w:r>
    </w:p>
    <w:p w14:paraId="477AD8F2" w14:textId="28071F25" w:rsidR="00E10CE5" w:rsidRPr="00B27B09" w:rsidRDefault="00E10CE5" w:rsidP="00B27B09">
      <w:pPr>
        <w:rPr>
          <w:rFonts w:ascii="Times New Roman" w:hAnsi="Times New Roman" w:cs="Times New Roman"/>
        </w:rPr>
      </w:pPr>
      <w:r w:rsidRPr="00B27B09">
        <w:rPr>
          <w:rFonts w:ascii="Times New Roman" w:hAnsi="Times New Roman" w:cs="Times New Roman"/>
        </w:rPr>
        <w:t xml:space="preserve">Provided in separate document. </w:t>
      </w:r>
    </w:p>
    <w:p w14:paraId="58435E06" w14:textId="6289CC7D" w:rsidR="00875B87" w:rsidRPr="005D66C5" w:rsidRDefault="00875B87" w:rsidP="00E77B9A">
      <w:pPr>
        <w:jc w:val="both"/>
        <w:rPr>
          <w:rFonts w:ascii="Times New Roman" w:hAnsi="Times New Roman" w:cs="Times New Roman"/>
        </w:rPr>
      </w:pPr>
    </w:p>
    <w:p w14:paraId="29D71D81" w14:textId="47BCE343" w:rsidR="003C3A2A" w:rsidRPr="005D66C5" w:rsidRDefault="003C3A2A" w:rsidP="00FE6CD4">
      <w:pPr>
        <w:jc w:val="both"/>
        <w:rPr>
          <w:rFonts w:ascii="Times New Roman" w:hAnsi="Times New Roman" w:cs="Times New Roman"/>
        </w:rPr>
      </w:pPr>
    </w:p>
    <w:sectPr w:rsidR="003C3A2A" w:rsidRPr="005D66C5" w:rsidSect="00B27B09">
      <w:headerReference w:type="default" r:id="rId12"/>
      <w:footerReference w:type="default" r:id="rId13"/>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4E08" w14:textId="77777777" w:rsidR="00A35F7C" w:rsidRDefault="00A35F7C" w:rsidP="00F773A7">
      <w:pPr>
        <w:spacing w:after="0" w:line="240" w:lineRule="auto"/>
      </w:pPr>
      <w:r>
        <w:separator/>
      </w:r>
    </w:p>
  </w:endnote>
  <w:endnote w:type="continuationSeparator" w:id="0">
    <w:p w14:paraId="65293CC6" w14:textId="77777777" w:rsidR="00A35F7C" w:rsidRDefault="00A35F7C" w:rsidP="00F773A7">
      <w:pPr>
        <w:spacing w:after="0" w:line="240" w:lineRule="auto"/>
      </w:pPr>
      <w:r>
        <w:continuationSeparator/>
      </w:r>
    </w:p>
  </w:endnote>
  <w:endnote w:type="continuationNotice" w:id="1">
    <w:p w14:paraId="7017556B" w14:textId="77777777" w:rsidR="00A35F7C" w:rsidRDefault="00A35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7129" w14:textId="77777777" w:rsidR="0032560A" w:rsidRDefault="0032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4141" w14:textId="77777777" w:rsidR="00A35F7C" w:rsidRDefault="00A35F7C" w:rsidP="00F773A7">
      <w:pPr>
        <w:spacing w:after="0" w:line="240" w:lineRule="auto"/>
      </w:pPr>
      <w:r>
        <w:separator/>
      </w:r>
    </w:p>
  </w:footnote>
  <w:footnote w:type="continuationSeparator" w:id="0">
    <w:p w14:paraId="35C113E2" w14:textId="77777777" w:rsidR="00A35F7C" w:rsidRDefault="00A35F7C" w:rsidP="00F773A7">
      <w:pPr>
        <w:spacing w:after="0" w:line="240" w:lineRule="auto"/>
      </w:pPr>
      <w:r>
        <w:continuationSeparator/>
      </w:r>
    </w:p>
  </w:footnote>
  <w:footnote w:type="continuationNotice" w:id="1">
    <w:p w14:paraId="53631E38" w14:textId="77777777" w:rsidR="00A35F7C" w:rsidRDefault="00A35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D990" w14:textId="49501097" w:rsidR="005772A4" w:rsidRDefault="00A85D76">
    <w:pPr>
      <w:pStyle w:val="Header"/>
    </w:pPr>
    <w:r w:rsidRPr="005772A4">
      <w:rPr>
        <w:noProof/>
      </w:rPr>
      <w:drawing>
        <wp:anchor distT="0" distB="0" distL="114300" distR="114300" simplePos="0" relativeHeight="251661312" behindDoc="0" locked="0" layoutInCell="1" allowOverlap="1" wp14:anchorId="1CDE34D0" wp14:editId="2C83E24A">
          <wp:simplePos x="0" y="0"/>
          <wp:positionH relativeFrom="page">
            <wp:posOffset>5613400</wp:posOffset>
          </wp:positionH>
          <wp:positionV relativeFrom="paragraph">
            <wp:posOffset>3810</wp:posOffset>
          </wp:positionV>
          <wp:extent cx="1851660" cy="4368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1660" cy="436880"/>
                  </a:xfrm>
                  <a:prstGeom prst="rect">
                    <a:avLst/>
                  </a:prstGeom>
                </pic:spPr>
              </pic:pic>
            </a:graphicData>
          </a:graphic>
          <wp14:sizeRelH relativeFrom="margin">
            <wp14:pctWidth>0</wp14:pctWidth>
          </wp14:sizeRelH>
          <wp14:sizeRelV relativeFrom="margin">
            <wp14:pctHeight>0</wp14:pctHeight>
          </wp14:sizeRelV>
        </wp:anchor>
      </w:drawing>
    </w:r>
    <w:r w:rsidRPr="005772A4">
      <w:rPr>
        <w:noProof/>
      </w:rPr>
      <w:drawing>
        <wp:anchor distT="0" distB="0" distL="114300" distR="114300" simplePos="0" relativeHeight="251659264" behindDoc="0" locked="0" layoutInCell="1" allowOverlap="1" wp14:anchorId="5D914C74" wp14:editId="6980DC83">
          <wp:simplePos x="0" y="0"/>
          <wp:positionH relativeFrom="column">
            <wp:posOffset>3169285</wp:posOffset>
          </wp:positionH>
          <wp:positionV relativeFrom="paragraph">
            <wp:posOffset>7620</wp:posOffset>
          </wp:positionV>
          <wp:extent cx="1440180" cy="443865"/>
          <wp:effectExtent l="0" t="0" r="7620" b="0"/>
          <wp:wrapNone/>
          <wp:docPr id="1" name="Picture 1" descr="http://elering.ee/public/Infokeskus/.thumbnails/Elering_logo_eng_GENERATING_OPPORTUNITIES_520x173.jpg"/>
          <wp:cNvGraphicFramePr/>
          <a:graphic xmlns:a="http://schemas.openxmlformats.org/drawingml/2006/main">
            <a:graphicData uri="http://schemas.openxmlformats.org/drawingml/2006/picture">
              <pic:pic xmlns:pic="http://schemas.openxmlformats.org/drawingml/2006/picture">
                <pic:nvPicPr>
                  <pic:cNvPr id="2" name="Picture 2" descr="http://elering.ee/public/Infokeskus/.thumbnails/Elering_logo_eng_GENERATING_OPPORTUNITIES_520x173.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18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2A4">
      <w:rPr>
        <w:noProof/>
      </w:rPr>
      <w:drawing>
        <wp:anchor distT="0" distB="0" distL="114300" distR="114300" simplePos="0" relativeHeight="251660288" behindDoc="0" locked="0" layoutInCell="1" allowOverlap="1" wp14:anchorId="61C1AE1F" wp14:editId="08D6B109">
          <wp:simplePos x="0" y="0"/>
          <wp:positionH relativeFrom="column">
            <wp:posOffset>1360170</wp:posOffset>
          </wp:positionH>
          <wp:positionV relativeFrom="paragraph">
            <wp:posOffset>-122555</wp:posOffset>
          </wp:positionV>
          <wp:extent cx="1699260" cy="697230"/>
          <wp:effectExtent l="0" t="0" r="0" b="0"/>
          <wp:wrapNone/>
          <wp:docPr id="3" name="Picture 3" descr="C:\Users\kajali.kotsar\Desktop\AJ\Logod\conexus_logo.png"/>
          <wp:cNvGraphicFramePr/>
          <a:graphic xmlns:a="http://schemas.openxmlformats.org/drawingml/2006/main">
            <a:graphicData uri="http://schemas.openxmlformats.org/drawingml/2006/picture">
              <pic:pic xmlns:pic="http://schemas.openxmlformats.org/drawingml/2006/picture">
                <pic:nvPicPr>
                  <pic:cNvPr id="6" name="Picture 6" descr="C:\Users\kajali.kotsar\Desktop\AJ\Logod\conexus_logo.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59798E" wp14:editId="52F75B95">
          <wp:extent cx="1209675" cy="4953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stretch>
                    <a:fillRect/>
                  </a:stretch>
                </pic:blipFill>
                <pic:spPr>
                  <a:xfrm>
                    <a:off x="0" y="0"/>
                    <a:ext cx="1209675"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0563"/>
    <w:multiLevelType w:val="hybridMultilevel"/>
    <w:tmpl w:val="DD00D3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82599C"/>
    <w:multiLevelType w:val="hybridMultilevel"/>
    <w:tmpl w:val="847AD9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AD52B4"/>
    <w:multiLevelType w:val="hybridMultilevel"/>
    <w:tmpl w:val="DC982FEC"/>
    <w:lvl w:ilvl="0" w:tplc="E6DC10A8">
      <w:start w:val="1"/>
      <w:numFmt w:val="decimal"/>
      <w:lvlText w:val="%1."/>
      <w:lvlJc w:val="left"/>
      <w:pPr>
        <w:ind w:left="720" w:hanging="360"/>
      </w:pPr>
      <w:rPr>
        <w:rFonts w:asciiTheme="minorHAnsi" w:eastAsiaTheme="minorHAnsi" w:hAnsiTheme="minorHAnsi" w:cstheme="minorBidi"/>
        <w:b w:val="0"/>
        <w:bCs/>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1A4E13"/>
    <w:multiLevelType w:val="hybridMultilevel"/>
    <w:tmpl w:val="D0CE217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6C11EAD"/>
    <w:multiLevelType w:val="hybridMultilevel"/>
    <w:tmpl w:val="F97A4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4A63D8"/>
    <w:multiLevelType w:val="hybridMultilevel"/>
    <w:tmpl w:val="92428C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4849AE"/>
    <w:multiLevelType w:val="hybridMultilevel"/>
    <w:tmpl w:val="B3BE16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25712B1A"/>
    <w:multiLevelType w:val="hybridMultilevel"/>
    <w:tmpl w:val="94422A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A2754AA"/>
    <w:multiLevelType w:val="hybridMultilevel"/>
    <w:tmpl w:val="BE44E4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E9D05D6"/>
    <w:multiLevelType w:val="hybridMultilevel"/>
    <w:tmpl w:val="EAF8CC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F4C41C5"/>
    <w:multiLevelType w:val="hybridMultilevel"/>
    <w:tmpl w:val="F038203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F952A10"/>
    <w:multiLevelType w:val="hybridMultilevel"/>
    <w:tmpl w:val="87544C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31857DC"/>
    <w:multiLevelType w:val="hybridMultilevel"/>
    <w:tmpl w:val="E87A19AA"/>
    <w:lvl w:ilvl="0" w:tplc="9B62864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F590B37"/>
    <w:multiLevelType w:val="hybridMultilevel"/>
    <w:tmpl w:val="60F075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0AE0A91"/>
    <w:multiLevelType w:val="hybridMultilevel"/>
    <w:tmpl w:val="F0E088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1F35440"/>
    <w:multiLevelType w:val="hybridMultilevel"/>
    <w:tmpl w:val="BD864E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64C0AB1"/>
    <w:multiLevelType w:val="hybridMultilevel"/>
    <w:tmpl w:val="AADE9AD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47B3661F"/>
    <w:multiLevelType w:val="hybridMultilevel"/>
    <w:tmpl w:val="A8F41C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7D747C3"/>
    <w:multiLevelType w:val="hybridMultilevel"/>
    <w:tmpl w:val="C944BF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AB8440B"/>
    <w:multiLevelType w:val="hybridMultilevel"/>
    <w:tmpl w:val="7400BC3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F455674"/>
    <w:multiLevelType w:val="hybridMultilevel"/>
    <w:tmpl w:val="B6462B1A"/>
    <w:lvl w:ilvl="0" w:tplc="C53C00D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D73B43"/>
    <w:multiLevelType w:val="hybridMultilevel"/>
    <w:tmpl w:val="922E60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CAE5A4F"/>
    <w:multiLevelType w:val="hybridMultilevel"/>
    <w:tmpl w:val="9DEAA66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CD35AF7"/>
    <w:multiLevelType w:val="hybridMultilevel"/>
    <w:tmpl w:val="A544A4DA"/>
    <w:lvl w:ilvl="0" w:tplc="16DC5B1C">
      <w:start w:val="1"/>
      <w:numFmt w:val="bullet"/>
      <w:lvlText w:val=""/>
      <w:lvlJc w:val="left"/>
      <w:pPr>
        <w:ind w:left="720" w:hanging="360"/>
      </w:pPr>
      <w:rPr>
        <w:rFonts w:ascii="Wingdings" w:eastAsiaTheme="minorHAnsi" w:hAnsi="Wingdings" w:cs="Times-Roman"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E44D50"/>
    <w:multiLevelType w:val="hybridMultilevel"/>
    <w:tmpl w:val="5608F2A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0206D6E"/>
    <w:multiLevelType w:val="hybridMultilevel"/>
    <w:tmpl w:val="39FCE1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37B283F"/>
    <w:multiLevelType w:val="hybridMultilevel"/>
    <w:tmpl w:val="BF0233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3EE5D0A"/>
    <w:multiLevelType w:val="hybridMultilevel"/>
    <w:tmpl w:val="704A20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4002C2E"/>
    <w:multiLevelType w:val="hybridMultilevel"/>
    <w:tmpl w:val="CF1858A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D726EA2"/>
    <w:multiLevelType w:val="hybridMultilevel"/>
    <w:tmpl w:val="70583F3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729C09DD"/>
    <w:multiLevelType w:val="multilevel"/>
    <w:tmpl w:val="F5A43A3A"/>
    <w:lvl w:ilvl="0">
      <w:start w:val="1"/>
      <w:numFmt w:val="decimal"/>
      <w:lvlText w:val="%1."/>
      <w:lvlJc w:val="left"/>
      <w:pPr>
        <w:ind w:left="720" w:hanging="360"/>
      </w:pPr>
      <w:rPr>
        <w:rFonts w:ascii="Times New Roman" w:eastAsiaTheme="minorHAnsi" w:hAnsi="Times New Roman" w:cs="Times New Roman" w:hint="default"/>
        <w:b w:val="0"/>
        <w:bCs/>
        <w:color w:val="auto"/>
      </w:rPr>
    </w:lvl>
    <w:lvl w:ilvl="1">
      <w:start w:val="7"/>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57848A9"/>
    <w:multiLevelType w:val="hybridMultilevel"/>
    <w:tmpl w:val="7400BC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61F4275"/>
    <w:multiLevelType w:val="hybridMultilevel"/>
    <w:tmpl w:val="A8F41C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C7B4A82"/>
    <w:multiLevelType w:val="hybridMultilevel"/>
    <w:tmpl w:val="60F075D0"/>
    <w:lvl w:ilvl="0" w:tplc="0425000F">
      <w:start w:val="1"/>
      <w:numFmt w:val="decimal"/>
      <w:lvlText w:val="%1."/>
      <w:lvlJc w:val="left"/>
      <w:pPr>
        <w:ind w:left="0" w:hanging="360"/>
      </w:pPr>
      <w:rPr>
        <w:rFonts w:hint="default"/>
      </w:rPr>
    </w:lvl>
    <w:lvl w:ilvl="1" w:tplc="04250019" w:tentative="1">
      <w:start w:val="1"/>
      <w:numFmt w:val="lowerLetter"/>
      <w:lvlText w:val="%2."/>
      <w:lvlJc w:val="left"/>
      <w:pPr>
        <w:ind w:left="720" w:hanging="360"/>
      </w:pPr>
    </w:lvl>
    <w:lvl w:ilvl="2" w:tplc="0425001B" w:tentative="1">
      <w:start w:val="1"/>
      <w:numFmt w:val="lowerRoman"/>
      <w:lvlText w:val="%3."/>
      <w:lvlJc w:val="right"/>
      <w:pPr>
        <w:ind w:left="1440" w:hanging="180"/>
      </w:pPr>
    </w:lvl>
    <w:lvl w:ilvl="3" w:tplc="0425000F" w:tentative="1">
      <w:start w:val="1"/>
      <w:numFmt w:val="decimal"/>
      <w:lvlText w:val="%4."/>
      <w:lvlJc w:val="left"/>
      <w:pPr>
        <w:ind w:left="2160" w:hanging="360"/>
      </w:pPr>
    </w:lvl>
    <w:lvl w:ilvl="4" w:tplc="04250019" w:tentative="1">
      <w:start w:val="1"/>
      <w:numFmt w:val="lowerLetter"/>
      <w:lvlText w:val="%5."/>
      <w:lvlJc w:val="left"/>
      <w:pPr>
        <w:ind w:left="2880" w:hanging="360"/>
      </w:pPr>
    </w:lvl>
    <w:lvl w:ilvl="5" w:tplc="0425001B" w:tentative="1">
      <w:start w:val="1"/>
      <w:numFmt w:val="lowerRoman"/>
      <w:lvlText w:val="%6."/>
      <w:lvlJc w:val="right"/>
      <w:pPr>
        <w:ind w:left="3600" w:hanging="180"/>
      </w:pPr>
    </w:lvl>
    <w:lvl w:ilvl="6" w:tplc="0425000F" w:tentative="1">
      <w:start w:val="1"/>
      <w:numFmt w:val="decimal"/>
      <w:lvlText w:val="%7."/>
      <w:lvlJc w:val="left"/>
      <w:pPr>
        <w:ind w:left="4320" w:hanging="360"/>
      </w:pPr>
    </w:lvl>
    <w:lvl w:ilvl="7" w:tplc="04250019" w:tentative="1">
      <w:start w:val="1"/>
      <w:numFmt w:val="lowerLetter"/>
      <w:lvlText w:val="%8."/>
      <w:lvlJc w:val="left"/>
      <w:pPr>
        <w:ind w:left="5040" w:hanging="360"/>
      </w:pPr>
    </w:lvl>
    <w:lvl w:ilvl="8" w:tplc="0425001B" w:tentative="1">
      <w:start w:val="1"/>
      <w:numFmt w:val="lowerRoman"/>
      <w:lvlText w:val="%9."/>
      <w:lvlJc w:val="right"/>
      <w:pPr>
        <w:ind w:left="5760" w:hanging="180"/>
      </w:pPr>
    </w:lvl>
  </w:abstractNum>
  <w:abstractNum w:abstractNumId="34" w15:restartNumberingAfterBreak="0">
    <w:nsid w:val="7FBE7D86"/>
    <w:multiLevelType w:val="hybridMultilevel"/>
    <w:tmpl w:val="DD00D3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29"/>
  </w:num>
  <w:num w:numId="3">
    <w:abstractNumId w:val="16"/>
  </w:num>
  <w:num w:numId="4">
    <w:abstractNumId w:val="10"/>
  </w:num>
  <w:num w:numId="5">
    <w:abstractNumId w:val="9"/>
  </w:num>
  <w:num w:numId="6">
    <w:abstractNumId w:val="33"/>
  </w:num>
  <w:num w:numId="7">
    <w:abstractNumId w:val="13"/>
  </w:num>
  <w:num w:numId="8">
    <w:abstractNumId w:val="15"/>
  </w:num>
  <w:num w:numId="9">
    <w:abstractNumId w:val="1"/>
  </w:num>
  <w:num w:numId="10">
    <w:abstractNumId w:val="5"/>
  </w:num>
  <w:num w:numId="11">
    <w:abstractNumId w:val="14"/>
  </w:num>
  <w:num w:numId="12">
    <w:abstractNumId w:val="25"/>
  </w:num>
  <w:num w:numId="13">
    <w:abstractNumId w:val="24"/>
  </w:num>
  <w:num w:numId="14">
    <w:abstractNumId w:val="0"/>
  </w:num>
  <w:num w:numId="15">
    <w:abstractNumId w:val="34"/>
  </w:num>
  <w:num w:numId="16">
    <w:abstractNumId w:val="17"/>
  </w:num>
  <w:num w:numId="17">
    <w:abstractNumId w:val="32"/>
  </w:num>
  <w:num w:numId="18">
    <w:abstractNumId w:val="2"/>
  </w:num>
  <w:num w:numId="19">
    <w:abstractNumId w:val="30"/>
  </w:num>
  <w:num w:numId="20">
    <w:abstractNumId w:val="19"/>
  </w:num>
  <w:num w:numId="21">
    <w:abstractNumId w:val="31"/>
  </w:num>
  <w:num w:numId="22">
    <w:abstractNumId w:val="4"/>
  </w:num>
  <w:num w:numId="23">
    <w:abstractNumId w:val="30"/>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21"/>
  </w:num>
  <w:num w:numId="27">
    <w:abstractNumId w:val="7"/>
  </w:num>
  <w:num w:numId="28">
    <w:abstractNumId w:val="20"/>
  </w:num>
  <w:num w:numId="29">
    <w:abstractNumId w:val="27"/>
  </w:num>
  <w:num w:numId="30">
    <w:abstractNumId w:val="23"/>
  </w:num>
  <w:num w:numId="31">
    <w:abstractNumId w:val="18"/>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A7"/>
    <w:rsid w:val="00012B2E"/>
    <w:rsid w:val="00014487"/>
    <w:rsid w:val="00023A7E"/>
    <w:rsid w:val="00026014"/>
    <w:rsid w:val="00031594"/>
    <w:rsid w:val="0003442B"/>
    <w:rsid w:val="00037AE0"/>
    <w:rsid w:val="000409D6"/>
    <w:rsid w:val="000478AF"/>
    <w:rsid w:val="00052457"/>
    <w:rsid w:val="00055752"/>
    <w:rsid w:val="00060756"/>
    <w:rsid w:val="00061CC7"/>
    <w:rsid w:val="00065547"/>
    <w:rsid w:val="00074958"/>
    <w:rsid w:val="00080380"/>
    <w:rsid w:val="000A6141"/>
    <w:rsid w:val="000A68F1"/>
    <w:rsid w:val="000B2539"/>
    <w:rsid w:val="000B345C"/>
    <w:rsid w:val="000B348A"/>
    <w:rsid w:val="000B6A7F"/>
    <w:rsid w:val="000B78B5"/>
    <w:rsid w:val="000B7DEE"/>
    <w:rsid w:val="000B7F45"/>
    <w:rsid w:val="000D0691"/>
    <w:rsid w:val="000D13A4"/>
    <w:rsid w:val="000D320C"/>
    <w:rsid w:val="000D6F2A"/>
    <w:rsid w:val="000E2F4E"/>
    <w:rsid w:val="000E7CAE"/>
    <w:rsid w:val="000F18EF"/>
    <w:rsid w:val="00106627"/>
    <w:rsid w:val="00110640"/>
    <w:rsid w:val="0011091F"/>
    <w:rsid w:val="0011775A"/>
    <w:rsid w:val="00121186"/>
    <w:rsid w:val="00130BE0"/>
    <w:rsid w:val="001335DA"/>
    <w:rsid w:val="00141EC4"/>
    <w:rsid w:val="00144A08"/>
    <w:rsid w:val="00146D50"/>
    <w:rsid w:val="00151073"/>
    <w:rsid w:val="00152D81"/>
    <w:rsid w:val="0017376B"/>
    <w:rsid w:val="00175C74"/>
    <w:rsid w:val="00182681"/>
    <w:rsid w:val="00184903"/>
    <w:rsid w:val="0019199A"/>
    <w:rsid w:val="00195472"/>
    <w:rsid w:val="00195D0F"/>
    <w:rsid w:val="001969E1"/>
    <w:rsid w:val="001B36CD"/>
    <w:rsid w:val="001B624F"/>
    <w:rsid w:val="001B6863"/>
    <w:rsid w:val="001C1C25"/>
    <w:rsid w:val="001C221E"/>
    <w:rsid w:val="001C7F7E"/>
    <w:rsid w:val="001D1E7E"/>
    <w:rsid w:val="001D4E2A"/>
    <w:rsid w:val="001D5129"/>
    <w:rsid w:val="001D7D0C"/>
    <w:rsid w:val="001E7B42"/>
    <w:rsid w:val="001F7861"/>
    <w:rsid w:val="00202DBB"/>
    <w:rsid w:val="00205D71"/>
    <w:rsid w:val="0020621E"/>
    <w:rsid w:val="00206705"/>
    <w:rsid w:val="002152C9"/>
    <w:rsid w:val="00220211"/>
    <w:rsid w:val="00220D4E"/>
    <w:rsid w:val="002319A3"/>
    <w:rsid w:val="002328DE"/>
    <w:rsid w:val="0023350F"/>
    <w:rsid w:val="00245893"/>
    <w:rsid w:val="002471C1"/>
    <w:rsid w:val="00247B7D"/>
    <w:rsid w:val="00252F11"/>
    <w:rsid w:val="00262E66"/>
    <w:rsid w:val="00266A5F"/>
    <w:rsid w:val="00267F9B"/>
    <w:rsid w:val="00284227"/>
    <w:rsid w:val="002842D9"/>
    <w:rsid w:val="00286DEA"/>
    <w:rsid w:val="002A1E39"/>
    <w:rsid w:val="002A761E"/>
    <w:rsid w:val="002B5586"/>
    <w:rsid w:val="002B6FF3"/>
    <w:rsid w:val="002C3D46"/>
    <w:rsid w:val="002C41A9"/>
    <w:rsid w:val="002C7FC0"/>
    <w:rsid w:val="002D3FCD"/>
    <w:rsid w:val="002D631D"/>
    <w:rsid w:val="002E1CEC"/>
    <w:rsid w:val="002F3E52"/>
    <w:rsid w:val="002F4BD5"/>
    <w:rsid w:val="00305311"/>
    <w:rsid w:val="00313B56"/>
    <w:rsid w:val="003144BA"/>
    <w:rsid w:val="00316DC4"/>
    <w:rsid w:val="0032560A"/>
    <w:rsid w:val="003261DC"/>
    <w:rsid w:val="00331AA6"/>
    <w:rsid w:val="00333885"/>
    <w:rsid w:val="003350E0"/>
    <w:rsid w:val="00343DE3"/>
    <w:rsid w:val="0035087C"/>
    <w:rsid w:val="00357835"/>
    <w:rsid w:val="00370F4E"/>
    <w:rsid w:val="00374E21"/>
    <w:rsid w:val="00384C54"/>
    <w:rsid w:val="003850EE"/>
    <w:rsid w:val="00391C87"/>
    <w:rsid w:val="003B4D77"/>
    <w:rsid w:val="003B7B97"/>
    <w:rsid w:val="003C3A2A"/>
    <w:rsid w:val="003C69E6"/>
    <w:rsid w:val="003D63DB"/>
    <w:rsid w:val="003D6D9A"/>
    <w:rsid w:val="003D6D9E"/>
    <w:rsid w:val="003D7D95"/>
    <w:rsid w:val="003E2356"/>
    <w:rsid w:val="003E5853"/>
    <w:rsid w:val="003E71D5"/>
    <w:rsid w:val="003F1075"/>
    <w:rsid w:val="003F3D1E"/>
    <w:rsid w:val="004379D6"/>
    <w:rsid w:val="004401E3"/>
    <w:rsid w:val="00440C7D"/>
    <w:rsid w:val="00443242"/>
    <w:rsid w:val="0045399C"/>
    <w:rsid w:val="00462078"/>
    <w:rsid w:val="004728BA"/>
    <w:rsid w:val="00473F73"/>
    <w:rsid w:val="004840FD"/>
    <w:rsid w:val="00494429"/>
    <w:rsid w:val="00497CD6"/>
    <w:rsid w:val="004A1E51"/>
    <w:rsid w:val="004A3ABE"/>
    <w:rsid w:val="004A4FD6"/>
    <w:rsid w:val="004A7BB3"/>
    <w:rsid w:val="004A7FDA"/>
    <w:rsid w:val="004C1995"/>
    <w:rsid w:val="004C2592"/>
    <w:rsid w:val="004C384F"/>
    <w:rsid w:val="004C5448"/>
    <w:rsid w:val="004D173A"/>
    <w:rsid w:val="004D18A5"/>
    <w:rsid w:val="004D2032"/>
    <w:rsid w:val="004E6F9C"/>
    <w:rsid w:val="004F21D6"/>
    <w:rsid w:val="004F2847"/>
    <w:rsid w:val="004F2BAC"/>
    <w:rsid w:val="004F4B11"/>
    <w:rsid w:val="0050067C"/>
    <w:rsid w:val="0050430B"/>
    <w:rsid w:val="00505E9E"/>
    <w:rsid w:val="0050750C"/>
    <w:rsid w:val="00507ED1"/>
    <w:rsid w:val="005111FC"/>
    <w:rsid w:val="00512DAD"/>
    <w:rsid w:val="00513551"/>
    <w:rsid w:val="00520FD6"/>
    <w:rsid w:val="0052436B"/>
    <w:rsid w:val="00524E37"/>
    <w:rsid w:val="00540549"/>
    <w:rsid w:val="00543298"/>
    <w:rsid w:val="00544068"/>
    <w:rsid w:val="005470DA"/>
    <w:rsid w:val="00551F20"/>
    <w:rsid w:val="0055566D"/>
    <w:rsid w:val="00560C75"/>
    <w:rsid w:val="0056786F"/>
    <w:rsid w:val="005772A4"/>
    <w:rsid w:val="00592CEC"/>
    <w:rsid w:val="005A1BFC"/>
    <w:rsid w:val="005A3028"/>
    <w:rsid w:val="005A4AC2"/>
    <w:rsid w:val="005B43DA"/>
    <w:rsid w:val="005C383E"/>
    <w:rsid w:val="005C5BE4"/>
    <w:rsid w:val="005D66C5"/>
    <w:rsid w:val="005E1DFC"/>
    <w:rsid w:val="005E2BBD"/>
    <w:rsid w:val="00607FEB"/>
    <w:rsid w:val="0061076F"/>
    <w:rsid w:val="00616421"/>
    <w:rsid w:val="0061768B"/>
    <w:rsid w:val="00625F53"/>
    <w:rsid w:val="006369CD"/>
    <w:rsid w:val="0065064B"/>
    <w:rsid w:val="006534B5"/>
    <w:rsid w:val="0065718F"/>
    <w:rsid w:val="00660EE5"/>
    <w:rsid w:val="00663FE3"/>
    <w:rsid w:val="00671A9C"/>
    <w:rsid w:val="0067501E"/>
    <w:rsid w:val="006802EE"/>
    <w:rsid w:val="00684DE1"/>
    <w:rsid w:val="006877A1"/>
    <w:rsid w:val="00690016"/>
    <w:rsid w:val="00691F4D"/>
    <w:rsid w:val="00695FCB"/>
    <w:rsid w:val="006A26D5"/>
    <w:rsid w:val="006A3B17"/>
    <w:rsid w:val="006B477E"/>
    <w:rsid w:val="006B4837"/>
    <w:rsid w:val="006B484B"/>
    <w:rsid w:val="006B58CA"/>
    <w:rsid w:val="006C1D0A"/>
    <w:rsid w:val="006C2272"/>
    <w:rsid w:val="006D2FFA"/>
    <w:rsid w:val="006E0CB0"/>
    <w:rsid w:val="006E4D16"/>
    <w:rsid w:val="006F04B6"/>
    <w:rsid w:val="006F0C98"/>
    <w:rsid w:val="006F2C97"/>
    <w:rsid w:val="006F3CB6"/>
    <w:rsid w:val="006F4B4B"/>
    <w:rsid w:val="007005CF"/>
    <w:rsid w:val="00700CA0"/>
    <w:rsid w:val="00701BEB"/>
    <w:rsid w:val="0070303F"/>
    <w:rsid w:val="00726624"/>
    <w:rsid w:val="0073076A"/>
    <w:rsid w:val="00736C84"/>
    <w:rsid w:val="007430DE"/>
    <w:rsid w:val="007432EC"/>
    <w:rsid w:val="00754DE8"/>
    <w:rsid w:val="0078455B"/>
    <w:rsid w:val="00787772"/>
    <w:rsid w:val="00787EA3"/>
    <w:rsid w:val="007942F3"/>
    <w:rsid w:val="00795E2A"/>
    <w:rsid w:val="00795F74"/>
    <w:rsid w:val="00796640"/>
    <w:rsid w:val="007A0CE4"/>
    <w:rsid w:val="007A6EF9"/>
    <w:rsid w:val="007B256D"/>
    <w:rsid w:val="007B6F63"/>
    <w:rsid w:val="007C641B"/>
    <w:rsid w:val="007C7D6A"/>
    <w:rsid w:val="007D0605"/>
    <w:rsid w:val="007D16F1"/>
    <w:rsid w:val="007E7432"/>
    <w:rsid w:val="007F2EC8"/>
    <w:rsid w:val="007F4E49"/>
    <w:rsid w:val="007F6151"/>
    <w:rsid w:val="00803274"/>
    <w:rsid w:val="008037ED"/>
    <w:rsid w:val="00804761"/>
    <w:rsid w:val="00812130"/>
    <w:rsid w:val="008151AB"/>
    <w:rsid w:val="00816763"/>
    <w:rsid w:val="00821E7B"/>
    <w:rsid w:val="00826363"/>
    <w:rsid w:val="00826C58"/>
    <w:rsid w:val="00830DFB"/>
    <w:rsid w:val="008364D2"/>
    <w:rsid w:val="00837F90"/>
    <w:rsid w:val="00841A40"/>
    <w:rsid w:val="00842FB5"/>
    <w:rsid w:val="00850426"/>
    <w:rsid w:val="008509F3"/>
    <w:rsid w:val="00853948"/>
    <w:rsid w:val="008624D2"/>
    <w:rsid w:val="00863B40"/>
    <w:rsid w:val="0086410F"/>
    <w:rsid w:val="00875B87"/>
    <w:rsid w:val="00881B00"/>
    <w:rsid w:val="0088507A"/>
    <w:rsid w:val="00897D3D"/>
    <w:rsid w:val="00897D94"/>
    <w:rsid w:val="008A2080"/>
    <w:rsid w:val="008A4AAB"/>
    <w:rsid w:val="008B3AF8"/>
    <w:rsid w:val="008C47A0"/>
    <w:rsid w:val="008C4987"/>
    <w:rsid w:val="008C757C"/>
    <w:rsid w:val="008D1033"/>
    <w:rsid w:val="008D2034"/>
    <w:rsid w:val="008D5525"/>
    <w:rsid w:val="008D6067"/>
    <w:rsid w:val="008E1A45"/>
    <w:rsid w:val="008E3429"/>
    <w:rsid w:val="008E4C39"/>
    <w:rsid w:val="008E512F"/>
    <w:rsid w:val="008E6669"/>
    <w:rsid w:val="008F0B92"/>
    <w:rsid w:val="008F6790"/>
    <w:rsid w:val="00904948"/>
    <w:rsid w:val="0090784F"/>
    <w:rsid w:val="00914952"/>
    <w:rsid w:val="00925C9F"/>
    <w:rsid w:val="00931F5C"/>
    <w:rsid w:val="00933359"/>
    <w:rsid w:val="00936891"/>
    <w:rsid w:val="00942905"/>
    <w:rsid w:val="0094565E"/>
    <w:rsid w:val="00946AA9"/>
    <w:rsid w:val="00963305"/>
    <w:rsid w:val="0097447E"/>
    <w:rsid w:val="009773DB"/>
    <w:rsid w:val="00987138"/>
    <w:rsid w:val="009914E0"/>
    <w:rsid w:val="0099417B"/>
    <w:rsid w:val="009967F8"/>
    <w:rsid w:val="009A7B6F"/>
    <w:rsid w:val="009B2511"/>
    <w:rsid w:val="009C216D"/>
    <w:rsid w:val="009C4045"/>
    <w:rsid w:val="009C7BBA"/>
    <w:rsid w:val="009D1161"/>
    <w:rsid w:val="009D3EF8"/>
    <w:rsid w:val="009D4CE5"/>
    <w:rsid w:val="00A0008D"/>
    <w:rsid w:val="00A009D3"/>
    <w:rsid w:val="00A14224"/>
    <w:rsid w:val="00A23207"/>
    <w:rsid w:val="00A26A49"/>
    <w:rsid w:val="00A3032A"/>
    <w:rsid w:val="00A32891"/>
    <w:rsid w:val="00A35217"/>
    <w:rsid w:val="00A35F7C"/>
    <w:rsid w:val="00A438D8"/>
    <w:rsid w:val="00A44489"/>
    <w:rsid w:val="00A4517D"/>
    <w:rsid w:val="00A466FB"/>
    <w:rsid w:val="00A53D28"/>
    <w:rsid w:val="00A563EB"/>
    <w:rsid w:val="00A57DA6"/>
    <w:rsid w:val="00A82365"/>
    <w:rsid w:val="00A82855"/>
    <w:rsid w:val="00A8410B"/>
    <w:rsid w:val="00A85D76"/>
    <w:rsid w:val="00A91A10"/>
    <w:rsid w:val="00A93F30"/>
    <w:rsid w:val="00A95D5B"/>
    <w:rsid w:val="00AB133F"/>
    <w:rsid w:val="00AB14BA"/>
    <w:rsid w:val="00AB33D1"/>
    <w:rsid w:val="00AB57CD"/>
    <w:rsid w:val="00AB71DC"/>
    <w:rsid w:val="00AC57F5"/>
    <w:rsid w:val="00AD04C6"/>
    <w:rsid w:val="00AD501D"/>
    <w:rsid w:val="00AE4115"/>
    <w:rsid w:val="00AE55C4"/>
    <w:rsid w:val="00AE569F"/>
    <w:rsid w:val="00AF04F4"/>
    <w:rsid w:val="00AF6B55"/>
    <w:rsid w:val="00AF72FF"/>
    <w:rsid w:val="00B05161"/>
    <w:rsid w:val="00B23869"/>
    <w:rsid w:val="00B239AA"/>
    <w:rsid w:val="00B27190"/>
    <w:rsid w:val="00B27B09"/>
    <w:rsid w:val="00B27DF9"/>
    <w:rsid w:val="00B31640"/>
    <w:rsid w:val="00B4621B"/>
    <w:rsid w:val="00B604B9"/>
    <w:rsid w:val="00B6149F"/>
    <w:rsid w:val="00B631C2"/>
    <w:rsid w:val="00B70205"/>
    <w:rsid w:val="00B805C7"/>
    <w:rsid w:val="00B81AD1"/>
    <w:rsid w:val="00B940E6"/>
    <w:rsid w:val="00B96D72"/>
    <w:rsid w:val="00B9778E"/>
    <w:rsid w:val="00BA4BF4"/>
    <w:rsid w:val="00BA4EF5"/>
    <w:rsid w:val="00BB306B"/>
    <w:rsid w:val="00BB5452"/>
    <w:rsid w:val="00BC2460"/>
    <w:rsid w:val="00BD1D2F"/>
    <w:rsid w:val="00BD2C66"/>
    <w:rsid w:val="00BD4154"/>
    <w:rsid w:val="00BE3B37"/>
    <w:rsid w:val="00BF3FA1"/>
    <w:rsid w:val="00C02DCF"/>
    <w:rsid w:val="00C0514F"/>
    <w:rsid w:val="00C12166"/>
    <w:rsid w:val="00C1357B"/>
    <w:rsid w:val="00C14822"/>
    <w:rsid w:val="00C17664"/>
    <w:rsid w:val="00C24875"/>
    <w:rsid w:val="00C250B1"/>
    <w:rsid w:val="00C30AC2"/>
    <w:rsid w:val="00C32B95"/>
    <w:rsid w:val="00C33D5D"/>
    <w:rsid w:val="00C347DA"/>
    <w:rsid w:val="00C37D85"/>
    <w:rsid w:val="00C41D72"/>
    <w:rsid w:val="00C452A3"/>
    <w:rsid w:val="00C474D9"/>
    <w:rsid w:val="00C5178C"/>
    <w:rsid w:val="00C5497E"/>
    <w:rsid w:val="00C62789"/>
    <w:rsid w:val="00C62EEC"/>
    <w:rsid w:val="00C672F2"/>
    <w:rsid w:val="00C737FD"/>
    <w:rsid w:val="00C760CD"/>
    <w:rsid w:val="00C85796"/>
    <w:rsid w:val="00CA751B"/>
    <w:rsid w:val="00CB20CC"/>
    <w:rsid w:val="00CE5692"/>
    <w:rsid w:val="00CE5ED5"/>
    <w:rsid w:val="00CF39AD"/>
    <w:rsid w:val="00CF49D3"/>
    <w:rsid w:val="00D072A7"/>
    <w:rsid w:val="00D10CC2"/>
    <w:rsid w:val="00D129C3"/>
    <w:rsid w:val="00D12EDF"/>
    <w:rsid w:val="00D177B1"/>
    <w:rsid w:val="00D17DC5"/>
    <w:rsid w:val="00D23D9D"/>
    <w:rsid w:val="00D42900"/>
    <w:rsid w:val="00D435E0"/>
    <w:rsid w:val="00D43C69"/>
    <w:rsid w:val="00D52165"/>
    <w:rsid w:val="00D53361"/>
    <w:rsid w:val="00D6470D"/>
    <w:rsid w:val="00D65FB1"/>
    <w:rsid w:val="00D7566B"/>
    <w:rsid w:val="00D837CC"/>
    <w:rsid w:val="00D90902"/>
    <w:rsid w:val="00DB0FC8"/>
    <w:rsid w:val="00DC10A7"/>
    <w:rsid w:val="00DC7D27"/>
    <w:rsid w:val="00DD6F2E"/>
    <w:rsid w:val="00DE151C"/>
    <w:rsid w:val="00DE4290"/>
    <w:rsid w:val="00DF2023"/>
    <w:rsid w:val="00DF5F9C"/>
    <w:rsid w:val="00E0435B"/>
    <w:rsid w:val="00E050B4"/>
    <w:rsid w:val="00E10CE5"/>
    <w:rsid w:val="00E131C4"/>
    <w:rsid w:val="00E144B5"/>
    <w:rsid w:val="00E1683D"/>
    <w:rsid w:val="00E16E30"/>
    <w:rsid w:val="00E30931"/>
    <w:rsid w:val="00E31BED"/>
    <w:rsid w:val="00E34BEB"/>
    <w:rsid w:val="00E43285"/>
    <w:rsid w:val="00E45D5A"/>
    <w:rsid w:val="00E51A70"/>
    <w:rsid w:val="00E57559"/>
    <w:rsid w:val="00E601CA"/>
    <w:rsid w:val="00E67595"/>
    <w:rsid w:val="00E67AA5"/>
    <w:rsid w:val="00E73536"/>
    <w:rsid w:val="00E76A18"/>
    <w:rsid w:val="00E77B9A"/>
    <w:rsid w:val="00E8004E"/>
    <w:rsid w:val="00E91E30"/>
    <w:rsid w:val="00E95329"/>
    <w:rsid w:val="00E95FDC"/>
    <w:rsid w:val="00E9695B"/>
    <w:rsid w:val="00EA16E4"/>
    <w:rsid w:val="00EA41F3"/>
    <w:rsid w:val="00EB4A51"/>
    <w:rsid w:val="00EB6058"/>
    <w:rsid w:val="00EC1AE8"/>
    <w:rsid w:val="00EE0511"/>
    <w:rsid w:val="00EE0B87"/>
    <w:rsid w:val="00EE165A"/>
    <w:rsid w:val="00EE46B7"/>
    <w:rsid w:val="00EE73AA"/>
    <w:rsid w:val="00EF0B02"/>
    <w:rsid w:val="00F01598"/>
    <w:rsid w:val="00F12B01"/>
    <w:rsid w:val="00F176BC"/>
    <w:rsid w:val="00F21B9F"/>
    <w:rsid w:val="00F34ED1"/>
    <w:rsid w:val="00F35945"/>
    <w:rsid w:val="00F40A2D"/>
    <w:rsid w:val="00F4167D"/>
    <w:rsid w:val="00F43CA9"/>
    <w:rsid w:val="00F66913"/>
    <w:rsid w:val="00F66E93"/>
    <w:rsid w:val="00F72ACA"/>
    <w:rsid w:val="00F73CE0"/>
    <w:rsid w:val="00F74794"/>
    <w:rsid w:val="00F773A7"/>
    <w:rsid w:val="00F90473"/>
    <w:rsid w:val="00F957C2"/>
    <w:rsid w:val="00F95C55"/>
    <w:rsid w:val="00FA1A1D"/>
    <w:rsid w:val="00FA2711"/>
    <w:rsid w:val="00FB35A5"/>
    <w:rsid w:val="00FB3F30"/>
    <w:rsid w:val="00FB4B4A"/>
    <w:rsid w:val="00FC2AE6"/>
    <w:rsid w:val="00FC7C71"/>
    <w:rsid w:val="00FD6EAA"/>
    <w:rsid w:val="00FE2143"/>
    <w:rsid w:val="00FE6CD4"/>
    <w:rsid w:val="00FF46E8"/>
    <w:rsid w:val="00FF67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1D56"/>
  <w15:chartTrackingRefBased/>
  <w15:docId w15:val="{56513B61-D89F-4FCF-8552-6AC79383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E675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328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3A7"/>
    <w:pPr>
      <w:ind w:left="720"/>
      <w:contextualSpacing/>
    </w:pPr>
  </w:style>
  <w:style w:type="paragraph" w:styleId="Header">
    <w:name w:val="header"/>
    <w:basedOn w:val="Normal"/>
    <w:link w:val="HeaderChar"/>
    <w:uiPriority w:val="99"/>
    <w:unhideWhenUsed/>
    <w:rsid w:val="00F773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3A7"/>
    <w:rPr>
      <w:lang w:val="en-US"/>
    </w:rPr>
  </w:style>
  <w:style w:type="paragraph" w:styleId="Footer">
    <w:name w:val="footer"/>
    <w:basedOn w:val="Normal"/>
    <w:link w:val="FooterChar"/>
    <w:uiPriority w:val="99"/>
    <w:unhideWhenUsed/>
    <w:rsid w:val="00F773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3A7"/>
    <w:rPr>
      <w:lang w:val="en-US"/>
    </w:rPr>
  </w:style>
  <w:style w:type="paragraph" w:styleId="BalloonText">
    <w:name w:val="Balloon Text"/>
    <w:basedOn w:val="Normal"/>
    <w:link w:val="BalloonTextChar"/>
    <w:uiPriority w:val="99"/>
    <w:semiHidden/>
    <w:unhideWhenUsed/>
    <w:rsid w:val="00C45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A3"/>
    <w:rPr>
      <w:rFonts w:ascii="Segoe UI" w:hAnsi="Segoe UI" w:cs="Segoe UI"/>
      <w:sz w:val="18"/>
      <w:szCs w:val="18"/>
      <w:lang w:val="en-US"/>
    </w:rPr>
  </w:style>
  <w:style w:type="character" w:customStyle="1" w:styleId="Heading2Char">
    <w:name w:val="Heading 2 Char"/>
    <w:basedOn w:val="DefaultParagraphFont"/>
    <w:link w:val="Heading2"/>
    <w:uiPriority w:val="9"/>
    <w:rsid w:val="00E67595"/>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A32891"/>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FC7C71"/>
    <w:rPr>
      <w:color w:val="0563C1" w:themeColor="hyperlink"/>
      <w:u w:val="single"/>
    </w:rPr>
  </w:style>
  <w:style w:type="character" w:customStyle="1" w:styleId="UnresolvedMention1">
    <w:name w:val="Unresolved Mention1"/>
    <w:basedOn w:val="DefaultParagraphFont"/>
    <w:uiPriority w:val="99"/>
    <w:semiHidden/>
    <w:unhideWhenUsed/>
    <w:rsid w:val="00FC7C71"/>
    <w:rPr>
      <w:color w:val="605E5C"/>
      <w:shd w:val="clear" w:color="auto" w:fill="E1DFDD"/>
    </w:rPr>
  </w:style>
  <w:style w:type="paragraph" w:styleId="CommentText">
    <w:name w:val="annotation text"/>
    <w:basedOn w:val="Normal"/>
    <w:link w:val="CommentTextChar"/>
    <w:uiPriority w:val="99"/>
    <w:unhideWhenUsed/>
    <w:rsid w:val="000E7CAE"/>
    <w:pPr>
      <w:spacing w:line="240" w:lineRule="auto"/>
    </w:pPr>
    <w:rPr>
      <w:sz w:val="20"/>
      <w:szCs w:val="20"/>
    </w:rPr>
  </w:style>
  <w:style w:type="character" w:customStyle="1" w:styleId="CommentTextChar">
    <w:name w:val="Comment Text Char"/>
    <w:basedOn w:val="DefaultParagraphFont"/>
    <w:link w:val="CommentText"/>
    <w:uiPriority w:val="99"/>
    <w:rsid w:val="000E7CAE"/>
    <w:rPr>
      <w:sz w:val="20"/>
      <w:szCs w:val="20"/>
      <w:lang w:val="en-US"/>
    </w:rPr>
  </w:style>
  <w:style w:type="character" w:styleId="CommentReference">
    <w:name w:val="annotation reference"/>
    <w:basedOn w:val="DefaultParagraphFont"/>
    <w:uiPriority w:val="99"/>
    <w:semiHidden/>
    <w:unhideWhenUsed/>
    <w:rsid w:val="000E7CAE"/>
    <w:rPr>
      <w:sz w:val="16"/>
      <w:szCs w:val="16"/>
    </w:rPr>
  </w:style>
  <w:style w:type="paragraph" w:styleId="FootnoteText">
    <w:name w:val="footnote text"/>
    <w:basedOn w:val="Normal"/>
    <w:link w:val="FootnoteTextChar"/>
    <w:uiPriority w:val="99"/>
    <w:semiHidden/>
    <w:unhideWhenUsed/>
    <w:rsid w:val="00AF6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B55"/>
    <w:rPr>
      <w:sz w:val="20"/>
      <w:szCs w:val="20"/>
      <w:lang w:val="en-US"/>
    </w:rPr>
  </w:style>
  <w:style w:type="character" w:styleId="FootnoteReference">
    <w:name w:val="footnote reference"/>
    <w:basedOn w:val="DefaultParagraphFont"/>
    <w:uiPriority w:val="99"/>
    <w:semiHidden/>
    <w:unhideWhenUsed/>
    <w:rsid w:val="00AF6B55"/>
    <w:rPr>
      <w:vertAlign w:val="superscript"/>
    </w:rPr>
  </w:style>
  <w:style w:type="paragraph" w:styleId="CommentSubject">
    <w:name w:val="annotation subject"/>
    <w:basedOn w:val="CommentText"/>
    <w:next w:val="CommentText"/>
    <w:link w:val="CommentSubjectChar"/>
    <w:uiPriority w:val="99"/>
    <w:semiHidden/>
    <w:unhideWhenUsed/>
    <w:rsid w:val="005111FC"/>
    <w:rPr>
      <w:b/>
      <w:bCs/>
    </w:rPr>
  </w:style>
  <w:style w:type="character" w:customStyle="1" w:styleId="CommentSubjectChar">
    <w:name w:val="Comment Subject Char"/>
    <w:basedOn w:val="CommentTextChar"/>
    <w:link w:val="CommentSubject"/>
    <w:uiPriority w:val="99"/>
    <w:semiHidden/>
    <w:rsid w:val="005111FC"/>
    <w:rPr>
      <w:b/>
      <w:bCs/>
      <w:sz w:val="20"/>
      <w:szCs w:val="20"/>
      <w:lang w:val="en-US"/>
    </w:rPr>
  </w:style>
  <w:style w:type="paragraph" w:styleId="Revision">
    <w:name w:val="Revision"/>
    <w:hidden/>
    <w:uiPriority w:val="99"/>
    <w:semiHidden/>
    <w:rsid w:val="00E77B9A"/>
    <w:pPr>
      <w:spacing w:after="0" w:line="240" w:lineRule="auto"/>
    </w:pPr>
    <w:rPr>
      <w:lang w:val="en-US"/>
    </w:rPr>
  </w:style>
  <w:style w:type="character" w:styleId="FollowedHyperlink">
    <w:name w:val="FollowedHyperlink"/>
    <w:basedOn w:val="DefaultParagraphFont"/>
    <w:uiPriority w:val="99"/>
    <w:semiHidden/>
    <w:unhideWhenUsed/>
    <w:rsid w:val="00560C75"/>
    <w:rPr>
      <w:color w:val="954F72" w:themeColor="followedHyperlink"/>
      <w:u w:val="single"/>
    </w:rPr>
  </w:style>
  <w:style w:type="character" w:styleId="UnresolvedMention">
    <w:name w:val="Unresolved Mention"/>
    <w:basedOn w:val="DefaultParagraphFont"/>
    <w:uiPriority w:val="99"/>
    <w:semiHidden/>
    <w:unhideWhenUsed/>
    <w:rsid w:val="0032560A"/>
    <w:rPr>
      <w:color w:val="605E5C"/>
      <w:shd w:val="clear" w:color="auto" w:fill="E1DFDD"/>
    </w:rPr>
  </w:style>
  <w:style w:type="paragraph" w:styleId="NormalWeb">
    <w:name w:val="Normal (Web)"/>
    <w:basedOn w:val="Normal"/>
    <w:uiPriority w:val="99"/>
    <w:semiHidden/>
    <w:unhideWhenUsed/>
    <w:rsid w:val="007C7D6A"/>
    <w:pPr>
      <w:spacing w:before="100" w:beforeAutospacing="1" w:after="100" w:afterAutospacing="1" w:line="240" w:lineRule="auto"/>
    </w:pPr>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7338">
      <w:bodyDiv w:val="1"/>
      <w:marLeft w:val="0"/>
      <w:marRight w:val="0"/>
      <w:marTop w:val="0"/>
      <w:marBottom w:val="0"/>
      <w:divBdr>
        <w:top w:val="none" w:sz="0" w:space="0" w:color="auto"/>
        <w:left w:val="none" w:sz="0" w:space="0" w:color="auto"/>
        <w:bottom w:val="none" w:sz="0" w:space="0" w:color="auto"/>
        <w:right w:val="none" w:sz="0" w:space="0" w:color="auto"/>
      </w:divBdr>
    </w:div>
    <w:div w:id="161774262">
      <w:bodyDiv w:val="1"/>
      <w:marLeft w:val="0"/>
      <w:marRight w:val="0"/>
      <w:marTop w:val="0"/>
      <w:marBottom w:val="0"/>
      <w:divBdr>
        <w:top w:val="none" w:sz="0" w:space="0" w:color="auto"/>
        <w:left w:val="none" w:sz="0" w:space="0" w:color="auto"/>
        <w:bottom w:val="none" w:sz="0" w:space="0" w:color="auto"/>
        <w:right w:val="none" w:sz="0" w:space="0" w:color="auto"/>
      </w:divBdr>
    </w:div>
    <w:div w:id="244074279">
      <w:bodyDiv w:val="1"/>
      <w:marLeft w:val="0"/>
      <w:marRight w:val="0"/>
      <w:marTop w:val="0"/>
      <w:marBottom w:val="0"/>
      <w:divBdr>
        <w:top w:val="none" w:sz="0" w:space="0" w:color="auto"/>
        <w:left w:val="none" w:sz="0" w:space="0" w:color="auto"/>
        <w:bottom w:val="none" w:sz="0" w:space="0" w:color="auto"/>
        <w:right w:val="none" w:sz="0" w:space="0" w:color="auto"/>
      </w:divBdr>
    </w:div>
    <w:div w:id="1027871635">
      <w:bodyDiv w:val="1"/>
      <w:marLeft w:val="0"/>
      <w:marRight w:val="0"/>
      <w:marTop w:val="0"/>
      <w:marBottom w:val="0"/>
      <w:divBdr>
        <w:top w:val="none" w:sz="0" w:space="0" w:color="auto"/>
        <w:left w:val="none" w:sz="0" w:space="0" w:color="auto"/>
        <w:bottom w:val="none" w:sz="0" w:space="0" w:color="auto"/>
        <w:right w:val="none" w:sz="0" w:space="0" w:color="auto"/>
      </w:divBdr>
    </w:div>
    <w:div w:id="1431926729">
      <w:bodyDiv w:val="1"/>
      <w:marLeft w:val="0"/>
      <w:marRight w:val="0"/>
      <w:marTop w:val="0"/>
      <w:marBottom w:val="0"/>
      <w:divBdr>
        <w:top w:val="none" w:sz="0" w:space="0" w:color="auto"/>
        <w:left w:val="none" w:sz="0" w:space="0" w:color="auto"/>
        <w:bottom w:val="none" w:sz="0" w:space="0" w:color="auto"/>
        <w:right w:val="none" w:sz="0" w:space="0" w:color="auto"/>
      </w:divBdr>
    </w:div>
    <w:div w:id="1901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6C498F3481F740B3A9C27D78A1D6CD" ma:contentTypeVersion="13" ma:contentTypeDescription="Create a new document." ma:contentTypeScope="" ma:versionID="67070f0ea7b6bd7496f684339fbc760c">
  <xsd:schema xmlns:xsd="http://www.w3.org/2001/XMLSchema" xmlns:xs="http://www.w3.org/2001/XMLSchema" xmlns:p="http://schemas.microsoft.com/office/2006/metadata/properties" xmlns:ns3="2c3961e6-ef2b-4ea3-ba03-7d2037ca4607" xmlns:ns4="dc67e260-9834-4108-b621-c7c5d4d280b9" targetNamespace="http://schemas.microsoft.com/office/2006/metadata/properties" ma:root="true" ma:fieldsID="b5f68d10275e3fde56192649dfaf200b" ns3:_="" ns4:_="">
    <xsd:import namespace="2c3961e6-ef2b-4ea3-ba03-7d2037ca4607"/>
    <xsd:import namespace="dc67e260-9834-4108-b621-c7c5d4d28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961e6-ef2b-4ea3-ba03-7d2037ca4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67e260-9834-4108-b621-c7c5d4d280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9A9B5-728C-4D20-8BB2-47F2A7B30E5A}">
  <ds:schemaRefs>
    <ds:schemaRef ds:uri="http://schemas.openxmlformats.org/officeDocument/2006/bibliography"/>
  </ds:schemaRefs>
</ds:datastoreItem>
</file>

<file path=customXml/itemProps2.xml><?xml version="1.0" encoding="utf-8"?>
<ds:datastoreItem xmlns:ds="http://schemas.openxmlformats.org/officeDocument/2006/customXml" ds:itemID="{8E4C6F12-8928-4582-9619-52F92075F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961e6-ef2b-4ea3-ba03-7d2037ca4607"/>
    <ds:schemaRef ds:uri="dc67e260-9834-4108-b621-c7c5d4d28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AD46C-EC38-4963-BF95-07E1A3EDD943}">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2c3961e6-ef2b-4ea3-ba03-7d2037ca4607"/>
    <ds:schemaRef ds:uri="dc67e260-9834-4108-b621-c7c5d4d280b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D344E9-76D4-4C4F-B17C-C02CF676D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3493</Words>
  <Characters>20263</Characters>
  <Application>Microsoft Office Word</Application>
  <DocSecurity>0</DocSecurity>
  <Lines>168</Lines>
  <Paragraphs>47</Paragraphs>
  <ScaleCrop>false</ScaleCrop>
  <HeadingPairs>
    <vt:vector size="6" baseType="variant">
      <vt:variant>
        <vt:lpstr>Pealkiri</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Veiko Aunapuu</dc:creator>
  <cp:keywords/>
  <dc:description/>
  <cp:lastModifiedBy>Veiko Aunapuu</cp:lastModifiedBy>
  <cp:revision>3</cp:revision>
  <dcterms:created xsi:type="dcterms:W3CDTF">2022-01-11T13:32:00Z</dcterms:created>
  <dcterms:modified xsi:type="dcterms:W3CDTF">2022-01-17T07:03:00Z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0x010100926C498F3481F740B3A9C27D78A1D6CD</vt:lpwstr>
  </property>
  <property fmtid="{D5CDD505-2E9C-101B-9397-08002B2CF9AE}" pid="3" name="_DocHome">
    <vt:i4>1609765663</vt:i4>
  </property>
  <property fmtid="{D5CDD505-2E9C-101B-9397-08002B2CF9AE}" pid="4" name="MSIP_Label_25d43cbe-1d34-4aee-b177-a8008a220178_Enabled">
    <vt:lpwstr>true</vt:lpwstr>
  </property>
  <property fmtid="{D5CDD505-2E9C-101B-9397-08002B2CF9AE}" pid="5" name="MSIP_Label_25d43cbe-1d34-4aee-b177-a8008a220178_SetDate">
    <vt:lpwstr>2021-11-15T14:39:58Z</vt:lpwstr>
  </property>
  <property fmtid="{D5CDD505-2E9C-101B-9397-08002B2CF9AE}" pid="6" name="MSIP_Label_25d43cbe-1d34-4aee-b177-a8008a220178_Method">
    <vt:lpwstr>Privileged</vt:lpwstr>
  </property>
  <property fmtid="{D5CDD505-2E9C-101B-9397-08002B2CF9AE}" pid="7" name="MSIP_Label_25d43cbe-1d34-4aee-b177-a8008a220178_Name">
    <vt:lpwstr>ExternalUnprotected</vt:lpwstr>
  </property>
  <property fmtid="{D5CDD505-2E9C-101B-9397-08002B2CF9AE}" pid="8" name="MSIP_Label_25d43cbe-1d34-4aee-b177-a8008a220178_SiteId">
    <vt:lpwstr>e54289c6-b630-4215-acc5-57eec01212d6</vt:lpwstr>
  </property>
  <property fmtid="{D5CDD505-2E9C-101B-9397-08002B2CF9AE}" pid="9" name="MSIP_Label_25d43cbe-1d34-4aee-b177-a8008a220178_ActionId">
    <vt:lpwstr>a1e71b02-6189-4d66-a06f-20606ceea6d3</vt:lpwstr>
  </property>
  <property fmtid="{D5CDD505-2E9C-101B-9397-08002B2CF9AE}" pid="10" name="MSIP_Label_25d43cbe-1d34-4aee-b177-a8008a220178_ContentBits">
    <vt:lpwstr>0</vt:lpwstr>
  </property>
</Properties>
</file>