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2C30" w14:textId="77777777" w:rsidR="00DF06B0" w:rsidRDefault="00DF06B0" w:rsidP="0022344D">
      <w:pPr>
        <w:sectPr w:rsidR="00DF06B0" w:rsidSect="00586362">
          <w:headerReference w:type="default" r:id="rId11"/>
          <w:footerReference w:type="default" r:id="rId12"/>
          <w:type w:val="continuous"/>
          <w:pgSz w:w="11906" w:h="16838" w:code="9"/>
          <w:pgMar w:top="1701" w:right="849" w:bottom="1134" w:left="1134" w:header="709" w:footer="67" w:gutter="0"/>
          <w:cols w:space="708"/>
          <w:docGrid w:linePitch="360"/>
        </w:sectPr>
      </w:pPr>
      <w:bookmarkStart w:id="0" w:name="_GoBack"/>
      <w:bookmarkEnd w:id="0"/>
    </w:p>
    <w:p w14:paraId="0886E279" w14:textId="5801D306" w:rsidR="000710D4" w:rsidRPr="000710D4" w:rsidRDefault="00B2453F" w:rsidP="0022344D">
      <w:pPr>
        <w:pStyle w:val="Heading1"/>
      </w:pPr>
      <w:r>
        <w:t>Elektri- ja gaasiturg</w:t>
      </w:r>
      <w:r w:rsidR="005A7219">
        <w:t xml:space="preserve"> 201</w:t>
      </w:r>
      <w:r>
        <w:t>6</w:t>
      </w:r>
    </w:p>
    <w:p w14:paraId="3786B4E0" w14:textId="4BF5184E" w:rsidR="008452A0" w:rsidRDefault="00732E4E" w:rsidP="0022344D">
      <w:r>
        <w:t>21</w:t>
      </w:r>
      <w:r w:rsidR="008452A0">
        <w:t>.</w:t>
      </w:r>
      <w:r w:rsidR="00CA69AD">
        <w:t>0</w:t>
      </w:r>
      <w:r w:rsidR="00F708F9">
        <w:t>2</w:t>
      </w:r>
      <w:r w:rsidR="00B2453F">
        <w:t>.2017</w:t>
      </w:r>
    </w:p>
    <w:p w14:paraId="063A4FF6" w14:textId="1469D538" w:rsidR="00A04C61" w:rsidRDefault="00A04C61" w:rsidP="001F4A66">
      <w:pPr>
        <w:pStyle w:val="NoSpacing"/>
        <w:numPr>
          <w:ilvl w:val="0"/>
          <w:numId w:val="28"/>
        </w:numPr>
      </w:pPr>
      <w:r>
        <w:t xml:space="preserve">Põhjamaade elektribörsi Nord Pool (NP) </w:t>
      </w:r>
      <w:r w:rsidR="00B2453F">
        <w:t>süsteemi keskmine hind oli 26,91</w:t>
      </w:r>
      <w:r>
        <w:t xml:space="preserve"> €/MWh;</w:t>
      </w:r>
      <w:r w:rsidR="00B2453F">
        <w:t xml:space="preserve"> </w:t>
      </w:r>
      <w:r>
        <w:t>Eesti hinnapiirkonna keskmine hind oli 3</w:t>
      </w:r>
      <w:r w:rsidR="00B2453F">
        <w:t>3</w:t>
      </w:r>
      <w:r>
        <w:t>,</w:t>
      </w:r>
      <w:r w:rsidR="00B2453F">
        <w:t>06</w:t>
      </w:r>
      <w:r>
        <w:t xml:space="preserve"> €/MWh;</w:t>
      </w:r>
    </w:p>
    <w:p w14:paraId="495BAB2B" w14:textId="7904DA25" w:rsidR="00A04C61" w:rsidRDefault="00A04C61" w:rsidP="001F4A66">
      <w:pPr>
        <w:pStyle w:val="NoSpacing"/>
        <w:numPr>
          <w:ilvl w:val="0"/>
          <w:numId w:val="28"/>
        </w:numPr>
      </w:pPr>
      <w:r>
        <w:t xml:space="preserve">Eesti ja Läti hinnapiirkondade hinnad ühtisid </w:t>
      </w:r>
      <w:r w:rsidR="00824B13">
        <w:t xml:space="preserve">järgmise päeva </w:t>
      </w:r>
      <w:r>
        <w:t xml:space="preserve">turul </w:t>
      </w:r>
      <w:r w:rsidR="00824B13">
        <w:t xml:space="preserve">70,8% tundidest, </w:t>
      </w:r>
      <w:r>
        <w:t xml:space="preserve">Eesti ja Soome hinnad </w:t>
      </w:r>
      <w:r w:rsidR="00824B13">
        <w:t>90,3</w:t>
      </w:r>
      <w:r>
        <w:t>% ajast;</w:t>
      </w:r>
    </w:p>
    <w:p w14:paraId="4303DBF6" w14:textId="37E895CF" w:rsidR="00536DBC" w:rsidRDefault="00A04C61" w:rsidP="003A6A66">
      <w:pPr>
        <w:pStyle w:val="NoSpacing"/>
        <w:numPr>
          <w:ilvl w:val="0"/>
          <w:numId w:val="28"/>
        </w:numPr>
      </w:pPr>
      <w:r>
        <w:t>Limiteeritud PTR-e ostnud turuosalise</w:t>
      </w:r>
      <w:r w:rsidR="0016595B">
        <w:t>d</w:t>
      </w:r>
      <w:r>
        <w:t xml:space="preserve"> maksi</w:t>
      </w:r>
      <w:r w:rsidR="0016595B">
        <w:t>d</w:t>
      </w:r>
      <w:r>
        <w:t xml:space="preserve"> tegeliku hinnaerinevuse alusel </w:t>
      </w:r>
      <w:r w:rsidR="003A6A66">
        <w:t xml:space="preserve">kokku (aasta, kvartali ja kuu tooted) </w:t>
      </w:r>
      <w:r w:rsidR="0016595B">
        <w:t>3,4</w:t>
      </w:r>
      <w:r w:rsidR="003A6A66">
        <w:t xml:space="preserve"> mln eurot</w:t>
      </w:r>
      <w:r w:rsidR="006752C2">
        <w:t>, mis jaotub Eesti ja Läti süsteemihaldurite vahel</w:t>
      </w:r>
      <w:r w:rsidR="00536DBC">
        <w:t>;</w:t>
      </w:r>
    </w:p>
    <w:p w14:paraId="229F484B" w14:textId="4CB9AE73" w:rsidR="00536DBC" w:rsidRDefault="00536DBC" w:rsidP="003A6A66">
      <w:pPr>
        <w:pStyle w:val="NoSpacing"/>
        <w:numPr>
          <w:ilvl w:val="0"/>
          <w:numId w:val="28"/>
        </w:numPr>
      </w:pPr>
      <w:r>
        <w:t>Leedust imporditud gaasi osakaal oli aasta kokku</w:t>
      </w:r>
      <w:r w:rsidR="00795F6F">
        <w:softHyphen/>
      </w:r>
      <w:r>
        <w:t xml:space="preserve">võttes </w:t>
      </w:r>
      <w:r w:rsidR="00795F6F">
        <w:t>7,1</w:t>
      </w:r>
      <w:r>
        <w:t>%;</w:t>
      </w:r>
    </w:p>
    <w:p w14:paraId="7F997A47" w14:textId="7CAFB752" w:rsidR="008452A0" w:rsidRDefault="00536DBC" w:rsidP="00536DBC">
      <w:pPr>
        <w:pStyle w:val="NoSpacing"/>
        <w:numPr>
          <w:ilvl w:val="0"/>
          <w:numId w:val="28"/>
        </w:numPr>
      </w:pPr>
      <w:r w:rsidRPr="00536DBC">
        <w:t xml:space="preserve">Leedu gaasibörsil GET Baltic kaubeldud maagaasi hind oli keskmiselt </w:t>
      </w:r>
      <w:r w:rsidR="002B2307">
        <w:t>17,30</w:t>
      </w:r>
      <w:r w:rsidRPr="00536DBC">
        <w:t xml:space="preserve"> €/MWh</w:t>
      </w:r>
      <w:r>
        <w:t xml:space="preserve"> ehk </w:t>
      </w:r>
      <w:r w:rsidR="002B2307">
        <w:t>27,9</w:t>
      </w:r>
      <w:r w:rsidRPr="00536DBC">
        <w:t>%</w:t>
      </w:r>
      <w:r>
        <w:t xml:space="preserve"> </w:t>
      </w:r>
      <w:r w:rsidR="002B2307">
        <w:t xml:space="preserve">madalam </w:t>
      </w:r>
      <w:r>
        <w:t>kui aasta varem</w:t>
      </w:r>
      <w:r w:rsidR="008452A0">
        <w:t>.</w:t>
      </w:r>
    </w:p>
    <w:p w14:paraId="111C9F90" w14:textId="77777777" w:rsidR="00B02333" w:rsidRDefault="00B02333" w:rsidP="00B02333">
      <w:pPr>
        <w:pStyle w:val="NoSpacing"/>
      </w:pPr>
    </w:p>
    <w:tbl>
      <w:tblPr>
        <w:tblStyle w:val="TableGrid"/>
        <w:tblW w:w="0" w:type="auto"/>
        <w:tblLook w:val="04A0" w:firstRow="1" w:lastRow="0" w:firstColumn="1" w:lastColumn="0" w:noHBand="0" w:noVBand="1"/>
      </w:tblPr>
      <w:tblGrid>
        <w:gridCol w:w="1555"/>
        <w:gridCol w:w="1121"/>
        <w:gridCol w:w="658"/>
        <w:gridCol w:w="667"/>
        <w:gridCol w:w="667"/>
      </w:tblGrid>
      <w:tr w:rsidR="0016595B" w:rsidRPr="00D231C5" w14:paraId="608E528B" w14:textId="5406A928" w:rsidTr="00234E08">
        <w:tc>
          <w:tcPr>
            <w:tcW w:w="2676" w:type="dxa"/>
            <w:gridSpan w:val="2"/>
            <w:shd w:val="clear" w:color="auto" w:fill="007087"/>
            <w:vAlign w:val="center"/>
          </w:tcPr>
          <w:p w14:paraId="2AB70F07" w14:textId="365D6894" w:rsidR="0016595B" w:rsidRPr="00D231C5" w:rsidRDefault="0016595B" w:rsidP="0016595B">
            <w:pPr>
              <w:pStyle w:val="NoSpacing"/>
              <w:spacing w:before="60" w:after="60"/>
              <w:jc w:val="center"/>
              <w:rPr>
                <w:b/>
                <w:color w:val="FFFFFF" w:themeColor="background1"/>
                <w:sz w:val="16"/>
                <w:szCs w:val="16"/>
              </w:rPr>
            </w:pPr>
            <w:r>
              <w:rPr>
                <w:b/>
                <w:color w:val="FFFFFF" w:themeColor="background1"/>
                <w:sz w:val="16"/>
                <w:szCs w:val="16"/>
              </w:rPr>
              <w:t>NP Eesti</w:t>
            </w:r>
          </w:p>
        </w:tc>
        <w:tc>
          <w:tcPr>
            <w:tcW w:w="658" w:type="dxa"/>
            <w:shd w:val="clear" w:color="auto" w:fill="007087"/>
          </w:tcPr>
          <w:p w14:paraId="08EBFE8C" w14:textId="5161C37C" w:rsidR="0016595B" w:rsidRPr="00D231C5" w:rsidRDefault="0016595B" w:rsidP="0016595B">
            <w:pPr>
              <w:pStyle w:val="NoSpacing"/>
              <w:spacing w:before="60" w:after="60"/>
              <w:jc w:val="center"/>
              <w:rPr>
                <w:b/>
                <w:color w:val="FFFFFF" w:themeColor="background1"/>
                <w:sz w:val="16"/>
                <w:szCs w:val="16"/>
              </w:rPr>
            </w:pPr>
            <w:r>
              <w:rPr>
                <w:b/>
                <w:color w:val="FFFFFF" w:themeColor="background1"/>
                <w:sz w:val="16"/>
                <w:szCs w:val="16"/>
              </w:rPr>
              <w:t>2016</w:t>
            </w:r>
          </w:p>
        </w:tc>
        <w:tc>
          <w:tcPr>
            <w:tcW w:w="667" w:type="dxa"/>
            <w:shd w:val="clear" w:color="auto" w:fill="007087"/>
            <w:vAlign w:val="center"/>
          </w:tcPr>
          <w:p w14:paraId="21DDCB9A" w14:textId="5EDF0E06" w:rsidR="0016595B" w:rsidRDefault="0016595B" w:rsidP="0016595B">
            <w:pPr>
              <w:pStyle w:val="NoSpacing"/>
              <w:spacing w:before="60" w:after="60"/>
              <w:jc w:val="center"/>
              <w:rPr>
                <w:b/>
                <w:color w:val="FFFFFF" w:themeColor="background1"/>
                <w:sz w:val="16"/>
                <w:szCs w:val="16"/>
              </w:rPr>
            </w:pPr>
            <w:r>
              <w:rPr>
                <w:b/>
                <w:color w:val="FFFFFF" w:themeColor="background1"/>
                <w:sz w:val="16"/>
                <w:szCs w:val="16"/>
              </w:rPr>
              <w:t>2015</w:t>
            </w:r>
          </w:p>
        </w:tc>
        <w:tc>
          <w:tcPr>
            <w:tcW w:w="667" w:type="dxa"/>
            <w:shd w:val="clear" w:color="auto" w:fill="007087"/>
            <w:vAlign w:val="center"/>
          </w:tcPr>
          <w:p w14:paraId="1E94386D" w14:textId="79147BC9" w:rsidR="0016595B" w:rsidRPr="00D231C5" w:rsidRDefault="0016595B" w:rsidP="0016595B">
            <w:pPr>
              <w:pStyle w:val="NoSpacing"/>
              <w:spacing w:before="60" w:after="60"/>
              <w:jc w:val="center"/>
              <w:rPr>
                <w:b/>
                <w:color w:val="FFFFFF" w:themeColor="background1"/>
                <w:sz w:val="16"/>
                <w:szCs w:val="16"/>
              </w:rPr>
            </w:pPr>
            <w:r>
              <w:rPr>
                <w:b/>
                <w:color w:val="FFFFFF" w:themeColor="background1"/>
                <w:sz w:val="16"/>
                <w:szCs w:val="16"/>
              </w:rPr>
              <w:t>2014</w:t>
            </w:r>
          </w:p>
        </w:tc>
      </w:tr>
      <w:tr w:rsidR="0016595B" w:rsidRPr="00D231C5" w14:paraId="0E56814D" w14:textId="37457FB8" w:rsidTr="00234E08">
        <w:tc>
          <w:tcPr>
            <w:tcW w:w="2676" w:type="dxa"/>
            <w:gridSpan w:val="2"/>
            <w:vAlign w:val="center"/>
          </w:tcPr>
          <w:p w14:paraId="4F018E83" w14:textId="0D702B85" w:rsidR="0016595B" w:rsidRPr="00D231C5" w:rsidRDefault="0016595B" w:rsidP="0016595B">
            <w:pPr>
              <w:pStyle w:val="NoSpacing"/>
              <w:spacing w:before="60" w:after="60"/>
              <w:jc w:val="left"/>
              <w:rPr>
                <w:sz w:val="16"/>
                <w:szCs w:val="16"/>
              </w:rPr>
            </w:pPr>
            <w:r>
              <w:rPr>
                <w:sz w:val="16"/>
                <w:szCs w:val="16"/>
              </w:rPr>
              <w:t>Järgmise päeva</w:t>
            </w:r>
            <w:r w:rsidRPr="00B02333">
              <w:rPr>
                <w:sz w:val="16"/>
                <w:szCs w:val="16"/>
              </w:rPr>
              <w:t xml:space="preserve"> turult ostetud elektrienergia kogus (TWh)</w:t>
            </w:r>
          </w:p>
        </w:tc>
        <w:tc>
          <w:tcPr>
            <w:tcW w:w="658" w:type="dxa"/>
            <w:vAlign w:val="center"/>
          </w:tcPr>
          <w:p w14:paraId="342B36B7" w14:textId="4338B245" w:rsidR="0016595B" w:rsidRPr="00D231C5" w:rsidRDefault="0084289B" w:rsidP="0016595B">
            <w:pPr>
              <w:pStyle w:val="NoSpacing"/>
              <w:spacing w:before="60" w:after="60"/>
              <w:jc w:val="center"/>
              <w:rPr>
                <w:sz w:val="16"/>
                <w:szCs w:val="16"/>
              </w:rPr>
            </w:pPr>
            <w:r>
              <w:rPr>
                <w:sz w:val="16"/>
                <w:szCs w:val="16"/>
              </w:rPr>
              <w:t>7,65</w:t>
            </w:r>
          </w:p>
        </w:tc>
        <w:tc>
          <w:tcPr>
            <w:tcW w:w="667" w:type="dxa"/>
            <w:vAlign w:val="center"/>
          </w:tcPr>
          <w:p w14:paraId="14221275" w14:textId="2E29EF0C" w:rsidR="0016595B" w:rsidRDefault="0016595B" w:rsidP="0016595B">
            <w:pPr>
              <w:pStyle w:val="NoSpacing"/>
              <w:spacing w:before="60" w:after="60"/>
              <w:jc w:val="center"/>
              <w:rPr>
                <w:sz w:val="16"/>
                <w:szCs w:val="16"/>
              </w:rPr>
            </w:pPr>
            <w:r>
              <w:rPr>
                <w:sz w:val="16"/>
                <w:szCs w:val="16"/>
              </w:rPr>
              <w:t>7,09</w:t>
            </w:r>
          </w:p>
        </w:tc>
        <w:tc>
          <w:tcPr>
            <w:tcW w:w="667" w:type="dxa"/>
            <w:vAlign w:val="center"/>
          </w:tcPr>
          <w:p w14:paraId="004192AF" w14:textId="54D896E8" w:rsidR="0016595B" w:rsidRPr="00D231C5" w:rsidRDefault="0016595B" w:rsidP="0016595B">
            <w:pPr>
              <w:pStyle w:val="NoSpacing"/>
              <w:spacing w:before="60" w:after="60"/>
              <w:jc w:val="center"/>
              <w:rPr>
                <w:sz w:val="16"/>
                <w:szCs w:val="16"/>
              </w:rPr>
            </w:pPr>
            <w:r>
              <w:rPr>
                <w:sz w:val="16"/>
                <w:szCs w:val="16"/>
              </w:rPr>
              <w:t>7,14</w:t>
            </w:r>
          </w:p>
        </w:tc>
      </w:tr>
      <w:tr w:rsidR="0016595B" w:rsidRPr="00D231C5" w14:paraId="045187C7" w14:textId="6EA4F912" w:rsidTr="00234E08">
        <w:tc>
          <w:tcPr>
            <w:tcW w:w="2676" w:type="dxa"/>
            <w:gridSpan w:val="2"/>
            <w:vAlign w:val="center"/>
          </w:tcPr>
          <w:p w14:paraId="27AB2C22" w14:textId="49AFD2A4" w:rsidR="0016595B" w:rsidRPr="00D231C5" w:rsidRDefault="0016595B" w:rsidP="0016595B">
            <w:pPr>
              <w:pStyle w:val="NoSpacing"/>
              <w:spacing w:before="60" w:after="60"/>
              <w:jc w:val="left"/>
              <w:rPr>
                <w:sz w:val="16"/>
                <w:szCs w:val="16"/>
              </w:rPr>
            </w:pPr>
            <w:r>
              <w:rPr>
                <w:sz w:val="16"/>
                <w:szCs w:val="16"/>
              </w:rPr>
              <w:t>Järgmise päeva</w:t>
            </w:r>
            <w:r w:rsidRPr="00B02333">
              <w:rPr>
                <w:sz w:val="16"/>
                <w:szCs w:val="16"/>
              </w:rPr>
              <w:t xml:space="preserve"> turul müüdud elektrienergia kogus (TWh)</w:t>
            </w:r>
          </w:p>
        </w:tc>
        <w:tc>
          <w:tcPr>
            <w:tcW w:w="658" w:type="dxa"/>
            <w:vAlign w:val="center"/>
          </w:tcPr>
          <w:p w14:paraId="1AD884BB" w14:textId="54388C38" w:rsidR="0016595B" w:rsidRPr="00D231C5" w:rsidRDefault="0084289B" w:rsidP="0016595B">
            <w:pPr>
              <w:pStyle w:val="NoSpacing"/>
              <w:spacing w:before="60" w:after="60"/>
              <w:jc w:val="center"/>
              <w:rPr>
                <w:sz w:val="16"/>
                <w:szCs w:val="16"/>
              </w:rPr>
            </w:pPr>
            <w:r>
              <w:rPr>
                <w:sz w:val="16"/>
                <w:szCs w:val="16"/>
              </w:rPr>
              <w:t>9,56</w:t>
            </w:r>
          </w:p>
        </w:tc>
        <w:tc>
          <w:tcPr>
            <w:tcW w:w="667" w:type="dxa"/>
            <w:vAlign w:val="center"/>
          </w:tcPr>
          <w:p w14:paraId="58052851" w14:textId="19C4644C" w:rsidR="0016595B" w:rsidRDefault="0016595B" w:rsidP="0016595B">
            <w:pPr>
              <w:pStyle w:val="NoSpacing"/>
              <w:spacing w:before="60" w:after="60"/>
              <w:jc w:val="center"/>
              <w:rPr>
                <w:sz w:val="16"/>
                <w:szCs w:val="16"/>
              </w:rPr>
            </w:pPr>
            <w:r>
              <w:rPr>
                <w:sz w:val="16"/>
                <w:szCs w:val="16"/>
              </w:rPr>
              <w:t>7,85</w:t>
            </w:r>
          </w:p>
        </w:tc>
        <w:tc>
          <w:tcPr>
            <w:tcW w:w="667" w:type="dxa"/>
            <w:vAlign w:val="center"/>
          </w:tcPr>
          <w:p w14:paraId="49F41BE7" w14:textId="7A2AD39D" w:rsidR="0016595B" w:rsidRPr="00D231C5" w:rsidRDefault="0016595B" w:rsidP="0016595B">
            <w:pPr>
              <w:pStyle w:val="NoSpacing"/>
              <w:spacing w:before="60" w:after="60"/>
              <w:jc w:val="center"/>
              <w:rPr>
                <w:sz w:val="16"/>
                <w:szCs w:val="16"/>
              </w:rPr>
            </w:pPr>
            <w:r>
              <w:rPr>
                <w:sz w:val="16"/>
                <w:szCs w:val="16"/>
              </w:rPr>
              <w:t>9,82</w:t>
            </w:r>
          </w:p>
        </w:tc>
      </w:tr>
      <w:tr w:rsidR="00234E08" w:rsidRPr="00D231C5" w14:paraId="49036743" w14:textId="34DF5897" w:rsidTr="00234E08">
        <w:trPr>
          <w:trHeight w:val="467"/>
        </w:trPr>
        <w:tc>
          <w:tcPr>
            <w:tcW w:w="1555" w:type="dxa"/>
            <w:vMerge w:val="restart"/>
            <w:vAlign w:val="center"/>
          </w:tcPr>
          <w:p w14:paraId="49A0B68A" w14:textId="7B1D2B3E" w:rsidR="00234E08" w:rsidRPr="00D231C5" w:rsidRDefault="00234E08" w:rsidP="0016595B">
            <w:pPr>
              <w:pStyle w:val="NoSpacing"/>
              <w:spacing w:before="60" w:after="60"/>
              <w:jc w:val="left"/>
              <w:rPr>
                <w:sz w:val="16"/>
                <w:szCs w:val="16"/>
              </w:rPr>
            </w:pPr>
            <w:r w:rsidRPr="00B02333">
              <w:rPr>
                <w:sz w:val="16"/>
                <w:szCs w:val="16"/>
              </w:rPr>
              <w:t xml:space="preserve">Ülekoormustulu </w:t>
            </w:r>
            <w:r>
              <w:rPr>
                <w:sz w:val="16"/>
                <w:szCs w:val="16"/>
              </w:rPr>
              <w:t xml:space="preserve">piiriülese </w:t>
            </w:r>
            <w:r w:rsidRPr="00B02333">
              <w:rPr>
                <w:sz w:val="16"/>
                <w:szCs w:val="16"/>
              </w:rPr>
              <w:t>üle</w:t>
            </w:r>
            <w:r>
              <w:rPr>
                <w:sz w:val="16"/>
                <w:szCs w:val="16"/>
              </w:rPr>
              <w:softHyphen/>
            </w:r>
            <w:r w:rsidRPr="00B02333">
              <w:rPr>
                <w:sz w:val="16"/>
                <w:szCs w:val="16"/>
              </w:rPr>
              <w:t>kandevõimsuse kaudsel</w:t>
            </w:r>
            <w:r>
              <w:rPr>
                <w:sz w:val="16"/>
                <w:szCs w:val="16"/>
              </w:rPr>
              <w:t xml:space="preserve">t oksjonilt Eleringile </w:t>
            </w:r>
            <w:r w:rsidRPr="00B02333">
              <w:rPr>
                <w:sz w:val="16"/>
                <w:szCs w:val="16"/>
              </w:rPr>
              <w:t>(</w:t>
            </w:r>
            <w:r>
              <w:rPr>
                <w:sz w:val="16"/>
                <w:szCs w:val="16"/>
              </w:rPr>
              <w:t>mln €</w:t>
            </w:r>
            <w:r w:rsidRPr="00B02333">
              <w:rPr>
                <w:sz w:val="16"/>
                <w:szCs w:val="16"/>
              </w:rPr>
              <w:t>)</w:t>
            </w:r>
          </w:p>
        </w:tc>
        <w:tc>
          <w:tcPr>
            <w:tcW w:w="1121" w:type="dxa"/>
            <w:vAlign w:val="center"/>
          </w:tcPr>
          <w:p w14:paraId="46D2969D" w14:textId="4D1AC5DB" w:rsidR="00234E08" w:rsidRPr="00D231C5" w:rsidRDefault="00234E08" w:rsidP="0016595B">
            <w:pPr>
              <w:pStyle w:val="NoSpacing"/>
              <w:spacing w:before="60" w:after="60"/>
              <w:jc w:val="left"/>
              <w:rPr>
                <w:sz w:val="16"/>
                <w:szCs w:val="16"/>
              </w:rPr>
            </w:pPr>
            <w:r>
              <w:rPr>
                <w:sz w:val="16"/>
                <w:szCs w:val="16"/>
              </w:rPr>
              <w:t>Eesti-Soome</w:t>
            </w:r>
          </w:p>
        </w:tc>
        <w:tc>
          <w:tcPr>
            <w:tcW w:w="658" w:type="dxa"/>
            <w:vAlign w:val="center"/>
          </w:tcPr>
          <w:p w14:paraId="6E3EA1E6" w14:textId="7B5DF766" w:rsidR="00234E08" w:rsidRPr="00D231C5" w:rsidRDefault="00234E08" w:rsidP="0016595B">
            <w:pPr>
              <w:pStyle w:val="NoSpacing"/>
              <w:spacing w:before="60" w:after="60"/>
              <w:jc w:val="center"/>
              <w:rPr>
                <w:sz w:val="16"/>
                <w:szCs w:val="16"/>
              </w:rPr>
            </w:pPr>
            <w:r>
              <w:rPr>
                <w:sz w:val="16"/>
                <w:szCs w:val="16"/>
              </w:rPr>
              <w:t>2,37</w:t>
            </w:r>
          </w:p>
        </w:tc>
        <w:tc>
          <w:tcPr>
            <w:tcW w:w="667" w:type="dxa"/>
            <w:vAlign w:val="center"/>
          </w:tcPr>
          <w:p w14:paraId="6DD13667" w14:textId="1E486F49" w:rsidR="00234E08" w:rsidRDefault="00234E08" w:rsidP="0016595B">
            <w:pPr>
              <w:pStyle w:val="NoSpacing"/>
              <w:spacing w:before="60" w:after="60"/>
              <w:jc w:val="center"/>
              <w:rPr>
                <w:sz w:val="16"/>
                <w:szCs w:val="16"/>
              </w:rPr>
            </w:pPr>
            <w:r>
              <w:rPr>
                <w:sz w:val="16"/>
                <w:szCs w:val="16"/>
              </w:rPr>
              <w:t>4,18</w:t>
            </w:r>
          </w:p>
        </w:tc>
        <w:tc>
          <w:tcPr>
            <w:tcW w:w="667" w:type="dxa"/>
            <w:vAlign w:val="center"/>
          </w:tcPr>
          <w:p w14:paraId="7756735E" w14:textId="58E8960C" w:rsidR="00234E08" w:rsidRPr="00D231C5" w:rsidRDefault="00234E08" w:rsidP="0016595B">
            <w:pPr>
              <w:pStyle w:val="NoSpacing"/>
              <w:spacing w:before="60" w:after="60"/>
              <w:jc w:val="center"/>
              <w:rPr>
                <w:sz w:val="16"/>
                <w:szCs w:val="16"/>
              </w:rPr>
            </w:pPr>
            <w:r>
              <w:rPr>
                <w:sz w:val="16"/>
                <w:szCs w:val="16"/>
              </w:rPr>
              <w:t>2,39</w:t>
            </w:r>
          </w:p>
        </w:tc>
      </w:tr>
      <w:tr w:rsidR="00234E08" w:rsidRPr="00D231C5" w14:paraId="72298891" w14:textId="4A94C72C" w:rsidTr="00234E08">
        <w:tc>
          <w:tcPr>
            <w:tcW w:w="1555" w:type="dxa"/>
            <w:vMerge/>
            <w:vAlign w:val="center"/>
          </w:tcPr>
          <w:p w14:paraId="3D30B10C" w14:textId="6C56A343" w:rsidR="00234E08" w:rsidRDefault="00234E08" w:rsidP="0016595B">
            <w:pPr>
              <w:pStyle w:val="NoSpacing"/>
              <w:spacing w:before="60" w:after="60"/>
              <w:jc w:val="left"/>
              <w:rPr>
                <w:sz w:val="16"/>
                <w:szCs w:val="16"/>
              </w:rPr>
            </w:pPr>
          </w:p>
        </w:tc>
        <w:tc>
          <w:tcPr>
            <w:tcW w:w="1121" w:type="dxa"/>
            <w:vAlign w:val="center"/>
          </w:tcPr>
          <w:p w14:paraId="229D6150" w14:textId="366FAE76" w:rsidR="00234E08" w:rsidRDefault="00234E08" w:rsidP="0016595B">
            <w:pPr>
              <w:pStyle w:val="NoSpacing"/>
              <w:spacing w:before="60" w:after="60"/>
              <w:jc w:val="left"/>
              <w:rPr>
                <w:sz w:val="16"/>
                <w:szCs w:val="16"/>
              </w:rPr>
            </w:pPr>
            <w:r>
              <w:rPr>
                <w:sz w:val="16"/>
                <w:szCs w:val="16"/>
              </w:rPr>
              <w:t>Eesti-Läti</w:t>
            </w:r>
          </w:p>
        </w:tc>
        <w:tc>
          <w:tcPr>
            <w:tcW w:w="658" w:type="dxa"/>
            <w:vAlign w:val="center"/>
          </w:tcPr>
          <w:p w14:paraId="71918E6E" w14:textId="20799A21" w:rsidR="00234E08" w:rsidRPr="00D231C5" w:rsidRDefault="00234E08" w:rsidP="0016595B">
            <w:pPr>
              <w:pStyle w:val="NoSpacing"/>
              <w:spacing w:before="60" w:after="60"/>
              <w:jc w:val="center"/>
              <w:rPr>
                <w:sz w:val="16"/>
                <w:szCs w:val="16"/>
              </w:rPr>
            </w:pPr>
            <w:r>
              <w:rPr>
                <w:sz w:val="16"/>
                <w:szCs w:val="16"/>
              </w:rPr>
              <w:t>9,35</w:t>
            </w:r>
          </w:p>
        </w:tc>
        <w:tc>
          <w:tcPr>
            <w:tcW w:w="667" w:type="dxa"/>
            <w:vAlign w:val="center"/>
          </w:tcPr>
          <w:p w14:paraId="24A7236D" w14:textId="5BE1F56C" w:rsidR="00234E08" w:rsidRDefault="00234E08" w:rsidP="0016595B">
            <w:pPr>
              <w:pStyle w:val="NoSpacing"/>
              <w:spacing w:before="60" w:after="60"/>
              <w:jc w:val="center"/>
              <w:rPr>
                <w:sz w:val="16"/>
                <w:szCs w:val="16"/>
              </w:rPr>
            </w:pPr>
            <w:r>
              <w:rPr>
                <w:sz w:val="16"/>
                <w:szCs w:val="16"/>
              </w:rPr>
              <w:t>31,93</w:t>
            </w:r>
          </w:p>
        </w:tc>
        <w:tc>
          <w:tcPr>
            <w:tcW w:w="667" w:type="dxa"/>
            <w:vAlign w:val="center"/>
          </w:tcPr>
          <w:p w14:paraId="48A9BDB9" w14:textId="0E210AC7" w:rsidR="00234E08" w:rsidRPr="00D231C5" w:rsidRDefault="00234E08" w:rsidP="0016595B">
            <w:pPr>
              <w:pStyle w:val="NoSpacing"/>
              <w:spacing w:before="60" w:after="60"/>
              <w:jc w:val="center"/>
              <w:rPr>
                <w:sz w:val="16"/>
                <w:szCs w:val="16"/>
              </w:rPr>
            </w:pPr>
            <w:r>
              <w:rPr>
                <w:sz w:val="16"/>
                <w:szCs w:val="16"/>
              </w:rPr>
              <w:t>38,91</w:t>
            </w:r>
          </w:p>
        </w:tc>
      </w:tr>
      <w:tr w:rsidR="0016595B" w:rsidRPr="00D231C5" w14:paraId="159DF85B" w14:textId="32E03AC6" w:rsidTr="00234E08">
        <w:tc>
          <w:tcPr>
            <w:tcW w:w="2676" w:type="dxa"/>
            <w:gridSpan w:val="2"/>
            <w:vAlign w:val="center"/>
          </w:tcPr>
          <w:p w14:paraId="37AB3B31" w14:textId="327CF6D0" w:rsidR="0016595B" w:rsidRPr="00B02333" w:rsidRDefault="0016595B" w:rsidP="0016595B">
            <w:pPr>
              <w:pStyle w:val="NoSpacing"/>
              <w:spacing w:before="60" w:after="60"/>
              <w:jc w:val="left"/>
              <w:rPr>
                <w:sz w:val="16"/>
                <w:szCs w:val="16"/>
              </w:rPr>
            </w:pPr>
            <w:r w:rsidRPr="00B02333">
              <w:rPr>
                <w:sz w:val="16"/>
                <w:szCs w:val="16"/>
              </w:rPr>
              <w:t xml:space="preserve">Limiteeritud PTR toodete </w:t>
            </w:r>
            <w:r>
              <w:rPr>
                <w:sz w:val="16"/>
                <w:szCs w:val="16"/>
              </w:rPr>
              <w:t>neto kulu(-)/</w:t>
            </w:r>
            <w:r w:rsidRPr="00B02333">
              <w:rPr>
                <w:sz w:val="16"/>
                <w:szCs w:val="16"/>
              </w:rPr>
              <w:t xml:space="preserve">tulu(+) </w:t>
            </w:r>
            <w:r>
              <w:rPr>
                <w:sz w:val="16"/>
                <w:szCs w:val="16"/>
              </w:rPr>
              <w:t>Eleringile</w:t>
            </w:r>
            <w:r w:rsidRPr="00B02333">
              <w:rPr>
                <w:sz w:val="16"/>
                <w:szCs w:val="16"/>
              </w:rPr>
              <w:t xml:space="preserve"> (</w:t>
            </w:r>
            <w:r>
              <w:rPr>
                <w:sz w:val="16"/>
                <w:szCs w:val="16"/>
              </w:rPr>
              <w:t>mln €</w:t>
            </w:r>
            <w:r w:rsidRPr="00B02333">
              <w:rPr>
                <w:sz w:val="16"/>
                <w:szCs w:val="16"/>
              </w:rPr>
              <w:t>)</w:t>
            </w:r>
          </w:p>
        </w:tc>
        <w:tc>
          <w:tcPr>
            <w:tcW w:w="658" w:type="dxa"/>
            <w:vAlign w:val="center"/>
          </w:tcPr>
          <w:p w14:paraId="02C9DFDE" w14:textId="3DF7CB8A" w:rsidR="0016595B" w:rsidRPr="00D231C5" w:rsidRDefault="00853080" w:rsidP="0016595B">
            <w:pPr>
              <w:pStyle w:val="NoSpacing"/>
              <w:spacing w:before="60" w:after="60"/>
              <w:jc w:val="center"/>
              <w:rPr>
                <w:sz w:val="16"/>
                <w:szCs w:val="16"/>
              </w:rPr>
            </w:pPr>
            <w:r>
              <w:rPr>
                <w:sz w:val="16"/>
                <w:szCs w:val="16"/>
              </w:rPr>
              <w:t>1,68</w:t>
            </w:r>
          </w:p>
        </w:tc>
        <w:tc>
          <w:tcPr>
            <w:tcW w:w="667" w:type="dxa"/>
            <w:vAlign w:val="center"/>
          </w:tcPr>
          <w:p w14:paraId="0E7639E5" w14:textId="06910907" w:rsidR="0016595B" w:rsidRDefault="0016595B" w:rsidP="0016595B">
            <w:pPr>
              <w:pStyle w:val="NoSpacing"/>
              <w:spacing w:before="60" w:after="60"/>
              <w:jc w:val="center"/>
              <w:rPr>
                <w:sz w:val="16"/>
                <w:szCs w:val="16"/>
              </w:rPr>
            </w:pPr>
            <w:r>
              <w:rPr>
                <w:sz w:val="16"/>
                <w:szCs w:val="16"/>
              </w:rPr>
              <w:t>-5,76</w:t>
            </w:r>
          </w:p>
        </w:tc>
        <w:tc>
          <w:tcPr>
            <w:tcW w:w="667" w:type="dxa"/>
            <w:vAlign w:val="center"/>
          </w:tcPr>
          <w:p w14:paraId="5F3B8C3A" w14:textId="3B06C9BD" w:rsidR="0016595B" w:rsidRPr="00D231C5" w:rsidRDefault="0016595B" w:rsidP="0016595B">
            <w:pPr>
              <w:pStyle w:val="NoSpacing"/>
              <w:spacing w:before="60" w:after="60"/>
              <w:jc w:val="center"/>
              <w:rPr>
                <w:sz w:val="16"/>
                <w:szCs w:val="16"/>
              </w:rPr>
            </w:pPr>
            <w:r>
              <w:rPr>
                <w:sz w:val="16"/>
                <w:szCs w:val="16"/>
              </w:rPr>
              <w:t>-4,24</w:t>
            </w:r>
          </w:p>
        </w:tc>
      </w:tr>
    </w:tbl>
    <w:p w14:paraId="42BF0E1E" w14:textId="292D6F3D" w:rsidR="00B02333" w:rsidRDefault="00B02333" w:rsidP="00B02333">
      <w:pPr>
        <w:pStyle w:val="NoSpacing"/>
      </w:pPr>
    </w:p>
    <w:p w14:paraId="4F113760" w14:textId="13C2E0B5" w:rsidR="006165B8" w:rsidRDefault="006165B8" w:rsidP="00B02333">
      <w:pPr>
        <w:pStyle w:val="NoSpacing"/>
      </w:pPr>
    </w:p>
    <w:p w14:paraId="3F43E227" w14:textId="77777777" w:rsidR="006165B8" w:rsidRDefault="006165B8" w:rsidP="006165B8">
      <w:pPr>
        <w:pStyle w:val="Heading2"/>
      </w:pPr>
      <w:r>
        <w:t>Energiahinnad</w:t>
      </w:r>
    </w:p>
    <w:p w14:paraId="2A47B60E" w14:textId="77777777" w:rsidR="006165B8" w:rsidRDefault="006165B8" w:rsidP="006165B8">
      <w:pPr>
        <w:pStyle w:val="NoSpacing"/>
        <w:rPr>
          <w:b/>
          <w:color w:val="007087"/>
        </w:rPr>
      </w:pPr>
      <w:r w:rsidRPr="00F937C3">
        <w:rPr>
          <w:b/>
          <w:color w:val="007087"/>
        </w:rPr>
        <w:t>Elekt</w:t>
      </w:r>
      <w:r>
        <w:rPr>
          <w:b/>
          <w:color w:val="007087"/>
        </w:rPr>
        <w:t>r</w:t>
      </w:r>
      <w:r w:rsidRPr="00F937C3">
        <w:rPr>
          <w:b/>
          <w:color w:val="007087"/>
        </w:rPr>
        <w:t xml:space="preserve">i </w:t>
      </w:r>
      <w:r>
        <w:rPr>
          <w:b/>
          <w:color w:val="007087"/>
        </w:rPr>
        <w:t>börsi</w:t>
      </w:r>
      <w:r w:rsidRPr="00F937C3">
        <w:rPr>
          <w:b/>
          <w:color w:val="007087"/>
        </w:rPr>
        <w:t>hinnad</w:t>
      </w:r>
    </w:p>
    <w:p w14:paraId="56DF1BE3" w14:textId="756AC54B" w:rsidR="005C13A5" w:rsidRDefault="007F586F" w:rsidP="0022344D">
      <w:r w:rsidRPr="007F586F">
        <w:t>Võrreldes 201</w:t>
      </w:r>
      <w:r w:rsidR="00234E08">
        <w:t>5</w:t>
      </w:r>
      <w:r w:rsidRPr="007F586F">
        <w:t>. aastaga</w:t>
      </w:r>
      <w:r w:rsidR="00234E08">
        <w:t>,</w:t>
      </w:r>
      <w:r w:rsidRPr="007F586F">
        <w:t xml:space="preserve"> </w:t>
      </w:r>
      <w:r w:rsidR="00234E08">
        <w:t>tõu</w:t>
      </w:r>
      <w:r w:rsidRPr="007F586F">
        <w:t xml:space="preserve">sid elektrienergia aasta keskmised hinnad </w:t>
      </w:r>
      <w:r w:rsidR="0013056F">
        <w:t xml:space="preserve">kõikides </w:t>
      </w:r>
      <w:r w:rsidRPr="007F586F">
        <w:t>hinnapiirkondades</w:t>
      </w:r>
      <w:r w:rsidR="00FC5B05">
        <w:t xml:space="preserve"> peale Läti ja Leedu</w:t>
      </w:r>
      <w:r w:rsidR="0013056F">
        <w:t>:</w:t>
      </w:r>
      <w:r w:rsidRPr="007F586F">
        <w:t xml:space="preserve"> </w:t>
      </w:r>
      <w:r w:rsidR="0013056F">
        <w:t>s</w:t>
      </w:r>
      <w:r w:rsidRPr="007F586F">
        <w:t>üsteemi</w:t>
      </w:r>
      <w:r w:rsidR="006B15E2">
        <w:softHyphen/>
      </w:r>
      <w:r w:rsidRPr="007F586F">
        <w:t xml:space="preserve">hind </w:t>
      </w:r>
      <w:r w:rsidR="00FC5B05">
        <w:t>kasvas</w:t>
      </w:r>
      <w:r w:rsidRPr="007F586F">
        <w:t xml:space="preserve"> 2</w:t>
      </w:r>
      <w:r w:rsidR="00FC5B05">
        <w:t>8</w:t>
      </w:r>
      <w:r w:rsidRPr="007F586F">
        <w:t xml:space="preserve">% </w:t>
      </w:r>
      <w:r w:rsidR="00A576F3">
        <w:t xml:space="preserve">ja oli </w:t>
      </w:r>
      <w:r w:rsidR="002420C5">
        <w:t xml:space="preserve">aasta keskmisena </w:t>
      </w:r>
      <w:r w:rsidR="0013056F">
        <w:t>2</w:t>
      </w:r>
      <w:r w:rsidR="00FC5B05">
        <w:t>6</w:t>
      </w:r>
      <w:r w:rsidR="0013056F">
        <w:t>,9</w:t>
      </w:r>
      <w:r w:rsidR="00FC5B05">
        <w:t>1</w:t>
      </w:r>
      <w:r w:rsidRPr="007F586F">
        <w:t xml:space="preserve"> </w:t>
      </w:r>
      <w:r w:rsidR="0013056F">
        <w:t>€</w:t>
      </w:r>
      <w:r w:rsidRPr="007F586F">
        <w:t>/MWh (201</w:t>
      </w:r>
      <w:r w:rsidR="00FC5B05">
        <w:t>5</w:t>
      </w:r>
      <w:r w:rsidRPr="007F586F">
        <w:t xml:space="preserve">. aastal </w:t>
      </w:r>
      <w:r w:rsidR="00FC5B05">
        <w:t>20,98</w:t>
      </w:r>
      <w:r w:rsidRPr="007F586F">
        <w:t xml:space="preserve"> </w:t>
      </w:r>
      <w:r w:rsidR="0013056F">
        <w:t>€</w:t>
      </w:r>
      <w:r w:rsidRPr="007F586F">
        <w:t xml:space="preserve">/MWh). </w:t>
      </w:r>
      <w:r w:rsidR="002E5DF5" w:rsidRPr="002E5DF5">
        <w:t>Hinda kujunda</w:t>
      </w:r>
      <w:r w:rsidR="00AD08C7">
        <w:softHyphen/>
      </w:r>
      <w:r w:rsidR="002E5DF5" w:rsidRPr="002E5DF5">
        <w:t>vatest teguritest on ülevaade Energiahindade mõjurite all.</w:t>
      </w:r>
      <w:r w:rsidRPr="007F586F">
        <w:t xml:space="preserve"> </w:t>
      </w:r>
    </w:p>
    <w:p w14:paraId="4AA1B3EB" w14:textId="77777777" w:rsidR="005C13A5" w:rsidRDefault="005C13A5" w:rsidP="0022344D"/>
    <w:p w14:paraId="3A0A1E36" w14:textId="610EFD43" w:rsidR="007F586F" w:rsidRDefault="000D4921" w:rsidP="0022344D">
      <w:r>
        <w:t>Hinna</w:t>
      </w:r>
      <w:r w:rsidR="003166ED">
        <w:t>tõ</w:t>
      </w:r>
      <w:r>
        <w:t xml:space="preserve">us oli suurim Rootsi ja Norra piirkondades, kus hind </w:t>
      </w:r>
      <w:r w:rsidR="003166ED">
        <w:t>oli 23-37% 2015. aastaga võrreldes kõrgem</w:t>
      </w:r>
      <w:r w:rsidR="007F586F" w:rsidRPr="007F586F">
        <w:t>.</w:t>
      </w:r>
      <w:r w:rsidR="003166ED">
        <w:t xml:space="preserve"> Eesti ja Soome hinnatõusuid olid vastavalt 6,4% ja 9,4%, kusjuures</w:t>
      </w:r>
      <w:r w:rsidR="003166ED" w:rsidRPr="003166ED">
        <w:t xml:space="preserve"> </w:t>
      </w:r>
      <w:r w:rsidR="003166ED">
        <w:t>Läti ja Leedu hinnad langesid pea 14%. Hinnalangusest hoolimata olid Läti ja Leedu siiski k</w:t>
      </w:r>
      <w:r w:rsidR="00D1636D">
        <w:t xml:space="preserve">õrgeima aasta keskmise hinnaga </w:t>
      </w:r>
      <w:r w:rsidR="007F586F" w:rsidRPr="007F586F">
        <w:t>piirkon</w:t>
      </w:r>
      <w:r w:rsidR="003166ED">
        <w:t>na</w:t>
      </w:r>
      <w:r w:rsidR="00D1636D">
        <w:t>d</w:t>
      </w:r>
      <w:r w:rsidR="007F586F" w:rsidRPr="007F586F">
        <w:t xml:space="preserve"> </w:t>
      </w:r>
      <w:r w:rsidR="00570D30">
        <w:t>(</w:t>
      </w:r>
      <w:r w:rsidR="007F586F" w:rsidRPr="007F586F">
        <w:t>hin</w:t>
      </w:r>
      <w:r w:rsidR="00D1636D">
        <w:t>naga</w:t>
      </w:r>
      <w:r w:rsidR="007F586F" w:rsidRPr="007F586F">
        <w:t xml:space="preserve"> </w:t>
      </w:r>
      <w:r w:rsidR="003166ED">
        <w:t>36,09</w:t>
      </w:r>
      <w:r w:rsidR="007F586F" w:rsidRPr="007F586F">
        <w:t xml:space="preserve"> </w:t>
      </w:r>
      <w:r>
        <w:t>€</w:t>
      </w:r>
      <w:r w:rsidR="007F586F" w:rsidRPr="007F586F">
        <w:t>/MWh</w:t>
      </w:r>
      <w:r w:rsidR="00570D30">
        <w:t>),</w:t>
      </w:r>
      <w:r w:rsidR="007F586F" w:rsidRPr="007F586F">
        <w:t xml:space="preserve"> </w:t>
      </w:r>
      <w:r w:rsidRPr="000D4921">
        <w:t>madalaim</w:t>
      </w:r>
      <w:r w:rsidR="00D61A3A">
        <w:t>a aasta keskmise hinnaga</w:t>
      </w:r>
      <w:r w:rsidR="00D1636D">
        <w:t xml:space="preserve"> oli</w:t>
      </w:r>
      <w:r w:rsidRPr="000D4921">
        <w:t xml:space="preserve"> </w:t>
      </w:r>
      <w:r w:rsidR="00570D30">
        <w:t xml:space="preserve">taas </w:t>
      </w:r>
      <w:r w:rsidRPr="000D4921">
        <w:t>Norra Bergen</w:t>
      </w:r>
      <w:r w:rsidR="005C13A5">
        <w:t>i</w:t>
      </w:r>
      <w:r w:rsidRPr="000D4921">
        <w:t xml:space="preserve"> piirkon</w:t>
      </w:r>
      <w:r w:rsidR="00D1636D">
        <w:t>d</w:t>
      </w:r>
      <w:r w:rsidRPr="000D4921">
        <w:t xml:space="preserve"> hin</w:t>
      </w:r>
      <w:r w:rsidR="00D1636D">
        <w:t>naga</w:t>
      </w:r>
      <w:r w:rsidRPr="000D4921">
        <w:t xml:space="preserve"> </w:t>
      </w:r>
      <w:r w:rsidR="00570D30">
        <w:t>24</w:t>
      </w:r>
      <w:r w:rsidR="005C13A5">
        <w:t>,</w:t>
      </w:r>
      <w:r w:rsidR="00570D30">
        <w:t>91</w:t>
      </w:r>
      <w:r w:rsidRPr="000D4921">
        <w:t xml:space="preserve"> </w:t>
      </w:r>
      <w:r>
        <w:t>€</w:t>
      </w:r>
      <w:r w:rsidRPr="000D4921">
        <w:t>/MWh</w:t>
      </w:r>
      <w:r>
        <w:t>.</w:t>
      </w:r>
    </w:p>
    <w:p w14:paraId="67012344" w14:textId="11B981B8" w:rsidR="00CA69AD" w:rsidRDefault="00CA69AD" w:rsidP="00CA69AD"/>
    <w:p w14:paraId="36E7FC64" w14:textId="4F09D18C" w:rsidR="00CA69AD" w:rsidRDefault="006A4ABC" w:rsidP="00CA69AD">
      <w:r w:rsidRPr="006A4ABC">
        <w:t>Kes</w:t>
      </w:r>
      <w:r w:rsidR="00D9767D">
        <w:t>k-Euroopa elektribörsi</w:t>
      </w:r>
      <w:r w:rsidR="006307FD">
        <w:t>de</w:t>
      </w:r>
      <w:r w:rsidR="00D9767D">
        <w:t xml:space="preserve"> </w:t>
      </w:r>
      <w:r w:rsidRPr="006A4ABC">
        <w:t>baas</w:t>
      </w:r>
      <w:r w:rsidR="006307FD">
        <w:t>- ja tipu</w:t>
      </w:r>
      <w:r w:rsidRPr="006A4ABC">
        <w:t xml:space="preserve">koormuse </w:t>
      </w:r>
      <w:r w:rsidR="006D5F65">
        <w:t>keskmi</w:t>
      </w:r>
      <w:r w:rsidR="006307FD">
        <w:t>sed</w:t>
      </w:r>
      <w:r w:rsidR="006D5F65">
        <w:t xml:space="preserve"> hin</w:t>
      </w:r>
      <w:r w:rsidR="006307FD">
        <w:t>na</w:t>
      </w:r>
      <w:r w:rsidR="006D5F65">
        <w:t xml:space="preserve">d </w:t>
      </w:r>
      <w:r w:rsidR="00355F70">
        <w:t xml:space="preserve">2016. aastal </w:t>
      </w:r>
      <w:r w:rsidR="006307FD">
        <w:t>eelmise aastaga võrreldes</w:t>
      </w:r>
      <w:r w:rsidR="00355F70" w:rsidRPr="00355F70">
        <w:t xml:space="preserve"> </w:t>
      </w:r>
      <w:r w:rsidR="00355F70">
        <w:t>langesid</w:t>
      </w:r>
      <w:r w:rsidR="00D9767D">
        <w:t>.</w:t>
      </w:r>
    </w:p>
    <w:p w14:paraId="5CBFD98A" w14:textId="77777777" w:rsidR="006A4ABC" w:rsidRDefault="006A4ABC" w:rsidP="006A4ABC"/>
    <w:tbl>
      <w:tblPr>
        <w:tblStyle w:val="TableGrid"/>
        <w:tblW w:w="0" w:type="auto"/>
        <w:tblLook w:val="04A0" w:firstRow="1" w:lastRow="0" w:firstColumn="1" w:lastColumn="0" w:noHBand="0" w:noVBand="1"/>
      </w:tblPr>
      <w:tblGrid>
        <w:gridCol w:w="2263"/>
        <w:gridCol w:w="1276"/>
        <w:gridCol w:w="1129"/>
      </w:tblGrid>
      <w:tr w:rsidR="006A4ABC" w:rsidRPr="00D231C5" w14:paraId="302B1DCD" w14:textId="77777777" w:rsidTr="00C530A3">
        <w:tc>
          <w:tcPr>
            <w:tcW w:w="2263" w:type="dxa"/>
            <w:vMerge w:val="restart"/>
            <w:shd w:val="clear" w:color="auto" w:fill="007087"/>
            <w:vAlign w:val="center"/>
          </w:tcPr>
          <w:p w14:paraId="47097819" w14:textId="53E59119" w:rsidR="006A4ABC" w:rsidRPr="00D231C5" w:rsidRDefault="006A4ABC" w:rsidP="001F4A66">
            <w:pPr>
              <w:pStyle w:val="NoSpacing"/>
              <w:spacing w:before="60" w:after="60"/>
              <w:jc w:val="left"/>
              <w:rPr>
                <w:b/>
                <w:color w:val="FFFFFF" w:themeColor="background1"/>
                <w:sz w:val="16"/>
                <w:szCs w:val="16"/>
              </w:rPr>
            </w:pPr>
            <w:r>
              <w:rPr>
                <w:b/>
                <w:color w:val="FFFFFF" w:themeColor="background1"/>
                <w:sz w:val="16"/>
                <w:szCs w:val="16"/>
              </w:rPr>
              <w:t>E</w:t>
            </w:r>
            <w:r w:rsidR="00C530A3">
              <w:rPr>
                <w:b/>
                <w:color w:val="FFFFFF" w:themeColor="background1"/>
                <w:sz w:val="16"/>
                <w:szCs w:val="16"/>
              </w:rPr>
              <w:t>uropean Power Exchange (</w:t>
            </w:r>
            <w:r w:rsidR="00C530A3" w:rsidRPr="00C530A3">
              <w:rPr>
                <w:b/>
                <w:color w:val="FFFFFF" w:themeColor="background1"/>
                <w:sz w:val="16"/>
                <w:szCs w:val="16"/>
              </w:rPr>
              <w:t>Base/Peak</w:t>
            </w:r>
            <w:r w:rsidR="00C530A3">
              <w:rPr>
                <w:b/>
                <w:color w:val="FFFFFF" w:themeColor="background1"/>
                <w:sz w:val="16"/>
                <w:szCs w:val="16"/>
              </w:rPr>
              <w:t>)</w:t>
            </w:r>
          </w:p>
        </w:tc>
        <w:tc>
          <w:tcPr>
            <w:tcW w:w="2405" w:type="dxa"/>
            <w:gridSpan w:val="2"/>
            <w:shd w:val="clear" w:color="auto" w:fill="007087"/>
            <w:vAlign w:val="center"/>
          </w:tcPr>
          <w:p w14:paraId="51511F50" w14:textId="77777777" w:rsidR="006A4ABC" w:rsidRPr="00D231C5" w:rsidRDefault="006A4ABC" w:rsidP="001F4A66">
            <w:pPr>
              <w:pStyle w:val="NoSpacing"/>
              <w:spacing w:before="60" w:after="60"/>
              <w:jc w:val="center"/>
              <w:rPr>
                <w:b/>
                <w:color w:val="FFFFFF" w:themeColor="background1"/>
                <w:sz w:val="16"/>
                <w:szCs w:val="16"/>
              </w:rPr>
            </w:pPr>
            <w:r w:rsidRPr="00D231C5">
              <w:rPr>
                <w:b/>
                <w:color w:val="FFFFFF" w:themeColor="background1"/>
                <w:sz w:val="16"/>
                <w:szCs w:val="16"/>
              </w:rPr>
              <w:t>Keskmine hind (€/MWh)</w:t>
            </w:r>
          </w:p>
        </w:tc>
      </w:tr>
      <w:tr w:rsidR="00FF2F50" w:rsidRPr="00D231C5" w14:paraId="7BFC2FF0" w14:textId="77777777" w:rsidTr="00C530A3">
        <w:tc>
          <w:tcPr>
            <w:tcW w:w="2263" w:type="dxa"/>
            <w:vMerge/>
            <w:shd w:val="clear" w:color="auto" w:fill="007087"/>
            <w:vAlign w:val="center"/>
          </w:tcPr>
          <w:p w14:paraId="0122FDDE" w14:textId="77777777" w:rsidR="00FF2F50" w:rsidRPr="00D231C5" w:rsidRDefault="00FF2F50" w:rsidP="00FF2F50">
            <w:pPr>
              <w:pStyle w:val="NoSpacing"/>
              <w:spacing w:before="60" w:after="60"/>
              <w:jc w:val="center"/>
              <w:rPr>
                <w:b/>
                <w:color w:val="FFFFFF" w:themeColor="background1"/>
                <w:sz w:val="16"/>
                <w:szCs w:val="16"/>
              </w:rPr>
            </w:pPr>
          </w:p>
        </w:tc>
        <w:tc>
          <w:tcPr>
            <w:tcW w:w="1276" w:type="dxa"/>
            <w:shd w:val="clear" w:color="auto" w:fill="007087"/>
            <w:vAlign w:val="center"/>
          </w:tcPr>
          <w:p w14:paraId="3671F08F" w14:textId="7365F417" w:rsidR="00FF2F50" w:rsidRPr="00D231C5" w:rsidRDefault="00FF2F50" w:rsidP="00FF2F50">
            <w:pPr>
              <w:pStyle w:val="NoSpacing"/>
              <w:spacing w:before="60" w:after="60"/>
              <w:jc w:val="center"/>
              <w:rPr>
                <w:b/>
                <w:color w:val="FFFFFF" w:themeColor="background1"/>
                <w:sz w:val="16"/>
                <w:szCs w:val="16"/>
              </w:rPr>
            </w:pPr>
            <w:r>
              <w:rPr>
                <w:b/>
                <w:color w:val="FFFFFF" w:themeColor="background1"/>
                <w:sz w:val="16"/>
                <w:szCs w:val="16"/>
              </w:rPr>
              <w:t>2016</w:t>
            </w:r>
          </w:p>
        </w:tc>
        <w:tc>
          <w:tcPr>
            <w:tcW w:w="1129" w:type="dxa"/>
            <w:shd w:val="clear" w:color="auto" w:fill="007087"/>
            <w:vAlign w:val="center"/>
          </w:tcPr>
          <w:p w14:paraId="4C267FA8" w14:textId="3D9659C5" w:rsidR="00FF2F50" w:rsidRPr="00D231C5" w:rsidRDefault="00FF2F50" w:rsidP="00FF2F50">
            <w:pPr>
              <w:pStyle w:val="NoSpacing"/>
              <w:spacing w:before="60" w:after="60"/>
              <w:jc w:val="center"/>
              <w:rPr>
                <w:b/>
                <w:color w:val="FFFFFF" w:themeColor="background1"/>
                <w:sz w:val="16"/>
                <w:szCs w:val="16"/>
              </w:rPr>
            </w:pPr>
            <w:r>
              <w:rPr>
                <w:b/>
                <w:color w:val="FFFFFF" w:themeColor="background1"/>
                <w:sz w:val="16"/>
                <w:szCs w:val="16"/>
              </w:rPr>
              <w:t>2015</w:t>
            </w:r>
          </w:p>
        </w:tc>
      </w:tr>
      <w:tr w:rsidR="00FF2F50" w:rsidRPr="00D231C5" w14:paraId="6AF5B772" w14:textId="77777777" w:rsidTr="00C530A3">
        <w:tc>
          <w:tcPr>
            <w:tcW w:w="2263" w:type="dxa"/>
            <w:vAlign w:val="center"/>
          </w:tcPr>
          <w:p w14:paraId="54C7F814" w14:textId="065C42DF" w:rsidR="00FF2F50" w:rsidRPr="005D3A6D" w:rsidRDefault="00FF2F50" w:rsidP="00FF2F50">
            <w:pPr>
              <w:pStyle w:val="NoSpacing"/>
              <w:spacing w:before="60" w:after="60"/>
              <w:jc w:val="left"/>
              <w:rPr>
                <w:sz w:val="16"/>
                <w:szCs w:val="16"/>
                <w:lang w:val="en-GB"/>
              </w:rPr>
            </w:pPr>
            <w:r w:rsidRPr="005D3A6D">
              <w:rPr>
                <w:sz w:val="16"/>
                <w:szCs w:val="16"/>
                <w:lang w:val="en-GB"/>
              </w:rPr>
              <w:t>ELIX</w:t>
            </w:r>
          </w:p>
        </w:tc>
        <w:tc>
          <w:tcPr>
            <w:tcW w:w="1276" w:type="dxa"/>
            <w:vAlign w:val="center"/>
          </w:tcPr>
          <w:p w14:paraId="1684F2E8" w14:textId="3BFDFB68" w:rsidR="00FF2F50" w:rsidRPr="00D231C5" w:rsidRDefault="00355F70" w:rsidP="00FF2F50">
            <w:pPr>
              <w:pStyle w:val="NoSpacing"/>
              <w:spacing w:before="60" w:after="60"/>
              <w:jc w:val="center"/>
              <w:rPr>
                <w:sz w:val="16"/>
                <w:szCs w:val="16"/>
              </w:rPr>
            </w:pPr>
            <w:r>
              <w:rPr>
                <w:sz w:val="16"/>
                <w:szCs w:val="16"/>
              </w:rPr>
              <w:t>29,83/33,21</w:t>
            </w:r>
          </w:p>
        </w:tc>
        <w:tc>
          <w:tcPr>
            <w:tcW w:w="1129" w:type="dxa"/>
            <w:vAlign w:val="center"/>
          </w:tcPr>
          <w:p w14:paraId="05676761" w14:textId="02DDA82B" w:rsidR="00FF2F50" w:rsidRPr="00D231C5" w:rsidRDefault="00FF2F50" w:rsidP="00FF2F50">
            <w:pPr>
              <w:pStyle w:val="NoSpacing"/>
              <w:spacing w:before="60" w:after="60"/>
              <w:jc w:val="center"/>
              <w:rPr>
                <w:sz w:val="16"/>
                <w:szCs w:val="16"/>
              </w:rPr>
            </w:pPr>
            <w:r>
              <w:rPr>
                <w:sz w:val="16"/>
                <w:szCs w:val="16"/>
              </w:rPr>
              <w:t>32,83/36,49</w:t>
            </w:r>
          </w:p>
        </w:tc>
      </w:tr>
      <w:tr w:rsidR="00FF2F50" w:rsidRPr="00D231C5" w14:paraId="182E785A" w14:textId="77777777" w:rsidTr="00C530A3">
        <w:tc>
          <w:tcPr>
            <w:tcW w:w="2263" w:type="dxa"/>
            <w:vAlign w:val="center"/>
          </w:tcPr>
          <w:p w14:paraId="426E7A1C" w14:textId="52014E35" w:rsidR="00FF2F50" w:rsidRPr="005D3A6D" w:rsidRDefault="00FF2F50" w:rsidP="00FF2F50">
            <w:pPr>
              <w:pStyle w:val="NoSpacing"/>
              <w:spacing w:before="60" w:after="60"/>
              <w:jc w:val="left"/>
              <w:rPr>
                <w:sz w:val="16"/>
                <w:szCs w:val="16"/>
                <w:lang w:val="en-GB"/>
              </w:rPr>
            </w:pPr>
            <w:r w:rsidRPr="006A4ABC">
              <w:rPr>
                <w:sz w:val="16"/>
                <w:szCs w:val="16"/>
                <w:lang w:val="en-GB"/>
              </w:rPr>
              <w:t>PHELIX</w:t>
            </w:r>
          </w:p>
        </w:tc>
        <w:tc>
          <w:tcPr>
            <w:tcW w:w="1276" w:type="dxa"/>
            <w:vAlign w:val="center"/>
          </w:tcPr>
          <w:p w14:paraId="234F503A" w14:textId="6C9668DE" w:rsidR="00FF2F50" w:rsidRDefault="00355F70" w:rsidP="00FF2F50">
            <w:pPr>
              <w:pStyle w:val="NoSpacing"/>
              <w:spacing w:before="60" w:after="60"/>
              <w:jc w:val="center"/>
              <w:rPr>
                <w:sz w:val="16"/>
                <w:szCs w:val="16"/>
              </w:rPr>
            </w:pPr>
            <w:r>
              <w:rPr>
                <w:sz w:val="16"/>
                <w:szCs w:val="16"/>
              </w:rPr>
              <w:t>28,96/32,01</w:t>
            </w:r>
          </w:p>
        </w:tc>
        <w:tc>
          <w:tcPr>
            <w:tcW w:w="1129" w:type="dxa"/>
            <w:vAlign w:val="center"/>
          </w:tcPr>
          <w:p w14:paraId="34C5828F" w14:textId="0C8926CE" w:rsidR="00FF2F50" w:rsidRDefault="00FF2F50" w:rsidP="00FF2F50">
            <w:pPr>
              <w:pStyle w:val="NoSpacing"/>
              <w:spacing w:before="60" w:after="60"/>
              <w:jc w:val="center"/>
              <w:rPr>
                <w:sz w:val="16"/>
                <w:szCs w:val="16"/>
              </w:rPr>
            </w:pPr>
            <w:r>
              <w:rPr>
                <w:sz w:val="16"/>
                <w:szCs w:val="16"/>
              </w:rPr>
              <w:t>31,82/35,26</w:t>
            </w:r>
          </w:p>
        </w:tc>
      </w:tr>
      <w:tr w:rsidR="00FF2F50" w:rsidRPr="00D231C5" w14:paraId="2ECCFDEB" w14:textId="77777777" w:rsidTr="00C530A3">
        <w:tc>
          <w:tcPr>
            <w:tcW w:w="2263" w:type="dxa"/>
            <w:vAlign w:val="center"/>
          </w:tcPr>
          <w:p w14:paraId="5F718B55" w14:textId="0B52732B" w:rsidR="00FF2F50" w:rsidRPr="006A4ABC" w:rsidRDefault="00FF2F50" w:rsidP="00FF2F50">
            <w:pPr>
              <w:pStyle w:val="NoSpacing"/>
              <w:spacing w:before="60" w:after="60"/>
              <w:jc w:val="left"/>
              <w:rPr>
                <w:sz w:val="16"/>
                <w:szCs w:val="16"/>
                <w:lang w:val="en-GB"/>
              </w:rPr>
            </w:pPr>
            <w:r>
              <w:rPr>
                <w:sz w:val="16"/>
                <w:szCs w:val="16"/>
                <w:lang w:val="en-GB"/>
              </w:rPr>
              <w:t>France</w:t>
            </w:r>
            <w:r w:rsidR="00C530A3">
              <w:rPr>
                <w:sz w:val="16"/>
                <w:szCs w:val="16"/>
                <w:lang w:val="en-GB"/>
              </w:rPr>
              <w:t xml:space="preserve"> Base/Peak</w:t>
            </w:r>
          </w:p>
        </w:tc>
        <w:tc>
          <w:tcPr>
            <w:tcW w:w="1276" w:type="dxa"/>
            <w:vAlign w:val="center"/>
          </w:tcPr>
          <w:p w14:paraId="21FB2934" w14:textId="2102137D" w:rsidR="00FF2F50" w:rsidRDefault="00355F70" w:rsidP="00FF2F50">
            <w:pPr>
              <w:pStyle w:val="NoSpacing"/>
              <w:spacing w:before="60" w:after="60"/>
              <w:jc w:val="center"/>
              <w:rPr>
                <w:sz w:val="16"/>
                <w:szCs w:val="16"/>
              </w:rPr>
            </w:pPr>
            <w:r>
              <w:rPr>
                <w:sz w:val="16"/>
                <w:szCs w:val="16"/>
              </w:rPr>
              <w:t>36,75/40,82</w:t>
            </w:r>
          </w:p>
        </w:tc>
        <w:tc>
          <w:tcPr>
            <w:tcW w:w="1129" w:type="dxa"/>
            <w:vAlign w:val="center"/>
          </w:tcPr>
          <w:p w14:paraId="3B6863E4" w14:textId="04A274A0" w:rsidR="00FF2F50" w:rsidRPr="006A4ABC" w:rsidRDefault="00FF2F50" w:rsidP="00FF2F50">
            <w:pPr>
              <w:pStyle w:val="NoSpacing"/>
              <w:spacing w:before="60" w:after="60"/>
              <w:jc w:val="center"/>
              <w:rPr>
                <w:sz w:val="16"/>
                <w:szCs w:val="16"/>
              </w:rPr>
            </w:pPr>
            <w:r>
              <w:rPr>
                <w:sz w:val="16"/>
                <w:szCs w:val="16"/>
              </w:rPr>
              <w:t>38,30/42,04</w:t>
            </w:r>
          </w:p>
        </w:tc>
      </w:tr>
    </w:tbl>
    <w:p w14:paraId="6F8B8DFE" w14:textId="77777777" w:rsidR="006A4ABC" w:rsidRDefault="006A4ABC" w:rsidP="006A4ABC"/>
    <w:p w14:paraId="4D09BA8D" w14:textId="7FABADA7" w:rsidR="001671F8" w:rsidRDefault="006165B8" w:rsidP="0022344D">
      <w:r>
        <w:rPr>
          <w:rStyle w:val="SubtleEmphasis"/>
          <w:noProof/>
        </w:rPr>
        <w:drawing>
          <wp:inline distT="0" distB="0" distL="0" distR="0" wp14:anchorId="618E989F" wp14:editId="77F0B2B1">
            <wp:extent cx="2969260" cy="17887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9260" cy="1788795"/>
                    </a:xfrm>
                    <a:prstGeom prst="rect">
                      <a:avLst/>
                    </a:prstGeom>
                    <a:noFill/>
                    <a:ln>
                      <a:noFill/>
                    </a:ln>
                  </pic:spPr>
                </pic:pic>
              </a:graphicData>
            </a:graphic>
          </wp:inline>
        </w:drawing>
      </w:r>
      <w:r w:rsidR="001671F8" w:rsidRPr="00A04C61">
        <w:rPr>
          <w:rStyle w:val="SubtleEmphasis"/>
        </w:rPr>
        <w:t>NP E</w:t>
      </w:r>
      <w:r w:rsidR="001671F8">
        <w:rPr>
          <w:rStyle w:val="SubtleEmphasis"/>
        </w:rPr>
        <w:t>esti hinnapiirkonna tunnihinnad 201</w:t>
      </w:r>
      <w:r>
        <w:rPr>
          <w:rStyle w:val="SubtleEmphasis"/>
        </w:rPr>
        <w:t>6</w:t>
      </w:r>
      <w:r w:rsidR="001671F8">
        <w:rPr>
          <w:rStyle w:val="SubtleEmphasis"/>
        </w:rPr>
        <w:t>. aastal</w:t>
      </w:r>
    </w:p>
    <w:p w14:paraId="09468BCB" w14:textId="77777777" w:rsidR="001671F8" w:rsidRDefault="001671F8" w:rsidP="0022344D"/>
    <w:p w14:paraId="3CCD5BE7" w14:textId="04C95233" w:rsidR="001671F8" w:rsidRDefault="006165B8" w:rsidP="0022344D">
      <w:r>
        <w:t>NP</w:t>
      </w:r>
      <w:r w:rsidR="001671F8" w:rsidRPr="001671F8">
        <w:t xml:space="preserve"> Eesti hinnapiirkonna hind oli </w:t>
      </w:r>
      <w:r w:rsidR="002E5DF5">
        <w:t>terve aasta kokkuvõttes</w:t>
      </w:r>
      <w:r w:rsidR="001671F8" w:rsidRPr="001671F8">
        <w:t xml:space="preserve"> süsteemihinnast keskmiselt </w:t>
      </w:r>
      <w:r w:rsidR="002E5DF5">
        <w:t>6</w:t>
      </w:r>
      <w:r w:rsidR="00C2350A">
        <w:t>,1</w:t>
      </w:r>
      <w:r w:rsidR="002E5DF5">
        <w:t>5</w:t>
      </w:r>
      <w:r w:rsidR="001671F8" w:rsidRPr="001671F8">
        <w:t xml:space="preserve"> eurot </w:t>
      </w:r>
      <w:r w:rsidR="00C2350A">
        <w:t>megavatt-tunni kohta</w:t>
      </w:r>
      <w:r w:rsidR="00CD31CB">
        <w:t xml:space="preserve"> </w:t>
      </w:r>
      <w:r w:rsidR="00CD31CB" w:rsidRPr="00CD31CB">
        <w:t>kallim</w:t>
      </w:r>
      <w:r w:rsidR="002E5DF5">
        <w:t>. H</w:t>
      </w:r>
      <w:r w:rsidR="00C2350A">
        <w:t xml:space="preserve">innavahe on </w:t>
      </w:r>
      <w:r>
        <w:t>väiksem</w:t>
      </w:r>
      <w:r w:rsidR="00C2350A">
        <w:t xml:space="preserve"> kui 201</w:t>
      </w:r>
      <w:r>
        <w:t>5</w:t>
      </w:r>
      <w:r w:rsidR="00C2350A">
        <w:t xml:space="preserve">. aastal, mil see oli </w:t>
      </w:r>
      <w:r>
        <w:t>10,1</w:t>
      </w:r>
      <w:r w:rsidR="00C2350A">
        <w:t xml:space="preserve"> €/MWh</w:t>
      </w:r>
      <w:r w:rsidR="002E5DF5">
        <w:t>.</w:t>
      </w:r>
    </w:p>
    <w:p w14:paraId="19E51DB3" w14:textId="77777777" w:rsidR="00AA2491" w:rsidRDefault="00AA2491" w:rsidP="0022344D"/>
    <w:p w14:paraId="05B12D07" w14:textId="23382BFD" w:rsidR="00AA2491" w:rsidRDefault="002E5DF5" w:rsidP="0022344D">
      <w:r>
        <w:rPr>
          <w:noProof/>
        </w:rPr>
        <w:drawing>
          <wp:inline distT="0" distB="0" distL="0" distR="0" wp14:anchorId="5AF80516" wp14:editId="31D71472">
            <wp:extent cx="2969260" cy="176339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9260" cy="1763395"/>
                    </a:xfrm>
                    <a:prstGeom prst="rect">
                      <a:avLst/>
                    </a:prstGeom>
                    <a:noFill/>
                    <a:ln>
                      <a:noFill/>
                    </a:ln>
                  </pic:spPr>
                </pic:pic>
              </a:graphicData>
            </a:graphic>
          </wp:inline>
        </w:drawing>
      </w:r>
    </w:p>
    <w:p w14:paraId="680F551B" w14:textId="6EEF4081" w:rsidR="00AA2491" w:rsidRDefault="002E5DF5" w:rsidP="0022344D">
      <w:r>
        <w:rPr>
          <w:rStyle w:val="SubtleEmphasis"/>
        </w:rPr>
        <w:t>Kuu keskmine hind 2016</w:t>
      </w:r>
      <w:r w:rsidR="00384C3D">
        <w:rPr>
          <w:rStyle w:val="SubtleEmphasis"/>
        </w:rPr>
        <w:t>. aastal</w:t>
      </w:r>
    </w:p>
    <w:p w14:paraId="6190864E" w14:textId="77777777" w:rsidR="00557BFF" w:rsidRDefault="00557BFF" w:rsidP="0022344D"/>
    <w:p w14:paraId="4F36E345" w14:textId="4F2C16C3" w:rsidR="002E5DF5" w:rsidRDefault="002E5DF5" w:rsidP="0022344D">
      <w:r>
        <w:t>NP Eesti hinnapiirkonna järgmise päeva tunnihinnad olid aasta vältel stabiilsed: hinnad olid 65% tundidest alla 35 €/MWh.</w:t>
      </w:r>
    </w:p>
    <w:p w14:paraId="4AE506E4" w14:textId="77777777" w:rsidR="00AA2491" w:rsidRDefault="00AA2491" w:rsidP="0022344D"/>
    <w:tbl>
      <w:tblPr>
        <w:tblStyle w:val="TableGrid"/>
        <w:tblW w:w="0" w:type="auto"/>
        <w:tblLayout w:type="fixed"/>
        <w:tblLook w:val="04A0" w:firstRow="1" w:lastRow="0" w:firstColumn="1" w:lastColumn="0" w:noHBand="0" w:noVBand="1"/>
      </w:tblPr>
      <w:tblGrid>
        <w:gridCol w:w="1271"/>
        <w:gridCol w:w="992"/>
        <w:gridCol w:w="709"/>
        <w:gridCol w:w="709"/>
        <w:gridCol w:w="987"/>
      </w:tblGrid>
      <w:tr w:rsidR="005C448E" w:rsidRPr="00D231C5" w14:paraId="08E09347" w14:textId="77777777" w:rsidTr="005C448E">
        <w:tc>
          <w:tcPr>
            <w:tcW w:w="1271" w:type="dxa"/>
            <w:vMerge w:val="restart"/>
            <w:shd w:val="clear" w:color="auto" w:fill="007087"/>
            <w:vAlign w:val="center"/>
          </w:tcPr>
          <w:p w14:paraId="6DAD42EE" w14:textId="14DEF022" w:rsidR="005C448E" w:rsidRPr="00D231C5" w:rsidRDefault="005C448E" w:rsidP="001F4A66">
            <w:pPr>
              <w:pStyle w:val="NoSpacing"/>
              <w:spacing w:before="60" w:after="60"/>
              <w:jc w:val="center"/>
              <w:rPr>
                <w:b/>
                <w:color w:val="FFFFFF" w:themeColor="background1"/>
                <w:sz w:val="16"/>
                <w:szCs w:val="16"/>
              </w:rPr>
            </w:pPr>
            <w:r>
              <w:rPr>
                <w:b/>
                <w:color w:val="FFFFFF" w:themeColor="background1"/>
                <w:sz w:val="16"/>
                <w:szCs w:val="16"/>
              </w:rPr>
              <w:t>€/MWh</w:t>
            </w:r>
          </w:p>
        </w:tc>
        <w:tc>
          <w:tcPr>
            <w:tcW w:w="2410" w:type="dxa"/>
            <w:gridSpan w:val="3"/>
            <w:shd w:val="clear" w:color="auto" w:fill="007087"/>
            <w:vAlign w:val="center"/>
          </w:tcPr>
          <w:p w14:paraId="79D5BF4C" w14:textId="2F843E50" w:rsidR="005C448E" w:rsidRPr="00D231C5" w:rsidRDefault="005C448E" w:rsidP="005C448E">
            <w:pPr>
              <w:pStyle w:val="NoSpacing"/>
              <w:spacing w:before="60" w:after="60"/>
              <w:jc w:val="center"/>
              <w:rPr>
                <w:b/>
                <w:color w:val="FFFFFF" w:themeColor="background1"/>
                <w:sz w:val="16"/>
                <w:szCs w:val="16"/>
              </w:rPr>
            </w:pPr>
            <w:r>
              <w:rPr>
                <w:b/>
                <w:color w:val="FFFFFF" w:themeColor="background1"/>
                <w:sz w:val="16"/>
                <w:szCs w:val="16"/>
              </w:rPr>
              <w:t>201</w:t>
            </w:r>
            <w:r w:rsidR="00557BFF">
              <w:rPr>
                <w:b/>
                <w:color w:val="FFFFFF" w:themeColor="background1"/>
                <w:sz w:val="16"/>
                <w:szCs w:val="16"/>
              </w:rPr>
              <w:t>6</w:t>
            </w:r>
            <w:r>
              <w:rPr>
                <w:b/>
                <w:color w:val="FFFFFF" w:themeColor="background1"/>
                <w:sz w:val="16"/>
                <w:szCs w:val="16"/>
              </w:rPr>
              <w:t xml:space="preserve"> hind</w:t>
            </w:r>
          </w:p>
        </w:tc>
        <w:tc>
          <w:tcPr>
            <w:tcW w:w="987" w:type="dxa"/>
            <w:shd w:val="clear" w:color="auto" w:fill="007087"/>
          </w:tcPr>
          <w:p w14:paraId="1818C23E" w14:textId="6B8D0D95" w:rsidR="005C448E" w:rsidRPr="00D231C5" w:rsidRDefault="005C448E" w:rsidP="005C448E">
            <w:pPr>
              <w:pStyle w:val="NoSpacing"/>
              <w:spacing w:before="60" w:after="60"/>
              <w:jc w:val="center"/>
              <w:rPr>
                <w:b/>
                <w:color w:val="FFFFFF" w:themeColor="background1"/>
                <w:sz w:val="16"/>
                <w:szCs w:val="16"/>
              </w:rPr>
            </w:pPr>
            <w:r>
              <w:rPr>
                <w:b/>
                <w:color w:val="FFFFFF" w:themeColor="background1"/>
                <w:sz w:val="16"/>
                <w:szCs w:val="16"/>
              </w:rPr>
              <w:t>201</w:t>
            </w:r>
            <w:r w:rsidR="00BE22C9">
              <w:rPr>
                <w:b/>
                <w:color w:val="FFFFFF" w:themeColor="background1"/>
                <w:sz w:val="16"/>
                <w:szCs w:val="16"/>
              </w:rPr>
              <w:t>5</w:t>
            </w:r>
            <w:r>
              <w:rPr>
                <w:b/>
                <w:color w:val="FFFFFF" w:themeColor="background1"/>
                <w:sz w:val="16"/>
                <w:szCs w:val="16"/>
              </w:rPr>
              <w:t xml:space="preserve"> hind</w:t>
            </w:r>
          </w:p>
        </w:tc>
      </w:tr>
      <w:tr w:rsidR="005C448E" w:rsidRPr="00D231C5" w14:paraId="415432FF" w14:textId="77777777" w:rsidTr="005C448E">
        <w:tc>
          <w:tcPr>
            <w:tcW w:w="1271" w:type="dxa"/>
            <w:vMerge/>
            <w:shd w:val="clear" w:color="auto" w:fill="007087"/>
            <w:vAlign w:val="center"/>
          </w:tcPr>
          <w:p w14:paraId="4D398CE6" w14:textId="77777777" w:rsidR="005C448E" w:rsidRPr="00D231C5" w:rsidRDefault="005C448E" w:rsidP="001F4A66">
            <w:pPr>
              <w:pStyle w:val="NoSpacing"/>
              <w:spacing w:before="60" w:after="60"/>
              <w:jc w:val="center"/>
              <w:rPr>
                <w:b/>
                <w:color w:val="FFFFFF" w:themeColor="background1"/>
                <w:sz w:val="16"/>
                <w:szCs w:val="16"/>
              </w:rPr>
            </w:pPr>
          </w:p>
        </w:tc>
        <w:tc>
          <w:tcPr>
            <w:tcW w:w="992" w:type="dxa"/>
            <w:shd w:val="clear" w:color="auto" w:fill="007087"/>
            <w:vAlign w:val="center"/>
          </w:tcPr>
          <w:p w14:paraId="33DF4213" w14:textId="0E8EEC41" w:rsidR="005C448E" w:rsidRDefault="005C448E" w:rsidP="005C448E">
            <w:pPr>
              <w:pStyle w:val="NoSpacing"/>
              <w:spacing w:before="60" w:after="60"/>
              <w:jc w:val="center"/>
              <w:rPr>
                <w:b/>
                <w:color w:val="FFFFFF" w:themeColor="background1"/>
                <w:sz w:val="16"/>
                <w:szCs w:val="16"/>
              </w:rPr>
            </w:pPr>
            <w:r>
              <w:rPr>
                <w:b/>
                <w:color w:val="FFFFFF" w:themeColor="background1"/>
                <w:sz w:val="16"/>
                <w:szCs w:val="16"/>
              </w:rPr>
              <w:t>Keskmine</w:t>
            </w:r>
          </w:p>
        </w:tc>
        <w:tc>
          <w:tcPr>
            <w:tcW w:w="709" w:type="dxa"/>
            <w:shd w:val="clear" w:color="auto" w:fill="007087"/>
          </w:tcPr>
          <w:p w14:paraId="16F6A9AC" w14:textId="4CDE039F" w:rsidR="005C448E" w:rsidRDefault="005C448E" w:rsidP="005C448E">
            <w:pPr>
              <w:pStyle w:val="NoSpacing"/>
              <w:spacing w:before="60" w:after="60"/>
              <w:jc w:val="center"/>
              <w:rPr>
                <w:b/>
                <w:color w:val="FFFFFF" w:themeColor="background1"/>
                <w:sz w:val="16"/>
                <w:szCs w:val="16"/>
              </w:rPr>
            </w:pPr>
            <w:r>
              <w:rPr>
                <w:b/>
                <w:color w:val="FFFFFF" w:themeColor="background1"/>
                <w:sz w:val="16"/>
                <w:szCs w:val="16"/>
              </w:rPr>
              <w:t>Max</w:t>
            </w:r>
          </w:p>
        </w:tc>
        <w:tc>
          <w:tcPr>
            <w:tcW w:w="709" w:type="dxa"/>
            <w:shd w:val="clear" w:color="auto" w:fill="007087"/>
            <w:vAlign w:val="center"/>
          </w:tcPr>
          <w:p w14:paraId="0FD7EC00" w14:textId="6B5B1AB5" w:rsidR="005C448E" w:rsidRDefault="005C448E" w:rsidP="005C448E">
            <w:pPr>
              <w:pStyle w:val="NoSpacing"/>
              <w:spacing w:before="60" w:after="60"/>
              <w:jc w:val="center"/>
              <w:rPr>
                <w:b/>
                <w:color w:val="FFFFFF" w:themeColor="background1"/>
                <w:sz w:val="16"/>
                <w:szCs w:val="16"/>
              </w:rPr>
            </w:pPr>
            <w:r>
              <w:rPr>
                <w:b/>
                <w:color w:val="FFFFFF" w:themeColor="background1"/>
                <w:sz w:val="16"/>
                <w:szCs w:val="16"/>
              </w:rPr>
              <w:t>Min</w:t>
            </w:r>
          </w:p>
        </w:tc>
        <w:tc>
          <w:tcPr>
            <w:tcW w:w="987" w:type="dxa"/>
            <w:shd w:val="clear" w:color="auto" w:fill="007087"/>
          </w:tcPr>
          <w:p w14:paraId="69857E89" w14:textId="5C2A2303" w:rsidR="005C448E" w:rsidRDefault="005C448E" w:rsidP="005C448E">
            <w:pPr>
              <w:pStyle w:val="NoSpacing"/>
              <w:spacing w:before="60" w:after="60"/>
              <w:jc w:val="center"/>
              <w:rPr>
                <w:b/>
                <w:color w:val="FFFFFF" w:themeColor="background1"/>
                <w:sz w:val="16"/>
                <w:szCs w:val="16"/>
              </w:rPr>
            </w:pPr>
            <w:r>
              <w:rPr>
                <w:b/>
                <w:color w:val="FFFFFF" w:themeColor="background1"/>
                <w:sz w:val="16"/>
                <w:szCs w:val="16"/>
              </w:rPr>
              <w:t>Keskmine</w:t>
            </w:r>
          </w:p>
        </w:tc>
      </w:tr>
      <w:tr w:rsidR="005C448E" w:rsidRPr="00D231C5" w14:paraId="6EB22F05" w14:textId="77777777" w:rsidTr="005C448E">
        <w:tc>
          <w:tcPr>
            <w:tcW w:w="1271" w:type="dxa"/>
            <w:vAlign w:val="center"/>
          </w:tcPr>
          <w:p w14:paraId="2A7EBA99" w14:textId="7800ACBD" w:rsidR="005C448E" w:rsidRPr="00D231C5" w:rsidRDefault="008C6DDB" w:rsidP="001F4A66">
            <w:pPr>
              <w:pStyle w:val="NoSpacing"/>
              <w:spacing w:before="60" w:after="60"/>
              <w:jc w:val="left"/>
              <w:rPr>
                <w:sz w:val="16"/>
                <w:szCs w:val="16"/>
              </w:rPr>
            </w:pPr>
            <w:r>
              <w:rPr>
                <w:sz w:val="16"/>
                <w:szCs w:val="16"/>
              </w:rPr>
              <w:t>NP</w:t>
            </w:r>
            <w:r w:rsidR="005C448E">
              <w:rPr>
                <w:sz w:val="16"/>
                <w:szCs w:val="16"/>
              </w:rPr>
              <w:t xml:space="preserve"> Süsteem</w:t>
            </w:r>
          </w:p>
        </w:tc>
        <w:tc>
          <w:tcPr>
            <w:tcW w:w="992" w:type="dxa"/>
            <w:vAlign w:val="center"/>
          </w:tcPr>
          <w:p w14:paraId="5AC95513" w14:textId="01ED4AC3" w:rsidR="005C448E" w:rsidRPr="00D231C5" w:rsidRDefault="00BE22C9" w:rsidP="001F4A66">
            <w:pPr>
              <w:pStyle w:val="NoSpacing"/>
              <w:spacing w:before="60" w:after="60"/>
              <w:jc w:val="center"/>
              <w:rPr>
                <w:sz w:val="16"/>
                <w:szCs w:val="16"/>
              </w:rPr>
            </w:pPr>
            <w:r>
              <w:rPr>
                <w:sz w:val="16"/>
                <w:szCs w:val="16"/>
              </w:rPr>
              <w:t>26,91</w:t>
            </w:r>
          </w:p>
        </w:tc>
        <w:tc>
          <w:tcPr>
            <w:tcW w:w="709" w:type="dxa"/>
          </w:tcPr>
          <w:p w14:paraId="357849F4" w14:textId="4636252D" w:rsidR="005C448E" w:rsidRDefault="00BE22C9" w:rsidP="001F4A66">
            <w:pPr>
              <w:pStyle w:val="NoSpacing"/>
              <w:spacing w:before="60" w:after="60"/>
              <w:jc w:val="center"/>
              <w:rPr>
                <w:sz w:val="16"/>
                <w:szCs w:val="16"/>
              </w:rPr>
            </w:pPr>
            <w:r>
              <w:rPr>
                <w:sz w:val="16"/>
                <w:szCs w:val="16"/>
              </w:rPr>
              <w:t>199,97</w:t>
            </w:r>
          </w:p>
        </w:tc>
        <w:tc>
          <w:tcPr>
            <w:tcW w:w="709" w:type="dxa"/>
            <w:vAlign w:val="center"/>
          </w:tcPr>
          <w:p w14:paraId="78D19D67" w14:textId="6F73A2DE" w:rsidR="005C448E" w:rsidRPr="00D231C5" w:rsidRDefault="00BE22C9" w:rsidP="001F4A66">
            <w:pPr>
              <w:pStyle w:val="NoSpacing"/>
              <w:spacing w:before="60" w:after="60"/>
              <w:jc w:val="center"/>
              <w:rPr>
                <w:sz w:val="16"/>
                <w:szCs w:val="16"/>
              </w:rPr>
            </w:pPr>
            <w:r>
              <w:rPr>
                <w:sz w:val="16"/>
                <w:szCs w:val="16"/>
              </w:rPr>
              <w:t>7,45</w:t>
            </w:r>
          </w:p>
        </w:tc>
        <w:tc>
          <w:tcPr>
            <w:tcW w:w="987" w:type="dxa"/>
            <w:vAlign w:val="center"/>
          </w:tcPr>
          <w:p w14:paraId="1C908104" w14:textId="0F66C7B8" w:rsidR="005C448E" w:rsidRPr="00D231C5" w:rsidRDefault="00BE22C9" w:rsidP="001F4A66">
            <w:pPr>
              <w:pStyle w:val="NoSpacing"/>
              <w:spacing w:before="60" w:after="60"/>
              <w:jc w:val="center"/>
              <w:rPr>
                <w:sz w:val="16"/>
                <w:szCs w:val="16"/>
              </w:rPr>
            </w:pPr>
            <w:r>
              <w:rPr>
                <w:sz w:val="16"/>
                <w:szCs w:val="16"/>
              </w:rPr>
              <w:t>20,98</w:t>
            </w:r>
          </w:p>
        </w:tc>
      </w:tr>
      <w:tr w:rsidR="005C448E" w:rsidRPr="00D231C5" w14:paraId="5E9E0B63" w14:textId="77777777" w:rsidTr="005C448E">
        <w:tc>
          <w:tcPr>
            <w:tcW w:w="1271" w:type="dxa"/>
            <w:vAlign w:val="center"/>
          </w:tcPr>
          <w:p w14:paraId="44C2D857" w14:textId="55BF907A" w:rsidR="005C448E" w:rsidRPr="00D231C5" w:rsidRDefault="005C448E" w:rsidP="001F4A66">
            <w:pPr>
              <w:pStyle w:val="NoSpacing"/>
              <w:spacing w:before="60" w:after="60"/>
              <w:jc w:val="left"/>
              <w:rPr>
                <w:sz w:val="16"/>
                <w:szCs w:val="16"/>
              </w:rPr>
            </w:pPr>
            <w:r>
              <w:rPr>
                <w:sz w:val="16"/>
                <w:szCs w:val="16"/>
              </w:rPr>
              <w:t>NP Soome</w:t>
            </w:r>
          </w:p>
        </w:tc>
        <w:tc>
          <w:tcPr>
            <w:tcW w:w="992" w:type="dxa"/>
            <w:vAlign w:val="center"/>
          </w:tcPr>
          <w:p w14:paraId="01F24F76" w14:textId="7EC631E7" w:rsidR="005C448E" w:rsidRPr="00D231C5" w:rsidRDefault="00BE22C9" w:rsidP="001F4A66">
            <w:pPr>
              <w:pStyle w:val="NoSpacing"/>
              <w:spacing w:before="60" w:after="60"/>
              <w:jc w:val="center"/>
              <w:rPr>
                <w:sz w:val="16"/>
                <w:szCs w:val="16"/>
              </w:rPr>
            </w:pPr>
            <w:r>
              <w:rPr>
                <w:sz w:val="16"/>
                <w:szCs w:val="16"/>
              </w:rPr>
              <w:t>32,45</w:t>
            </w:r>
          </w:p>
        </w:tc>
        <w:tc>
          <w:tcPr>
            <w:tcW w:w="709" w:type="dxa"/>
          </w:tcPr>
          <w:p w14:paraId="12A0ADCC" w14:textId="7F6B3F5F" w:rsidR="005C448E" w:rsidRDefault="00BE22C9" w:rsidP="001F4A66">
            <w:pPr>
              <w:pStyle w:val="NoSpacing"/>
              <w:spacing w:before="60" w:after="60"/>
              <w:jc w:val="center"/>
              <w:rPr>
                <w:sz w:val="16"/>
                <w:szCs w:val="16"/>
              </w:rPr>
            </w:pPr>
            <w:r>
              <w:rPr>
                <w:sz w:val="16"/>
                <w:szCs w:val="16"/>
              </w:rPr>
              <w:t>214,25</w:t>
            </w:r>
          </w:p>
        </w:tc>
        <w:tc>
          <w:tcPr>
            <w:tcW w:w="709" w:type="dxa"/>
            <w:vAlign w:val="center"/>
          </w:tcPr>
          <w:p w14:paraId="47DF0AC7" w14:textId="110C3D6A" w:rsidR="005C448E" w:rsidRPr="00D231C5" w:rsidRDefault="00BE22C9" w:rsidP="001F4A66">
            <w:pPr>
              <w:pStyle w:val="NoSpacing"/>
              <w:spacing w:before="60" w:after="60"/>
              <w:jc w:val="center"/>
              <w:rPr>
                <w:sz w:val="16"/>
                <w:szCs w:val="16"/>
              </w:rPr>
            </w:pPr>
            <w:r>
              <w:rPr>
                <w:sz w:val="16"/>
                <w:szCs w:val="16"/>
              </w:rPr>
              <w:t>4,02</w:t>
            </w:r>
          </w:p>
        </w:tc>
        <w:tc>
          <w:tcPr>
            <w:tcW w:w="987" w:type="dxa"/>
            <w:vAlign w:val="center"/>
          </w:tcPr>
          <w:p w14:paraId="52AD54E1" w14:textId="7593482E" w:rsidR="005C448E" w:rsidRPr="00D231C5" w:rsidRDefault="00BE22C9" w:rsidP="001F4A66">
            <w:pPr>
              <w:pStyle w:val="NoSpacing"/>
              <w:spacing w:before="60" w:after="60"/>
              <w:jc w:val="center"/>
              <w:rPr>
                <w:sz w:val="16"/>
                <w:szCs w:val="16"/>
              </w:rPr>
            </w:pPr>
            <w:r>
              <w:rPr>
                <w:sz w:val="16"/>
                <w:szCs w:val="16"/>
              </w:rPr>
              <w:t>29,66</w:t>
            </w:r>
          </w:p>
        </w:tc>
      </w:tr>
      <w:tr w:rsidR="005C448E" w:rsidRPr="00D231C5" w14:paraId="44197DA3" w14:textId="77777777" w:rsidTr="005C448E">
        <w:tc>
          <w:tcPr>
            <w:tcW w:w="1271" w:type="dxa"/>
            <w:vAlign w:val="center"/>
          </w:tcPr>
          <w:p w14:paraId="7027B206" w14:textId="382D49D8" w:rsidR="005C448E" w:rsidRPr="00D231C5" w:rsidRDefault="005C448E" w:rsidP="001F4A66">
            <w:pPr>
              <w:pStyle w:val="NoSpacing"/>
              <w:spacing w:before="60" w:after="60"/>
              <w:jc w:val="left"/>
              <w:rPr>
                <w:sz w:val="16"/>
                <w:szCs w:val="16"/>
              </w:rPr>
            </w:pPr>
            <w:r>
              <w:rPr>
                <w:sz w:val="16"/>
                <w:szCs w:val="16"/>
              </w:rPr>
              <w:t>NP Eesti</w:t>
            </w:r>
          </w:p>
        </w:tc>
        <w:tc>
          <w:tcPr>
            <w:tcW w:w="992" w:type="dxa"/>
            <w:vAlign w:val="center"/>
          </w:tcPr>
          <w:p w14:paraId="3DE580F2" w14:textId="3C1FDF37" w:rsidR="005C448E" w:rsidRPr="00D231C5" w:rsidRDefault="00557BFF" w:rsidP="001F4A66">
            <w:pPr>
              <w:pStyle w:val="NoSpacing"/>
              <w:spacing w:before="60" w:after="60"/>
              <w:jc w:val="center"/>
              <w:rPr>
                <w:sz w:val="16"/>
                <w:szCs w:val="16"/>
              </w:rPr>
            </w:pPr>
            <w:r>
              <w:rPr>
                <w:sz w:val="16"/>
                <w:szCs w:val="16"/>
              </w:rPr>
              <w:t>33,06</w:t>
            </w:r>
          </w:p>
        </w:tc>
        <w:tc>
          <w:tcPr>
            <w:tcW w:w="709" w:type="dxa"/>
          </w:tcPr>
          <w:p w14:paraId="3B1979B9" w14:textId="48B3875C" w:rsidR="005C448E" w:rsidRDefault="00557BFF" w:rsidP="001F4A66">
            <w:pPr>
              <w:pStyle w:val="NoSpacing"/>
              <w:spacing w:before="60" w:after="60"/>
              <w:jc w:val="center"/>
              <w:rPr>
                <w:sz w:val="16"/>
                <w:szCs w:val="16"/>
              </w:rPr>
            </w:pPr>
            <w:r>
              <w:rPr>
                <w:sz w:val="16"/>
                <w:szCs w:val="16"/>
              </w:rPr>
              <w:t>200,06</w:t>
            </w:r>
          </w:p>
        </w:tc>
        <w:tc>
          <w:tcPr>
            <w:tcW w:w="709" w:type="dxa"/>
            <w:vAlign w:val="center"/>
          </w:tcPr>
          <w:p w14:paraId="2890ABFE" w14:textId="4C7F5916" w:rsidR="005C448E" w:rsidRPr="00D231C5" w:rsidRDefault="00557BFF" w:rsidP="001F4A66">
            <w:pPr>
              <w:pStyle w:val="NoSpacing"/>
              <w:spacing w:before="60" w:after="60"/>
              <w:jc w:val="center"/>
              <w:rPr>
                <w:sz w:val="16"/>
                <w:szCs w:val="16"/>
              </w:rPr>
            </w:pPr>
            <w:r>
              <w:rPr>
                <w:sz w:val="16"/>
                <w:szCs w:val="16"/>
              </w:rPr>
              <w:t>4,02</w:t>
            </w:r>
          </w:p>
        </w:tc>
        <w:tc>
          <w:tcPr>
            <w:tcW w:w="987" w:type="dxa"/>
            <w:vAlign w:val="center"/>
          </w:tcPr>
          <w:p w14:paraId="5122EE36" w14:textId="763A5D6F" w:rsidR="005C448E" w:rsidRPr="00D231C5" w:rsidRDefault="00BE22C9" w:rsidP="001F4A66">
            <w:pPr>
              <w:pStyle w:val="NoSpacing"/>
              <w:spacing w:before="60" w:after="60"/>
              <w:jc w:val="center"/>
              <w:rPr>
                <w:sz w:val="16"/>
                <w:szCs w:val="16"/>
              </w:rPr>
            </w:pPr>
            <w:r>
              <w:rPr>
                <w:sz w:val="16"/>
                <w:szCs w:val="16"/>
              </w:rPr>
              <w:t>31,08</w:t>
            </w:r>
          </w:p>
        </w:tc>
      </w:tr>
      <w:tr w:rsidR="005C448E" w:rsidRPr="00D231C5" w14:paraId="4D9E04A1" w14:textId="77777777" w:rsidTr="005C448E">
        <w:tc>
          <w:tcPr>
            <w:tcW w:w="1271" w:type="dxa"/>
            <w:vAlign w:val="center"/>
          </w:tcPr>
          <w:p w14:paraId="20F59EE6" w14:textId="620017BD" w:rsidR="005C448E" w:rsidRDefault="005C448E" w:rsidP="001F4A66">
            <w:pPr>
              <w:pStyle w:val="NoSpacing"/>
              <w:spacing w:before="60" w:after="60"/>
              <w:jc w:val="left"/>
              <w:rPr>
                <w:sz w:val="16"/>
                <w:szCs w:val="16"/>
              </w:rPr>
            </w:pPr>
            <w:r>
              <w:rPr>
                <w:sz w:val="16"/>
                <w:szCs w:val="16"/>
              </w:rPr>
              <w:t>NP Läti</w:t>
            </w:r>
          </w:p>
        </w:tc>
        <w:tc>
          <w:tcPr>
            <w:tcW w:w="992" w:type="dxa"/>
            <w:vAlign w:val="center"/>
          </w:tcPr>
          <w:p w14:paraId="09DD9861" w14:textId="70A8A200" w:rsidR="005C448E" w:rsidRPr="00D231C5" w:rsidRDefault="00557BFF" w:rsidP="001F4A66">
            <w:pPr>
              <w:pStyle w:val="NoSpacing"/>
              <w:spacing w:before="60" w:after="60"/>
              <w:jc w:val="center"/>
              <w:rPr>
                <w:sz w:val="16"/>
                <w:szCs w:val="16"/>
              </w:rPr>
            </w:pPr>
            <w:r>
              <w:rPr>
                <w:sz w:val="16"/>
                <w:szCs w:val="16"/>
              </w:rPr>
              <w:t>36,09</w:t>
            </w:r>
          </w:p>
        </w:tc>
        <w:tc>
          <w:tcPr>
            <w:tcW w:w="709" w:type="dxa"/>
          </w:tcPr>
          <w:p w14:paraId="79243AD9" w14:textId="15D2E5BA" w:rsidR="005C448E" w:rsidRDefault="00557BFF" w:rsidP="001F4A66">
            <w:pPr>
              <w:pStyle w:val="NoSpacing"/>
              <w:spacing w:before="60" w:after="60"/>
              <w:jc w:val="center"/>
              <w:rPr>
                <w:sz w:val="16"/>
                <w:szCs w:val="16"/>
              </w:rPr>
            </w:pPr>
            <w:r>
              <w:rPr>
                <w:sz w:val="16"/>
                <w:szCs w:val="16"/>
              </w:rPr>
              <w:t>202,04</w:t>
            </w:r>
          </w:p>
        </w:tc>
        <w:tc>
          <w:tcPr>
            <w:tcW w:w="709" w:type="dxa"/>
            <w:vAlign w:val="center"/>
          </w:tcPr>
          <w:p w14:paraId="152B64E8" w14:textId="60582CCE" w:rsidR="005C448E" w:rsidRPr="00D231C5" w:rsidRDefault="00557BFF" w:rsidP="001F4A66">
            <w:pPr>
              <w:pStyle w:val="NoSpacing"/>
              <w:spacing w:before="60" w:after="60"/>
              <w:jc w:val="center"/>
              <w:rPr>
                <w:sz w:val="16"/>
                <w:szCs w:val="16"/>
              </w:rPr>
            </w:pPr>
            <w:r>
              <w:rPr>
                <w:sz w:val="16"/>
                <w:szCs w:val="16"/>
              </w:rPr>
              <w:t>4,02</w:t>
            </w:r>
          </w:p>
        </w:tc>
        <w:tc>
          <w:tcPr>
            <w:tcW w:w="987" w:type="dxa"/>
            <w:vAlign w:val="center"/>
          </w:tcPr>
          <w:p w14:paraId="3CCADD71" w14:textId="1BB77A48" w:rsidR="005C448E" w:rsidRPr="00D231C5" w:rsidRDefault="00BE22C9" w:rsidP="001F4A66">
            <w:pPr>
              <w:pStyle w:val="NoSpacing"/>
              <w:spacing w:before="60" w:after="60"/>
              <w:jc w:val="center"/>
              <w:rPr>
                <w:sz w:val="16"/>
                <w:szCs w:val="16"/>
              </w:rPr>
            </w:pPr>
            <w:r>
              <w:rPr>
                <w:sz w:val="16"/>
                <w:szCs w:val="16"/>
              </w:rPr>
              <w:t>41,85</w:t>
            </w:r>
          </w:p>
        </w:tc>
      </w:tr>
      <w:tr w:rsidR="00682FC0" w:rsidRPr="00D231C5" w14:paraId="4C19B2CB" w14:textId="77777777" w:rsidTr="005C448E">
        <w:tc>
          <w:tcPr>
            <w:tcW w:w="1271" w:type="dxa"/>
            <w:vAlign w:val="center"/>
          </w:tcPr>
          <w:p w14:paraId="42246064" w14:textId="44D73834" w:rsidR="00682FC0" w:rsidRPr="00B02333" w:rsidRDefault="00682FC0" w:rsidP="00682FC0">
            <w:pPr>
              <w:pStyle w:val="NoSpacing"/>
              <w:spacing w:before="60" w:after="60"/>
              <w:jc w:val="left"/>
              <w:rPr>
                <w:sz w:val="16"/>
                <w:szCs w:val="16"/>
              </w:rPr>
            </w:pPr>
            <w:r>
              <w:rPr>
                <w:sz w:val="16"/>
                <w:szCs w:val="16"/>
              </w:rPr>
              <w:t>NP Leedu</w:t>
            </w:r>
          </w:p>
        </w:tc>
        <w:tc>
          <w:tcPr>
            <w:tcW w:w="992" w:type="dxa"/>
            <w:vAlign w:val="center"/>
          </w:tcPr>
          <w:p w14:paraId="0892B63F" w14:textId="22C2CF45" w:rsidR="00682FC0" w:rsidRPr="00D231C5" w:rsidRDefault="00557BFF" w:rsidP="00682FC0">
            <w:pPr>
              <w:pStyle w:val="NoSpacing"/>
              <w:spacing w:before="60" w:after="60"/>
              <w:jc w:val="center"/>
              <w:rPr>
                <w:sz w:val="16"/>
                <w:szCs w:val="16"/>
              </w:rPr>
            </w:pPr>
            <w:r>
              <w:rPr>
                <w:sz w:val="16"/>
                <w:szCs w:val="16"/>
              </w:rPr>
              <w:t>36,54</w:t>
            </w:r>
          </w:p>
        </w:tc>
        <w:tc>
          <w:tcPr>
            <w:tcW w:w="709" w:type="dxa"/>
          </w:tcPr>
          <w:p w14:paraId="6039D330" w14:textId="3B742D06" w:rsidR="00682FC0" w:rsidRDefault="00557BFF" w:rsidP="00682FC0">
            <w:pPr>
              <w:pStyle w:val="NoSpacing"/>
              <w:spacing w:before="60" w:after="60"/>
              <w:jc w:val="center"/>
              <w:rPr>
                <w:sz w:val="16"/>
                <w:szCs w:val="16"/>
              </w:rPr>
            </w:pPr>
            <w:r>
              <w:rPr>
                <w:sz w:val="16"/>
                <w:szCs w:val="16"/>
              </w:rPr>
              <w:t>202,04</w:t>
            </w:r>
          </w:p>
        </w:tc>
        <w:tc>
          <w:tcPr>
            <w:tcW w:w="709" w:type="dxa"/>
            <w:vAlign w:val="center"/>
          </w:tcPr>
          <w:p w14:paraId="7F664129" w14:textId="65D6A98E" w:rsidR="00682FC0" w:rsidRPr="00D231C5" w:rsidRDefault="00557BFF" w:rsidP="00682FC0">
            <w:pPr>
              <w:pStyle w:val="NoSpacing"/>
              <w:spacing w:before="60" w:after="60"/>
              <w:jc w:val="center"/>
              <w:rPr>
                <w:sz w:val="16"/>
                <w:szCs w:val="16"/>
              </w:rPr>
            </w:pPr>
            <w:r>
              <w:rPr>
                <w:sz w:val="16"/>
                <w:szCs w:val="16"/>
              </w:rPr>
              <w:t>4,02</w:t>
            </w:r>
          </w:p>
        </w:tc>
        <w:tc>
          <w:tcPr>
            <w:tcW w:w="987" w:type="dxa"/>
            <w:vAlign w:val="center"/>
          </w:tcPr>
          <w:p w14:paraId="10DEBD88" w14:textId="316F3085" w:rsidR="00682FC0" w:rsidRPr="00D231C5" w:rsidRDefault="00BE22C9" w:rsidP="00682FC0">
            <w:pPr>
              <w:pStyle w:val="NoSpacing"/>
              <w:spacing w:before="60" w:after="60"/>
              <w:jc w:val="center"/>
              <w:rPr>
                <w:sz w:val="16"/>
                <w:szCs w:val="16"/>
              </w:rPr>
            </w:pPr>
            <w:r>
              <w:rPr>
                <w:sz w:val="16"/>
                <w:szCs w:val="16"/>
              </w:rPr>
              <w:t>41,92</w:t>
            </w:r>
          </w:p>
        </w:tc>
      </w:tr>
    </w:tbl>
    <w:p w14:paraId="4BF1B915" w14:textId="77777777" w:rsidR="005C448E" w:rsidRDefault="005C448E" w:rsidP="0022344D"/>
    <w:p w14:paraId="13563598" w14:textId="2A69DACD" w:rsidR="005C448E" w:rsidRDefault="00682FC0" w:rsidP="0022344D">
      <w:r w:rsidRPr="00682FC0">
        <w:t>NP Eesti hinnapiirkonna kuu keskmi</w:t>
      </w:r>
      <w:r w:rsidR="00F56D8D">
        <w:t>s</w:t>
      </w:r>
      <w:r w:rsidRPr="00682FC0">
        <w:t>e</w:t>
      </w:r>
      <w:r w:rsidR="00F56D8D">
        <w:t>d</w:t>
      </w:r>
      <w:r w:rsidRPr="00682FC0">
        <w:t xml:space="preserve"> hin</w:t>
      </w:r>
      <w:r w:rsidR="00F56D8D">
        <w:t>na</w:t>
      </w:r>
      <w:r w:rsidRPr="00682FC0">
        <w:t>d jäi</w:t>
      </w:r>
      <w:r w:rsidR="00F56D8D">
        <w:t>d 201</w:t>
      </w:r>
      <w:r w:rsidR="00A80F7D">
        <w:t>6</w:t>
      </w:r>
      <w:r w:rsidR="00F56D8D">
        <w:t>. aastal</w:t>
      </w:r>
      <w:r w:rsidRPr="00682FC0">
        <w:t xml:space="preserve"> </w:t>
      </w:r>
      <w:r w:rsidR="00A80F7D">
        <w:t>28 ja 40</w:t>
      </w:r>
      <w:r w:rsidRPr="00682FC0">
        <w:t xml:space="preserve"> euro vahele</w:t>
      </w:r>
      <w:r w:rsidR="00A80F7D">
        <w:t xml:space="preserve"> megavatt-tunni eest</w:t>
      </w:r>
      <w:r w:rsidRPr="00682FC0">
        <w:t xml:space="preserve">. </w:t>
      </w:r>
      <w:r w:rsidR="00606A6C" w:rsidRPr="00606A6C">
        <w:t xml:space="preserve">Seejuures oli </w:t>
      </w:r>
      <w:r w:rsidR="00A80F7D">
        <w:t>ligi 45</w:t>
      </w:r>
      <w:r w:rsidR="00606A6C">
        <w:t>%</w:t>
      </w:r>
      <w:r w:rsidR="00606A6C" w:rsidRPr="00606A6C">
        <w:t xml:space="preserve"> eelmise aasta tundidest elektri börsihind alla 30,7</w:t>
      </w:r>
      <w:r w:rsidR="00606A6C">
        <w:t>0</w:t>
      </w:r>
      <w:r w:rsidR="00606A6C" w:rsidRPr="00606A6C">
        <w:t xml:space="preserve"> euro ehk alla omaaegse reguleeritud hinna</w:t>
      </w:r>
      <w:r w:rsidR="00606A6C">
        <w:t xml:space="preserve">. </w:t>
      </w:r>
      <w:r w:rsidRPr="00682FC0">
        <w:t>Tunni</w:t>
      </w:r>
      <w:r w:rsidR="00AD08C7">
        <w:softHyphen/>
      </w:r>
      <w:r w:rsidRPr="00682FC0">
        <w:t xml:space="preserve">hinna </w:t>
      </w:r>
      <w:r w:rsidR="00144F3F">
        <w:t>madalaim</w:t>
      </w:r>
      <w:r w:rsidR="00144F3F" w:rsidRPr="00682FC0">
        <w:t xml:space="preserve"> </w:t>
      </w:r>
      <w:r w:rsidRPr="00682FC0">
        <w:t xml:space="preserve">ja </w:t>
      </w:r>
      <w:r w:rsidR="00144F3F">
        <w:t>kõrgeim</w:t>
      </w:r>
      <w:r w:rsidR="00144F3F" w:rsidRPr="00682FC0">
        <w:t xml:space="preserve"> </w:t>
      </w:r>
      <w:r w:rsidRPr="00682FC0">
        <w:t xml:space="preserve">väärtus </w:t>
      </w:r>
      <w:r w:rsidR="00A80F7D">
        <w:t xml:space="preserve">oli 4,02 </w:t>
      </w:r>
      <w:r>
        <w:t xml:space="preserve">€/MWh </w:t>
      </w:r>
      <w:r w:rsidR="00144F3F">
        <w:t xml:space="preserve">25. detsembril </w:t>
      </w:r>
      <w:r>
        <w:t xml:space="preserve">ja </w:t>
      </w:r>
      <w:r w:rsidR="00A80F7D">
        <w:t>20</w:t>
      </w:r>
      <w:r>
        <w:t xml:space="preserve">0,06 €/MWh </w:t>
      </w:r>
      <w:r w:rsidR="00144F3F">
        <w:t>2</w:t>
      </w:r>
      <w:r w:rsidR="00A80F7D">
        <w:t>1</w:t>
      </w:r>
      <w:r w:rsidR="00144F3F">
        <w:t xml:space="preserve">. </w:t>
      </w:r>
      <w:r w:rsidR="00A80F7D">
        <w:t>jaanua</w:t>
      </w:r>
      <w:r w:rsidR="00144F3F">
        <w:t xml:space="preserve">ril </w:t>
      </w:r>
      <w:r>
        <w:t>(</w:t>
      </w:r>
      <w:r w:rsidRPr="00682FC0">
        <w:t>201</w:t>
      </w:r>
      <w:r w:rsidR="00A80F7D">
        <w:t>5</w:t>
      </w:r>
      <w:r w:rsidRPr="00682FC0">
        <w:t xml:space="preserve">. aastal </w:t>
      </w:r>
      <w:r>
        <w:t>vastavalt</w:t>
      </w:r>
      <w:r w:rsidRPr="00682FC0">
        <w:t xml:space="preserve"> </w:t>
      </w:r>
      <w:r w:rsidR="00A80F7D">
        <w:t>0,32</w:t>
      </w:r>
      <w:r w:rsidRPr="00682FC0">
        <w:t xml:space="preserve"> </w:t>
      </w:r>
      <w:r>
        <w:t>€</w:t>
      </w:r>
      <w:r w:rsidRPr="00682FC0">
        <w:t xml:space="preserve">/MWh ja </w:t>
      </w:r>
      <w:r w:rsidR="00A80F7D">
        <w:t>150,06</w:t>
      </w:r>
      <w:r w:rsidRPr="00682FC0">
        <w:t xml:space="preserve"> </w:t>
      </w:r>
      <w:r>
        <w:t>€/MWh)</w:t>
      </w:r>
      <w:r w:rsidRPr="00682FC0">
        <w:t xml:space="preserve">. </w:t>
      </w:r>
    </w:p>
    <w:p w14:paraId="6B834380" w14:textId="77777777" w:rsidR="00682FC0" w:rsidRDefault="00682FC0" w:rsidP="0022344D"/>
    <w:p w14:paraId="25C1833B" w14:textId="023EF244" w:rsidR="00682FC0" w:rsidRDefault="00557BFF" w:rsidP="0022344D">
      <w:r>
        <w:rPr>
          <w:noProof/>
        </w:rPr>
        <w:lastRenderedPageBreak/>
        <w:drawing>
          <wp:inline distT="0" distB="0" distL="0" distR="0" wp14:anchorId="7FAB493A" wp14:editId="1E92D696">
            <wp:extent cx="2968625" cy="1788160"/>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8625" cy="1788160"/>
                    </a:xfrm>
                    <a:prstGeom prst="rect">
                      <a:avLst/>
                    </a:prstGeom>
                    <a:noFill/>
                    <a:ln>
                      <a:noFill/>
                    </a:ln>
                  </pic:spPr>
                </pic:pic>
              </a:graphicData>
            </a:graphic>
          </wp:inline>
        </w:drawing>
      </w:r>
    </w:p>
    <w:p w14:paraId="1DD7C849" w14:textId="2C258378" w:rsidR="00682FC0" w:rsidRDefault="00CA69AD" w:rsidP="0022344D">
      <w:r>
        <w:rPr>
          <w:rStyle w:val="SubtleEmphasis"/>
        </w:rPr>
        <w:t>Eesti h</w:t>
      </w:r>
      <w:r w:rsidR="00557BFF">
        <w:rPr>
          <w:rStyle w:val="SubtleEmphasis"/>
        </w:rPr>
        <w:t>indade volatiilsus 2016</w:t>
      </w:r>
      <w:r w:rsidR="00682FC0">
        <w:rPr>
          <w:rStyle w:val="SubtleEmphasis"/>
        </w:rPr>
        <w:t>. aastal</w:t>
      </w:r>
    </w:p>
    <w:p w14:paraId="0BD4407C" w14:textId="434C483D" w:rsidR="00682FC0" w:rsidRDefault="00682FC0" w:rsidP="0022344D"/>
    <w:p w14:paraId="4AA6531D" w14:textId="77777777" w:rsidR="009A3208" w:rsidRPr="00FA2B30" w:rsidRDefault="009A3208" w:rsidP="009A3208">
      <w:pPr>
        <w:pStyle w:val="NoSpacing"/>
        <w:rPr>
          <w:b/>
          <w:color w:val="007087"/>
        </w:rPr>
      </w:pPr>
      <w:r w:rsidRPr="00795F6F">
        <w:rPr>
          <w:b/>
          <w:color w:val="007087"/>
        </w:rPr>
        <w:t>Maagaasi hulgituru hind</w:t>
      </w:r>
    </w:p>
    <w:p w14:paraId="69CF4BBC" w14:textId="73C5159A" w:rsidR="009A3208" w:rsidRDefault="009A3208" w:rsidP="009A3208">
      <w:r>
        <w:t>Eestis ei tegutse ühtegi gaasibörsi ning seetõttu puudub läbipaistev maagaasi hulgituru hind Eestis. Toome siin</w:t>
      </w:r>
      <w:r>
        <w:softHyphen/>
        <w:t>kohal referentsina ära Leedu gaasibörsi GET Baltic hinnad ning kuigi Eesti gaasisüsteem ei ole võrgu kaudu ühenda</w:t>
      </w:r>
      <w:r>
        <w:softHyphen/>
        <w:t>tud Soome ega Kesk-Euroopa gaasivõrguga, toome võrd</w:t>
      </w:r>
      <w:r>
        <w:softHyphen/>
        <w:t>luse huvides ära ka naaberturgude hinnainfo.</w:t>
      </w:r>
    </w:p>
    <w:p w14:paraId="50996115" w14:textId="77777777" w:rsidR="009A3208" w:rsidRDefault="009A3208" w:rsidP="009A3208"/>
    <w:tbl>
      <w:tblPr>
        <w:tblStyle w:val="TableGrid"/>
        <w:tblW w:w="4791" w:type="dxa"/>
        <w:tblInd w:w="-5" w:type="dxa"/>
        <w:tblLayout w:type="fixed"/>
        <w:tblLook w:val="04A0" w:firstRow="1" w:lastRow="0" w:firstColumn="1" w:lastColumn="0" w:noHBand="0" w:noVBand="1"/>
      </w:tblPr>
      <w:tblGrid>
        <w:gridCol w:w="1247"/>
        <w:gridCol w:w="993"/>
        <w:gridCol w:w="850"/>
        <w:gridCol w:w="851"/>
        <w:gridCol w:w="850"/>
      </w:tblGrid>
      <w:tr w:rsidR="009A3208" w:rsidRPr="00D231C5" w14:paraId="37623247" w14:textId="77777777" w:rsidTr="007F0CC9">
        <w:trPr>
          <w:trHeight w:val="170"/>
        </w:trPr>
        <w:tc>
          <w:tcPr>
            <w:tcW w:w="1247" w:type="dxa"/>
            <w:shd w:val="clear" w:color="auto" w:fill="006272"/>
            <w:vAlign w:val="center"/>
          </w:tcPr>
          <w:p w14:paraId="272E5126" w14:textId="14F292BE" w:rsidR="009A3208" w:rsidRPr="00D231C5" w:rsidRDefault="009A3208" w:rsidP="007F0CC9">
            <w:pPr>
              <w:pStyle w:val="NoSpacing"/>
              <w:spacing w:before="60" w:after="60"/>
              <w:jc w:val="left"/>
              <w:rPr>
                <w:b/>
                <w:color w:val="FFFFFF" w:themeColor="background1"/>
                <w:sz w:val="16"/>
                <w:szCs w:val="16"/>
              </w:rPr>
            </w:pPr>
            <w:r>
              <w:rPr>
                <w:b/>
                <w:color w:val="FFFFFF" w:themeColor="background1"/>
                <w:sz w:val="16"/>
                <w:szCs w:val="16"/>
              </w:rPr>
              <w:t>2016 (€/MWh)</w:t>
            </w:r>
          </w:p>
        </w:tc>
        <w:tc>
          <w:tcPr>
            <w:tcW w:w="993" w:type="dxa"/>
            <w:shd w:val="clear" w:color="auto" w:fill="006272"/>
            <w:vAlign w:val="center"/>
          </w:tcPr>
          <w:p w14:paraId="36EBF593" w14:textId="77777777" w:rsidR="009A3208" w:rsidRPr="00D231C5" w:rsidRDefault="009A3208" w:rsidP="007F0CC9">
            <w:pPr>
              <w:pStyle w:val="NoSpacing"/>
              <w:spacing w:before="60" w:after="60"/>
              <w:jc w:val="center"/>
              <w:rPr>
                <w:b/>
                <w:color w:val="FFFFFF" w:themeColor="background1"/>
                <w:sz w:val="16"/>
                <w:szCs w:val="16"/>
              </w:rPr>
            </w:pPr>
            <w:r>
              <w:rPr>
                <w:b/>
                <w:color w:val="FFFFFF" w:themeColor="background1"/>
                <w:sz w:val="16"/>
                <w:szCs w:val="16"/>
              </w:rPr>
              <w:t>Keskmine hind</w:t>
            </w:r>
          </w:p>
        </w:tc>
        <w:tc>
          <w:tcPr>
            <w:tcW w:w="850" w:type="dxa"/>
            <w:shd w:val="clear" w:color="auto" w:fill="006272"/>
            <w:vAlign w:val="center"/>
          </w:tcPr>
          <w:p w14:paraId="1538C8EB" w14:textId="567945C6" w:rsidR="009A3208" w:rsidRPr="00D231C5" w:rsidRDefault="00A54C6F" w:rsidP="007F0CC9">
            <w:pPr>
              <w:pStyle w:val="NoSpacing"/>
              <w:spacing w:before="60" w:after="60"/>
              <w:jc w:val="center"/>
              <w:rPr>
                <w:b/>
                <w:color w:val="FFFFFF" w:themeColor="background1"/>
                <w:sz w:val="16"/>
                <w:szCs w:val="16"/>
              </w:rPr>
            </w:pPr>
            <w:r>
              <w:rPr>
                <w:b/>
                <w:color w:val="FFFFFF" w:themeColor="background1"/>
                <w:sz w:val="16"/>
                <w:szCs w:val="16"/>
              </w:rPr>
              <w:t>Aastane</w:t>
            </w:r>
            <w:r w:rsidR="009A3208">
              <w:rPr>
                <w:b/>
                <w:color w:val="FFFFFF" w:themeColor="background1"/>
                <w:sz w:val="16"/>
                <w:szCs w:val="16"/>
              </w:rPr>
              <w:t xml:space="preserve"> muutus</w:t>
            </w:r>
          </w:p>
        </w:tc>
        <w:tc>
          <w:tcPr>
            <w:tcW w:w="851" w:type="dxa"/>
            <w:shd w:val="clear" w:color="auto" w:fill="006272"/>
            <w:vAlign w:val="center"/>
          </w:tcPr>
          <w:p w14:paraId="3E80A1E8" w14:textId="77777777" w:rsidR="009A3208" w:rsidRPr="00D231C5" w:rsidRDefault="009A3208" w:rsidP="007F0CC9">
            <w:pPr>
              <w:pStyle w:val="NoSpacing"/>
              <w:spacing w:before="60" w:after="60"/>
              <w:jc w:val="center"/>
              <w:rPr>
                <w:b/>
                <w:color w:val="FFFFFF" w:themeColor="background1"/>
                <w:sz w:val="16"/>
                <w:szCs w:val="16"/>
              </w:rPr>
            </w:pPr>
            <w:r>
              <w:rPr>
                <w:b/>
                <w:color w:val="FFFFFF" w:themeColor="background1"/>
                <w:sz w:val="16"/>
                <w:szCs w:val="16"/>
              </w:rPr>
              <w:t>Min hind</w:t>
            </w:r>
          </w:p>
        </w:tc>
        <w:tc>
          <w:tcPr>
            <w:tcW w:w="850" w:type="dxa"/>
            <w:shd w:val="clear" w:color="auto" w:fill="006272"/>
            <w:vAlign w:val="center"/>
          </w:tcPr>
          <w:p w14:paraId="67D02682" w14:textId="77777777" w:rsidR="009A3208" w:rsidRDefault="009A3208" w:rsidP="007F0CC9">
            <w:pPr>
              <w:pStyle w:val="NoSpacing"/>
              <w:spacing w:before="60" w:after="60"/>
              <w:jc w:val="center"/>
              <w:rPr>
                <w:b/>
                <w:color w:val="FFFFFF" w:themeColor="background1"/>
                <w:sz w:val="16"/>
                <w:szCs w:val="16"/>
              </w:rPr>
            </w:pPr>
            <w:r>
              <w:rPr>
                <w:b/>
                <w:color w:val="FFFFFF" w:themeColor="background1"/>
                <w:sz w:val="16"/>
                <w:szCs w:val="16"/>
              </w:rPr>
              <w:t>Max hind</w:t>
            </w:r>
          </w:p>
        </w:tc>
      </w:tr>
      <w:tr w:rsidR="009A3208" w14:paraId="2E2FA443" w14:textId="77777777" w:rsidTr="007F0CC9">
        <w:trPr>
          <w:trHeight w:val="510"/>
        </w:trPr>
        <w:tc>
          <w:tcPr>
            <w:tcW w:w="1247" w:type="dxa"/>
            <w:vAlign w:val="center"/>
          </w:tcPr>
          <w:p w14:paraId="4D2F9A98" w14:textId="77777777" w:rsidR="009A3208" w:rsidRPr="00D231C5" w:rsidRDefault="009A3208" w:rsidP="007F0CC9">
            <w:pPr>
              <w:pStyle w:val="NoSpacing"/>
              <w:spacing w:before="60" w:after="60"/>
              <w:jc w:val="left"/>
              <w:rPr>
                <w:sz w:val="16"/>
                <w:szCs w:val="16"/>
              </w:rPr>
            </w:pPr>
            <w:r w:rsidRPr="007C499B">
              <w:rPr>
                <w:sz w:val="16"/>
                <w:szCs w:val="16"/>
              </w:rPr>
              <w:t>Leedu GET Baltic börs</w:t>
            </w:r>
          </w:p>
        </w:tc>
        <w:tc>
          <w:tcPr>
            <w:tcW w:w="993" w:type="dxa"/>
            <w:vAlign w:val="center"/>
          </w:tcPr>
          <w:p w14:paraId="364A9A07" w14:textId="5555FC5F" w:rsidR="009A3208" w:rsidRPr="00D231C5" w:rsidRDefault="00742E63" w:rsidP="007F0CC9">
            <w:pPr>
              <w:pStyle w:val="NoSpacing"/>
              <w:spacing w:before="60" w:after="60"/>
              <w:jc w:val="center"/>
              <w:rPr>
                <w:sz w:val="16"/>
                <w:szCs w:val="16"/>
              </w:rPr>
            </w:pPr>
            <w:r>
              <w:rPr>
                <w:sz w:val="16"/>
                <w:szCs w:val="16"/>
              </w:rPr>
              <w:t>17,30</w:t>
            </w:r>
          </w:p>
        </w:tc>
        <w:tc>
          <w:tcPr>
            <w:tcW w:w="850" w:type="dxa"/>
            <w:vAlign w:val="center"/>
          </w:tcPr>
          <w:p w14:paraId="6703CC17" w14:textId="195DF7DE" w:rsidR="009A3208" w:rsidRPr="00D231C5" w:rsidRDefault="00E22B6C" w:rsidP="007F0CC9">
            <w:pPr>
              <w:pStyle w:val="NoSpacing"/>
              <w:spacing w:before="60" w:after="60"/>
              <w:jc w:val="center"/>
              <w:rPr>
                <w:sz w:val="16"/>
                <w:szCs w:val="16"/>
              </w:rPr>
            </w:pPr>
            <w:r>
              <w:rPr>
                <w:sz w:val="16"/>
                <w:szCs w:val="16"/>
              </w:rPr>
              <w:t>-27,9%</w:t>
            </w:r>
          </w:p>
        </w:tc>
        <w:tc>
          <w:tcPr>
            <w:tcW w:w="851" w:type="dxa"/>
            <w:vAlign w:val="center"/>
          </w:tcPr>
          <w:p w14:paraId="17B98E7C" w14:textId="7F950367" w:rsidR="009A3208" w:rsidRDefault="00E22B6C" w:rsidP="007F0CC9">
            <w:pPr>
              <w:pStyle w:val="NoSpacing"/>
              <w:spacing w:before="60" w:after="60"/>
              <w:jc w:val="center"/>
              <w:rPr>
                <w:sz w:val="16"/>
                <w:szCs w:val="16"/>
              </w:rPr>
            </w:pPr>
            <w:r>
              <w:rPr>
                <w:sz w:val="16"/>
                <w:szCs w:val="16"/>
              </w:rPr>
              <w:t>11,97</w:t>
            </w:r>
          </w:p>
        </w:tc>
        <w:tc>
          <w:tcPr>
            <w:tcW w:w="850" w:type="dxa"/>
            <w:vAlign w:val="center"/>
          </w:tcPr>
          <w:p w14:paraId="449BF5C0" w14:textId="641A9720" w:rsidR="009A3208" w:rsidRDefault="00E22B6C" w:rsidP="007F0CC9">
            <w:pPr>
              <w:pStyle w:val="NoSpacing"/>
              <w:spacing w:before="60" w:after="60"/>
              <w:jc w:val="center"/>
              <w:rPr>
                <w:sz w:val="16"/>
                <w:szCs w:val="16"/>
              </w:rPr>
            </w:pPr>
            <w:r>
              <w:rPr>
                <w:sz w:val="16"/>
                <w:szCs w:val="16"/>
              </w:rPr>
              <w:t>21,00</w:t>
            </w:r>
          </w:p>
        </w:tc>
      </w:tr>
      <w:tr w:rsidR="009A3208" w14:paraId="38F8CEF7" w14:textId="77777777" w:rsidTr="007F0CC9">
        <w:trPr>
          <w:trHeight w:val="510"/>
        </w:trPr>
        <w:tc>
          <w:tcPr>
            <w:tcW w:w="1247" w:type="dxa"/>
            <w:vAlign w:val="center"/>
          </w:tcPr>
          <w:p w14:paraId="74BD6C30" w14:textId="77777777" w:rsidR="009A3208" w:rsidRPr="00D231C5" w:rsidRDefault="009A3208" w:rsidP="007F0CC9">
            <w:pPr>
              <w:pStyle w:val="NoSpacing"/>
              <w:spacing w:before="60" w:after="60"/>
              <w:jc w:val="left"/>
              <w:rPr>
                <w:sz w:val="16"/>
                <w:szCs w:val="16"/>
              </w:rPr>
            </w:pPr>
            <w:r w:rsidRPr="007C499B">
              <w:rPr>
                <w:sz w:val="16"/>
                <w:szCs w:val="16"/>
              </w:rPr>
              <w:t>Soome Kaasupörssi*</w:t>
            </w:r>
          </w:p>
        </w:tc>
        <w:tc>
          <w:tcPr>
            <w:tcW w:w="993" w:type="dxa"/>
            <w:vAlign w:val="center"/>
          </w:tcPr>
          <w:p w14:paraId="21EC6314" w14:textId="0E600B21" w:rsidR="009A3208" w:rsidRPr="005D031C" w:rsidRDefault="005D031C" w:rsidP="007F0CC9">
            <w:pPr>
              <w:pStyle w:val="NoSpacing"/>
              <w:spacing w:before="60" w:after="60"/>
              <w:jc w:val="center"/>
              <w:rPr>
                <w:sz w:val="16"/>
                <w:szCs w:val="16"/>
              </w:rPr>
            </w:pPr>
            <w:r w:rsidRPr="005D031C">
              <w:rPr>
                <w:sz w:val="16"/>
                <w:szCs w:val="16"/>
              </w:rPr>
              <w:t>19,</w:t>
            </w:r>
            <w:r w:rsidR="00E8453F">
              <w:rPr>
                <w:sz w:val="16"/>
                <w:szCs w:val="16"/>
              </w:rPr>
              <w:t>00</w:t>
            </w:r>
          </w:p>
        </w:tc>
        <w:tc>
          <w:tcPr>
            <w:tcW w:w="850" w:type="dxa"/>
            <w:vAlign w:val="center"/>
          </w:tcPr>
          <w:p w14:paraId="04A1B0A4" w14:textId="24B03870" w:rsidR="009A3208" w:rsidRPr="005D031C" w:rsidRDefault="005D031C" w:rsidP="007F0CC9">
            <w:pPr>
              <w:pStyle w:val="NoSpacing"/>
              <w:spacing w:before="60" w:after="60"/>
              <w:jc w:val="center"/>
              <w:rPr>
                <w:sz w:val="16"/>
                <w:szCs w:val="16"/>
              </w:rPr>
            </w:pPr>
            <w:r w:rsidRPr="005D031C">
              <w:rPr>
                <w:sz w:val="16"/>
                <w:szCs w:val="16"/>
              </w:rPr>
              <w:t>-7,4</w:t>
            </w:r>
            <w:r w:rsidR="009A3208" w:rsidRPr="005D031C">
              <w:rPr>
                <w:sz w:val="16"/>
                <w:szCs w:val="16"/>
              </w:rPr>
              <w:t>%</w:t>
            </w:r>
          </w:p>
        </w:tc>
        <w:tc>
          <w:tcPr>
            <w:tcW w:w="851" w:type="dxa"/>
            <w:vAlign w:val="center"/>
          </w:tcPr>
          <w:p w14:paraId="4A0223CC" w14:textId="5937F9C7" w:rsidR="009A3208" w:rsidRPr="006E33EB" w:rsidRDefault="00E8453F" w:rsidP="007F0CC9">
            <w:pPr>
              <w:pStyle w:val="NoSpacing"/>
              <w:spacing w:before="60" w:after="60"/>
              <w:jc w:val="center"/>
              <w:rPr>
                <w:sz w:val="16"/>
                <w:szCs w:val="16"/>
              </w:rPr>
            </w:pPr>
            <w:r>
              <w:rPr>
                <w:sz w:val="16"/>
                <w:szCs w:val="16"/>
              </w:rPr>
              <w:t>12,60</w:t>
            </w:r>
          </w:p>
        </w:tc>
        <w:tc>
          <w:tcPr>
            <w:tcW w:w="850" w:type="dxa"/>
            <w:vAlign w:val="center"/>
          </w:tcPr>
          <w:p w14:paraId="4F2426FE" w14:textId="4C9EAB98" w:rsidR="009A3208" w:rsidRPr="006E33EB" w:rsidRDefault="00E8453F" w:rsidP="007F0CC9">
            <w:pPr>
              <w:pStyle w:val="NoSpacing"/>
              <w:spacing w:before="60" w:after="60"/>
              <w:jc w:val="center"/>
              <w:rPr>
                <w:sz w:val="16"/>
                <w:szCs w:val="16"/>
              </w:rPr>
            </w:pPr>
            <w:r>
              <w:rPr>
                <w:sz w:val="16"/>
                <w:szCs w:val="16"/>
              </w:rPr>
              <w:t>23,40</w:t>
            </w:r>
          </w:p>
        </w:tc>
      </w:tr>
      <w:tr w:rsidR="009A3208" w14:paraId="3A364E67" w14:textId="77777777" w:rsidTr="000E3B0A">
        <w:trPr>
          <w:trHeight w:val="510"/>
        </w:trPr>
        <w:tc>
          <w:tcPr>
            <w:tcW w:w="1247" w:type="dxa"/>
            <w:vAlign w:val="center"/>
          </w:tcPr>
          <w:p w14:paraId="3C28BAC3" w14:textId="77777777" w:rsidR="009A3208" w:rsidRPr="00D231C5" w:rsidRDefault="009A3208" w:rsidP="007F0CC9">
            <w:pPr>
              <w:pStyle w:val="NoSpacing"/>
              <w:spacing w:before="60" w:after="60"/>
              <w:jc w:val="left"/>
              <w:rPr>
                <w:sz w:val="16"/>
                <w:szCs w:val="16"/>
              </w:rPr>
            </w:pPr>
            <w:r w:rsidRPr="007C499B">
              <w:rPr>
                <w:sz w:val="16"/>
                <w:szCs w:val="16"/>
              </w:rPr>
              <w:t>GASPOOL**</w:t>
            </w:r>
          </w:p>
        </w:tc>
        <w:tc>
          <w:tcPr>
            <w:tcW w:w="993" w:type="dxa"/>
            <w:shd w:val="clear" w:color="auto" w:fill="auto"/>
            <w:vAlign w:val="center"/>
          </w:tcPr>
          <w:p w14:paraId="0191AD4D" w14:textId="7A73335D" w:rsidR="009A3208" w:rsidRPr="00A54C6F" w:rsidRDefault="000E3B0A" w:rsidP="007F0CC9">
            <w:pPr>
              <w:pStyle w:val="NoSpacing"/>
              <w:spacing w:before="60" w:after="60"/>
              <w:jc w:val="center"/>
              <w:rPr>
                <w:sz w:val="16"/>
                <w:szCs w:val="16"/>
                <w:highlight w:val="yellow"/>
              </w:rPr>
            </w:pPr>
            <w:r w:rsidRPr="000E3B0A">
              <w:rPr>
                <w:sz w:val="16"/>
                <w:szCs w:val="16"/>
              </w:rPr>
              <w:t>14,11</w:t>
            </w:r>
          </w:p>
        </w:tc>
        <w:tc>
          <w:tcPr>
            <w:tcW w:w="850" w:type="dxa"/>
            <w:vAlign w:val="center"/>
          </w:tcPr>
          <w:p w14:paraId="4CB20A03" w14:textId="1D4919BA" w:rsidR="009A3208" w:rsidRPr="00A54C6F" w:rsidRDefault="00A966F1" w:rsidP="007F0CC9">
            <w:pPr>
              <w:pStyle w:val="NoSpacing"/>
              <w:spacing w:before="60" w:after="60"/>
              <w:jc w:val="center"/>
              <w:rPr>
                <w:sz w:val="16"/>
                <w:szCs w:val="16"/>
                <w:highlight w:val="yellow"/>
              </w:rPr>
            </w:pPr>
            <w:r w:rsidRPr="00A966F1">
              <w:rPr>
                <w:sz w:val="16"/>
                <w:szCs w:val="16"/>
              </w:rPr>
              <w:t>-29%</w:t>
            </w:r>
          </w:p>
        </w:tc>
        <w:tc>
          <w:tcPr>
            <w:tcW w:w="851" w:type="dxa"/>
            <w:vAlign w:val="center"/>
          </w:tcPr>
          <w:p w14:paraId="6536E0EB" w14:textId="2F7F1147" w:rsidR="009A3208" w:rsidRDefault="009A3208" w:rsidP="007F0CC9">
            <w:pPr>
              <w:pStyle w:val="NoSpacing"/>
              <w:spacing w:before="60" w:after="60"/>
              <w:jc w:val="center"/>
              <w:rPr>
                <w:sz w:val="16"/>
                <w:szCs w:val="16"/>
              </w:rPr>
            </w:pPr>
            <w:r>
              <w:rPr>
                <w:sz w:val="16"/>
                <w:szCs w:val="16"/>
              </w:rPr>
              <w:t>1</w:t>
            </w:r>
            <w:r w:rsidR="000E3B0A">
              <w:rPr>
                <w:sz w:val="16"/>
                <w:szCs w:val="16"/>
              </w:rPr>
              <w:t>0,87</w:t>
            </w:r>
          </w:p>
        </w:tc>
        <w:tc>
          <w:tcPr>
            <w:tcW w:w="850" w:type="dxa"/>
            <w:vAlign w:val="center"/>
          </w:tcPr>
          <w:p w14:paraId="055F75C9" w14:textId="57E7037C" w:rsidR="009A3208" w:rsidRDefault="000E3B0A" w:rsidP="007F0CC9">
            <w:pPr>
              <w:pStyle w:val="NoSpacing"/>
              <w:spacing w:before="60" w:after="60"/>
              <w:jc w:val="center"/>
              <w:rPr>
                <w:sz w:val="16"/>
                <w:szCs w:val="16"/>
              </w:rPr>
            </w:pPr>
            <w:r>
              <w:rPr>
                <w:sz w:val="16"/>
                <w:szCs w:val="16"/>
              </w:rPr>
              <w:t>19,35</w:t>
            </w:r>
          </w:p>
        </w:tc>
      </w:tr>
    </w:tbl>
    <w:p w14:paraId="506A899A" w14:textId="77777777" w:rsidR="009A3208" w:rsidRPr="007B2B0F" w:rsidRDefault="009A3208" w:rsidP="009A3208">
      <w:pPr>
        <w:pStyle w:val="Caption"/>
        <w:spacing w:after="0"/>
        <w:rPr>
          <w:rStyle w:val="SubtleEmphasis"/>
          <w:bCs w:val="0"/>
          <w:szCs w:val="24"/>
        </w:rPr>
      </w:pPr>
      <w:r w:rsidRPr="007B2B0F">
        <w:rPr>
          <w:rStyle w:val="SubtleEmphasis"/>
          <w:bCs w:val="0"/>
          <w:szCs w:val="24"/>
        </w:rPr>
        <w:t>* Võrdluse huvides teisendatud ülemisele kütteväärtusele</w:t>
      </w:r>
    </w:p>
    <w:p w14:paraId="222DBE07" w14:textId="5CF94CBA" w:rsidR="009A3208" w:rsidRPr="007B2B0F" w:rsidRDefault="009A3208" w:rsidP="009A3208">
      <w:pPr>
        <w:pStyle w:val="Caption"/>
        <w:spacing w:after="0"/>
        <w:rPr>
          <w:rStyle w:val="SubtleEmphasis"/>
          <w:bCs w:val="0"/>
          <w:szCs w:val="24"/>
        </w:rPr>
      </w:pPr>
      <w:r w:rsidRPr="007B2B0F">
        <w:rPr>
          <w:rStyle w:val="SubtleEmphasis"/>
          <w:bCs w:val="0"/>
          <w:szCs w:val="24"/>
        </w:rPr>
        <w:t xml:space="preserve">** </w:t>
      </w:r>
      <w:r w:rsidR="0017450E">
        <w:rPr>
          <w:rStyle w:val="SubtleEmphasis"/>
          <w:bCs w:val="0"/>
          <w:szCs w:val="24"/>
        </w:rPr>
        <w:t>Järgmise päeva</w:t>
      </w:r>
      <w:r>
        <w:rPr>
          <w:rStyle w:val="SubtleEmphasis"/>
          <w:bCs w:val="0"/>
          <w:szCs w:val="24"/>
        </w:rPr>
        <w:t xml:space="preserve"> tehingud</w:t>
      </w:r>
    </w:p>
    <w:p w14:paraId="4FDFC74B" w14:textId="77777777" w:rsidR="009A3208" w:rsidRDefault="009A3208" w:rsidP="009A3208"/>
    <w:p w14:paraId="56ED5D4A" w14:textId="77777777" w:rsidR="009A3208" w:rsidRDefault="009A3208" w:rsidP="009A3208">
      <w:r>
        <w:t>Erinevalt Eestist ja Leedust, kus kasutatakse gaasi ostu-müügi lepingutes ülemist kütteväärtust, kasutatakse Soo</w:t>
      </w:r>
      <w:r>
        <w:softHyphen/>
        <w:t>me gaasibörsil alumist kütteväärtust. Kuna alumise ja ülemise kütteväärtuse vahe on keskmiselt 10%, on hindade võrdlemiseks Kaasupörssi hindu korrigeeritud 10% võrra.</w:t>
      </w:r>
    </w:p>
    <w:p w14:paraId="6B20BFF0" w14:textId="77777777" w:rsidR="009A3208" w:rsidRDefault="009A3208" w:rsidP="009A3208"/>
    <w:p w14:paraId="62705525" w14:textId="77777777" w:rsidR="009A3208" w:rsidRDefault="009A3208" w:rsidP="009A3208">
      <w:r>
        <w:rPr>
          <w:noProof/>
        </w:rPr>
        <w:drawing>
          <wp:inline distT="0" distB="0" distL="0" distR="0" wp14:anchorId="308A66F1" wp14:editId="489BFF05">
            <wp:extent cx="2968625" cy="17811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0A7F4922" w14:textId="77777777" w:rsidR="009A3208" w:rsidRPr="00D06AC2" w:rsidRDefault="009A3208" w:rsidP="009A3208">
      <w:pPr>
        <w:rPr>
          <w:rStyle w:val="SubtleEmphasis"/>
        </w:rPr>
      </w:pPr>
      <w:r>
        <w:rPr>
          <w:rStyle w:val="SubtleEmphasis"/>
        </w:rPr>
        <w:t xml:space="preserve">Viimase 12 kuu </w:t>
      </w:r>
      <w:r w:rsidRPr="00747C4F">
        <w:rPr>
          <w:rStyle w:val="SubtleEmphasis"/>
        </w:rPr>
        <w:t>k</w:t>
      </w:r>
      <w:r>
        <w:rPr>
          <w:rStyle w:val="SubtleEmphasis"/>
        </w:rPr>
        <w:t>eskmised maagaasi hulgituru hinnad</w:t>
      </w:r>
    </w:p>
    <w:p w14:paraId="502544EA" w14:textId="77777777" w:rsidR="009A3208" w:rsidRDefault="009A3208" w:rsidP="009A3208">
      <w:bookmarkStart w:id="1" w:name="_Ref458003547"/>
    </w:p>
    <w:p w14:paraId="40D19B40" w14:textId="77777777" w:rsidR="009A3208" w:rsidRPr="008D55D8" w:rsidRDefault="009A3208" w:rsidP="009A3208"/>
    <w:p w14:paraId="443DC2B6" w14:textId="0179584A" w:rsidR="009A3208" w:rsidRPr="00FA2B30" w:rsidRDefault="009A3208" w:rsidP="009A3208">
      <w:pPr>
        <w:pStyle w:val="NoSpacing"/>
        <w:rPr>
          <w:b/>
          <w:color w:val="007087"/>
        </w:rPr>
      </w:pPr>
      <w:r w:rsidRPr="00FA2B30">
        <w:rPr>
          <w:b/>
          <w:color w:val="007087"/>
        </w:rPr>
        <w:t>Energiahindade mõjurid</w:t>
      </w:r>
      <w:bookmarkEnd w:id="1"/>
    </w:p>
    <w:p w14:paraId="10639F81" w14:textId="77777777" w:rsidR="009A3208" w:rsidRDefault="009A3208" w:rsidP="009A3208">
      <w:r>
        <w:t>Olulisemad energiahindade mõjurid:</w:t>
      </w:r>
    </w:p>
    <w:p w14:paraId="58EAD41B" w14:textId="77777777" w:rsidR="009A3208" w:rsidRPr="001914C3" w:rsidRDefault="009A3208" w:rsidP="009A3208">
      <w:pPr>
        <w:pStyle w:val="ListParagraph"/>
        <w:numPr>
          <w:ilvl w:val="0"/>
          <w:numId w:val="29"/>
        </w:numPr>
        <w:spacing w:after="0" w:line="240" w:lineRule="auto"/>
        <w:ind w:left="357" w:hanging="357"/>
        <w:rPr>
          <w:rFonts w:ascii="Trebuchet MS" w:hAnsi="Trebuchet MS"/>
          <w:sz w:val="18"/>
        </w:rPr>
      </w:pPr>
      <w:r w:rsidRPr="001914C3">
        <w:rPr>
          <w:rFonts w:ascii="Trebuchet MS" w:hAnsi="Trebuchet MS"/>
          <w:sz w:val="18"/>
        </w:rPr>
        <w:t>veeolud Põhjamaade hüdroreservuaarides – mõju Baltikumi elektri börsihinnale</w:t>
      </w:r>
      <w:r>
        <w:rPr>
          <w:rFonts w:ascii="Trebuchet MS" w:hAnsi="Trebuchet MS"/>
          <w:sz w:val="18"/>
        </w:rPr>
        <w:t>;</w:t>
      </w:r>
    </w:p>
    <w:p w14:paraId="43D7EB25" w14:textId="77777777" w:rsidR="009A3208" w:rsidRPr="001914C3" w:rsidRDefault="009A3208" w:rsidP="009A3208">
      <w:pPr>
        <w:pStyle w:val="ListParagraph"/>
        <w:numPr>
          <w:ilvl w:val="0"/>
          <w:numId w:val="29"/>
        </w:numPr>
        <w:spacing w:after="0" w:line="240" w:lineRule="auto"/>
        <w:ind w:left="357" w:hanging="357"/>
        <w:rPr>
          <w:rFonts w:ascii="Trebuchet MS" w:hAnsi="Trebuchet MS"/>
          <w:sz w:val="18"/>
        </w:rPr>
      </w:pPr>
      <w:r w:rsidRPr="001914C3">
        <w:rPr>
          <w:rFonts w:ascii="Trebuchet MS" w:hAnsi="Trebuchet MS"/>
          <w:sz w:val="18"/>
        </w:rPr>
        <w:t>CO</w:t>
      </w:r>
      <w:r w:rsidRPr="001914C3">
        <w:rPr>
          <w:rFonts w:ascii="Trebuchet MS" w:hAnsi="Trebuchet MS"/>
          <w:sz w:val="18"/>
          <w:vertAlign w:val="subscript"/>
        </w:rPr>
        <w:t>2</w:t>
      </w:r>
      <w:r w:rsidRPr="001914C3">
        <w:rPr>
          <w:rFonts w:ascii="Trebuchet MS" w:hAnsi="Trebuchet MS"/>
          <w:sz w:val="18"/>
        </w:rPr>
        <w:t xml:space="preserve"> emissioonikvootide hinnad – mõju elektri hulgi</w:t>
      </w:r>
      <w:r>
        <w:rPr>
          <w:rFonts w:ascii="Trebuchet MS" w:hAnsi="Trebuchet MS"/>
          <w:sz w:val="18"/>
        </w:rPr>
        <w:softHyphen/>
      </w:r>
      <w:r w:rsidRPr="001914C3">
        <w:rPr>
          <w:rFonts w:ascii="Trebuchet MS" w:hAnsi="Trebuchet MS"/>
          <w:sz w:val="18"/>
        </w:rPr>
        <w:t>turuhindadele läbi elektritootmiseks kasutatavate CO</w:t>
      </w:r>
      <w:r w:rsidRPr="001914C3">
        <w:rPr>
          <w:rFonts w:ascii="Trebuchet MS" w:hAnsi="Trebuchet MS"/>
          <w:sz w:val="18"/>
          <w:vertAlign w:val="subscript"/>
        </w:rPr>
        <w:t>2</w:t>
      </w:r>
      <w:r w:rsidRPr="001914C3">
        <w:rPr>
          <w:rFonts w:ascii="Trebuchet MS" w:hAnsi="Trebuchet MS"/>
          <w:sz w:val="18"/>
        </w:rPr>
        <w:t>-mahukate kütuste kasutamise kulu</w:t>
      </w:r>
      <w:r>
        <w:rPr>
          <w:rFonts w:ascii="Trebuchet MS" w:hAnsi="Trebuchet MS"/>
          <w:sz w:val="18"/>
        </w:rPr>
        <w:t>;</w:t>
      </w:r>
    </w:p>
    <w:p w14:paraId="4D64D464" w14:textId="77777777" w:rsidR="009A3208" w:rsidRPr="001914C3" w:rsidRDefault="009A3208" w:rsidP="009A3208">
      <w:pPr>
        <w:pStyle w:val="ListParagraph"/>
        <w:numPr>
          <w:ilvl w:val="0"/>
          <w:numId w:val="29"/>
        </w:numPr>
        <w:spacing w:after="0" w:line="240" w:lineRule="auto"/>
        <w:ind w:left="357" w:hanging="357"/>
        <w:rPr>
          <w:rFonts w:ascii="Trebuchet MS" w:hAnsi="Trebuchet MS"/>
          <w:sz w:val="18"/>
        </w:rPr>
      </w:pPr>
      <w:r>
        <w:rPr>
          <w:rFonts w:ascii="Trebuchet MS" w:hAnsi="Trebuchet MS"/>
          <w:sz w:val="18"/>
        </w:rPr>
        <w:t>kütuste maailmaturuhinnad</w:t>
      </w:r>
      <w:r w:rsidRPr="001914C3">
        <w:rPr>
          <w:rFonts w:ascii="Trebuchet MS" w:hAnsi="Trebuchet MS"/>
          <w:sz w:val="18"/>
        </w:rPr>
        <w:t xml:space="preserve"> – mõju maagaasi hinnale, kuna paljud maagaasi lepingud ning sealhulgas ka Eesti Gaasi poolt Gazpromilt ostetava maagaasi leping seob ostuhinna maailmaturu kerge kütteõli (Gasoil 0,1%) ja raske kütteõli (FuelOil 1,0%) viima</w:t>
      </w:r>
      <w:r>
        <w:rPr>
          <w:rFonts w:ascii="Trebuchet MS" w:hAnsi="Trebuchet MS"/>
          <w:sz w:val="18"/>
        </w:rPr>
        <w:t>se üheksa kuu keskmise hinnaga;</w:t>
      </w:r>
    </w:p>
    <w:p w14:paraId="3034D406" w14:textId="77777777" w:rsidR="009A3208" w:rsidRPr="001914C3" w:rsidRDefault="009A3208" w:rsidP="009A3208">
      <w:pPr>
        <w:pStyle w:val="ListParagraph"/>
        <w:numPr>
          <w:ilvl w:val="0"/>
          <w:numId w:val="29"/>
        </w:numPr>
        <w:spacing w:after="0" w:line="240" w:lineRule="auto"/>
        <w:ind w:left="357" w:hanging="357"/>
        <w:rPr>
          <w:rFonts w:ascii="Trebuchet MS" w:hAnsi="Trebuchet MS"/>
          <w:sz w:val="18"/>
        </w:rPr>
      </w:pPr>
      <w:r w:rsidRPr="001914C3">
        <w:rPr>
          <w:rFonts w:ascii="Trebuchet MS" w:hAnsi="Trebuchet MS"/>
          <w:sz w:val="18"/>
        </w:rPr>
        <w:t>euro ja dollari kurss - kuna kütuste hinnad maailma</w:t>
      </w:r>
      <w:r>
        <w:rPr>
          <w:rFonts w:ascii="Trebuchet MS" w:hAnsi="Trebuchet MS"/>
          <w:sz w:val="18"/>
        </w:rPr>
        <w:softHyphen/>
      </w:r>
      <w:r w:rsidRPr="001914C3">
        <w:rPr>
          <w:rFonts w:ascii="Trebuchet MS" w:hAnsi="Trebuchet MS"/>
          <w:sz w:val="18"/>
        </w:rPr>
        <w:t>turul määratakse USA dollarites, mõjutab maagaasi impordihinda ka euro ja USD kurss – dollari tugevne</w:t>
      </w:r>
      <w:r>
        <w:rPr>
          <w:rFonts w:ascii="Trebuchet MS" w:hAnsi="Trebuchet MS"/>
          <w:sz w:val="18"/>
        </w:rPr>
        <w:softHyphen/>
      </w:r>
      <w:r w:rsidRPr="001914C3">
        <w:rPr>
          <w:rFonts w:ascii="Trebuchet MS" w:hAnsi="Trebuchet MS"/>
          <w:sz w:val="18"/>
        </w:rPr>
        <w:t>mine muudab kütuse kallimaks</w:t>
      </w:r>
      <w:r>
        <w:rPr>
          <w:rFonts w:ascii="Trebuchet MS" w:hAnsi="Trebuchet MS"/>
          <w:sz w:val="18"/>
        </w:rPr>
        <w:t>.</w:t>
      </w:r>
    </w:p>
    <w:p w14:paraId="75B6BFE5" w14:textId="77777777" w:rsidR="009A3208" w:rsidRDefault="009A3208" w:rsidP="009A3208"/>
    <w:p w14:paraId="7EECAC99" w14:textId="227B748F" w:rsidR="009A3208" w:rsidRDefault="009A3208" w:rsidP="009A3208">
      <w:r>
        <w:t xml:space="preserve">Põhjamaade veeolud </w:t>
      </w:r>
      <w:r w:rsidR="008A2252">
        <w:t>olid aasta alguses keskmisest pare</w:t>
      </w:r>
      <w:r w:rsidR="008A2252">
        <w:softHyphen/>
        <w:t xml:space="preserve">mad ning aasta lõpuks keskmisest pea 10 protsendipuntki  võrra madalamad: 2016. a lõpuks oli </w:t>
      </w:r>
      <w:r>
        <w:t xml:space="preserve"> Norra, Rootsi ja Soo</w:t>
      </w:r>
      <w:r>
        <w:softHyphen/>
        <w:t>me hüdro</w:t>
      </w:r>
      <w:r>
        <w:softHyphen/>
        <w:t>reser</w:t>
      </w:r>
      <w:r>
        <w:softHyphen/>
        <w:t xml:space="preserve">vuaaride täituvus </w:t>
      </w:r>
      <w:r w:rsidRPr="00084AD2">
        <w:rPr>
          <w:i/>
        </w:rPr>
        <w:t>ca</w:t>
      </w:r>
      <w:r>
        <w:t xml:space="preserve"> 6</w:t>
      </w:r>
      <w:r w:rsidR="008A2252">
        <w:t>2</w:t>
      </w:r>
      <w:r>
        <w:t>% tasemel maksi</w:t>
      </w:r>
      <w:r w:rsidR="008A2252">
        <w:softHyphen/>
      </w:r>
      <w:r>
        <w:t>maalses</w:t>
      </w:r>
      <w:r w:rsidR="008A2252">
        <w:t>t (100% 02.01.2012 121 429 GWh)</w:t>
      </w:r>
      <w:r>
        <w:t>.</w:t>
      </w:r>
    </w:p>
    <w:p w14:paraId="58A665E3" w14:textId="77777777" w:rsidR="009A3208" w:rsidRDefault="009A3208" w:rsidP="009A3208"/>
    <w:p w14:paraId="1423D258" w14:textId="77777777" w:rsidR="009A3208" w:rsidRDefault="009A3208" w:rsidP="009A3208">
      <w:r>
        <w:rPr>
          <w:noProof/>
        </w:rPr>
        <w:drawing>
          <wp:inline distT="0" distB="0" distL="0" distR="0" wp14:anchorId="3CF96DB9" wp14:editId="47F321DB">
            <wp:extent cx="2969260" cy="17786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9260" cy="1778635"/>
                    </a:xfrm>
                    <a:prstGeom prst="rect">
                      <a:avLst/>
                    </a:prstGeom>
                    <a:noFill/>
                    <a:ln>
                      <a:noFill/>
                    </a:ln>
                  </pic:spPr>
                </pic:pic>
              </a:graphicData>
            </a:graphic>
          </wp:inline>
        </w:drawing>
      </w:r>
    </w:p>
    <w:p w14:paraId="3D493816" w14:textId="77777777" w:rsidR="009A3208" w:rsidRDefault="009A3208" w:rsidP="009A3208">
      <w:r>
        <w:rPr>
          <w:rStyle w:val="SubtleEmphasis"/>
        </w:rPr>
        <w:t>Põhjamaade veereservuaaride täituvus ja NP süsteemihinnad</w:t>
      </w:r>
    </w:p>
    <w:p w14:paraId="150132D1" w14:textId="77777777" w:rsidR="009A3208" w:rsidRDefault="009A3208" w:rsidP="009A3208"/>
    <w:tbl>
      <w:tblPr>
        <w:tblStyle w:val="TableGrid"/>
        <w:tblW w:w="0" w:type="auto"/>
        <w:tblInd w:w="-5" w:type="dxa"/>
        <w:tblLook w:val="04A0" w:firstRow="1" w:lastRow="0" w:firstColumn="1" w:lastColumn="0" w:noHBand="0" w:noVBand="1"/>
      </w:tblPr>
      <w:tblGrid>
        <w:gridCol w:w="2410"/>
        <w:gridCol w:w="1124"/>
        <w:gridCol w:w="1139"/>
      </w:tblGrid>
      <w:tr w:rsidR="009A3208" w:rsidRPr="00D231C5" w14:paraId="043579C2" w14:textId="77777777" w:rsidTr="007F0CC9">
        <w:trPr>
          <w:trHeight w:val="510"/>
        </w:trPr>
        <w:tc>
          <w:tcPr>
            <w:tcW w:w="2410" w:type="dxa"/>
            <w:shd w:val="clear" w:color="auto" w:fill="006272"/>
            <w:vAlign w:val="center"/>
          </w:tcPr>
          <w:p w14:paraId="6A0738B1" w14:textId="77777777" w:rsidR="009A3208" w:rsidRPr="00D231C5" w:rsidRDefault="009A3208" w:rsidP="007F0CC9">
            <w:pPr>
              <w:pStyle w:val="NoSpacing"/>
              <w:spacing w:before="60" w:after="60"/>
              <w:jc w:val="left"/>
              <w:rPr>
                <w:b/>
                <w:color w:val="FFFFFF" w:themeColor="background1"/>
                <w:sz w:val="16"/>
                <w:szCs w:val="16"/>
              </w:rPr>
            </w:pPr>
            <w:r>
              <w:rPr>
                <w:b/>
                <w:color w:val="FFFFFF" w:themeColor="background1"/>
                <w:sz w:val="16"/>
                <w:szCs w:val="16"/>
              </w:rPr>
              <w:t>Elektri ja m</w:t>
            </w:r>
            <w:r w:rsidRPr="00F937C3">
              <w:rPr>
                <w:b/>
                <w:color w:val="FFFFFF" w:themeColor="background1"/>
                <w:sz w:val="16"/>
                <w:szCs w:val="16"/>
              </w:rPr>
              <w:t>aagaasi hinna mõjurid</w:t>
            </w:r>
          </w:p>
        </w:tc>
        <w:tc>
          <w:tcPr>
            <w:tcW w:w="1124" w:type="dxa"/>
            <w:shd w:val="clear" w:color="auto" w:fill="006272"/>
            <w:vAlign w:val="center"/>
          </w:tcPr>
          <w:p w14:paraId="3216C40E" w14:textId="1E8934DE" w:rsidR="009A3208" w:rsidRPr="00D231C5" w:rsidRDefault="009A3208" w:rsidP="007F0CC9">
            <w:pPr>
              <w:pStyle w:val="NoSpacing"/>
              <w:spacing w:before="60" w:after="60"/>
              <w:jc w:val="center"/>
              <w:rPr>
                <w:b/>
                <w:color w:val="FFFFFF" w:themeColor="background1"/>
                <w:sz w:val="16"/>
                <w:szCs w:val="16"/>
              </w:rPr>
            </w:pPr>
            <w:r>
              <w:rPr>
                <w:b/>
                <w:color w:val="FFFFFF" w:themeColor="background1"/>
                <w:sz w:val="16"/>
                <w:szCs w:val="16"/>
              </w:rPr>
              <w:t>2016</w:t>
            </w:r>
          </w:p>
        </w:tc>
        <w:tc>
          <w:tcPr>
            <w:tcW w:w="1139" w:type="dxa"/>
            <w:shd w:val="clear" w:color="auto" w:fill="006272"/>
            <w:vAlign w:val="center"/>
          </w:tcPr>
          <w:p w14:paraId="2E6C1A30" w14:textId="746BE235" w:rsidR="009A3208" w:rsidRPr="00D231C5" w:rsidRDefault="009A3208" w:rsidP="007F0CC9">
            <w:pPr>
              <w:pStyle w:val="NoSpacing"/>
              <w:spacing w:before="60" w:after="60"/>
              <w:jc w:val="center"/>
              <w:rPr>
                <w:b/>
                <w:color w:val="FFFFFF" w:themeColor="background1"/>
                <w:sz w:val="16"/>
                <w:szCs w:val="16"/>
              </w:rPr>
            </w:pPr>
            <w:r>
              <w:rPr>
                <w:b/>
                <w:color w:val="FFFFFF" w:themeColor="background1"/>
                <w:sz w:val="16"/>
                <w:szCs w:val="16"/>
              </w:rPr>
              <w:t>2015</w:t>
            </w:r>
          </w:p>
        </w:tc>
      </w:tr>
      <w:tr w:rsidR="009A3208" w14:paraId="523F9C52" w14:textId="77777777" w:rsidTr="007F0CC9">
        <w:trPr>
          <w:trHeight w:val="510"/>
        </w:trPr>
        <w:tc>
          <w:tcPr>
            <w:tcW w:w="2410" w:type="dxa"/>
            <w:vAlign w:val="center"/>
          </w:tcPr>
          <w:p w14:paraId="128CC48C" w14:textId="77777777" w:rsidR="009A3208" w:rsidRPr="00D231C5" w:rsidRDefault="009A3208" w:rsidP="007F0CC9">
            <w:pPr>
              <w:pStyle w:val="NoSpacing"/>
              <w:spacing w:before="60" w:after="60"/>
              <w:jc w:val="left"/>
              <w:rPr>
                <w:sz w:val="16"/>
                <w:szCs w:val="16"/>
              </w:rPr>
            </w:pPr>
            <w:r w:rsidRPr="00F937C3">
              <w:rPr>
                <w:sz w:val="16"/>
                <w:szCs w:val="16"/>
              </w:rPr>
              <w:t>CO</w:t>
            </w:r>
            <w:r w:rsidRPr="00F937C3">
              <w:rPr>
                <w:sz w:val="16"/>
                <w:szCs w:val="16"/>
                <w:vertAlign w:val="subscript"/>
              </w:rPr>
              <w:t>2</w:t>
            </w:r>
            <w:r w:rsidRPr="00F937C3">
              <w:rPr>
                <w:sz w:val="16"/>
                <w:szCs w:val="16"/>
              </w:rPr>
              <w:t xml:space="preserve"> emissioonikvootide hind (min</w:t>
            </w:r>
            <w:r>
              <w:rPr>
                <w:sz w:val="16"/>
                <w:szCs w:val="16"/>
              </w:rPr>
              <w:t xml:space="preserve"> … </w:t>
            </w:r>
            <w:r w:rsidRPr="00F937C3">
              <w:rPr>
                <w:sz w:val="16"/>
                <w:szCs w:val="16"/>
              </w:rPr>
              <w:t xml:space="preserve">max </w:t>
            </w:r>
            <w:r>
              <w:rPr>
                <w:sz w:val="16"/>
                <w:szCs w:val="16"/>
              </w:rPr>
              <w:t>€</w:t>
            </w:r>
            <w:r w:rsidRPr="00F937C3">
              <w:rPr>
                <w:sz w:val="16"/>
                <w:szCs w:val="16"/>
              </w:rPr>
              <w:t>/t)</w:t>
            </w:r>
          </w:p>
        </w:tc>
        <w:tc>
          <w:tcPr>
            <w:tcW w:w="1124" w:type="dxa"/>
            <w:vAlign w:val="center"/>
          </w:tcPr>
          <w:p w14:paraId="3D5CE3C2" w14:textId="0184AAEA" w:rsidR="009A3208" w:rsidRPr="00D231C5" w:rsidRDefault="009A3208" w:rsidP="007F0CC9">
            <w:pPr>
              <w:pStyle w:val="NoSpacing"/>
              <w:spacing w:before="60" w:after="60"/>
              <w:jc w:val="center"/>
              <w:rPr>
                <w:sz w:val="16"/>
                <w:szCs w:val="16"/>
              </w:rPr>
            </w:pPr>
            <w:r>
              <w:rPr>
                <w:sz w:val="16"/>
                <w:szCs w:val="16"/>
              </w:rPr>
              <w:t>3.93 … 8,04</w:t>
            </w:r>
          </w:p>
        </w:tc>
        <w:tc>
          <w:tcPr>
            <w:tcW w:w="1139" w:type="dxa"/>
            <w:vAlign w:val="center"/>
          </w:tcPr>
          <w:p w14:paraId="2F9A6C75" w14:textId="2D5BB77D" w:rsidR="009A3208" w:rsidRDefault="009A3208" w:rsidP="007F0CC9">
            <w:pPr>
              <w:pStyle w:val="NoSpacing"/>
              <w:spacing w:before="60" w:after="60"/>
              <w:jc w:val="center"/>
              <w:rPr>
                <w:sz w:val="16"/>
                <w:szCs w:val="16"/>
              </w:rPr>
            </w:pPr>
            <w:r>
              <w:rPr>
                <w:sz w:val="16"/>
                <w:szCs w:val="16"/>
              </w:rPr>
              <w:t>6,41 … 8,67</w:t>
            </w:r>
          </w:p>
        </w:tc>
      </w:tr>
      <w:tr w:rsidR="009A3208" w14:paraId="63090551" w14:textId="77777777" w:rsidTr="008A2252">
        <w:trPr>
          <w:trHeight w:val="510"/>
        </w:trPr>
        <w:tc>
          <w:tcPr>
            <w:tcW w:w="2410" w:type="dxa"/>
            <w:vAlign w:val="center"/>
          </w:tcPr>
          <w:p w14:paraId="6D5CCB21" w14:textId="77492D09" w:rsidR="009A3208" w:rsidRPr="00F937C3" w:rsidRDefault="009A3208" w:rsidP="007F0CC9">
            <w:pPr>
              <w:pStyle w:val="NoSpacing"/>
              <w:spacing w:before="60" w:after="60"/>
              <w:jc w:val="left"/>
              <w:rPr>
                <w:sz w:val="16"/>
                <w:szCs w:val="16"/>
              </w:rPr>
            </w:pPr>
            <w:r>
              <w:rPr>
                <w:sz w:val="16"/>
                <w:szCs w:val="16"/>
              </w:rPr>
              <w:t>€</w:t>
            </w:r>
            <w:r w:rsidRPr="00F937C3">
              <w:rPr>
                <w:sz w:val="16"/>
                <w:szCs w:val="16"/>
              </w:rPr>
              <w:t>/</w:t>
            </w:r>
            <w:r>
              <w:rPr>
                <w:sz w:val="16"/>
                <w:szCs w:val="16"/>
              </w:rPr>
              <w:t>$</w:t>
            </w:r>
            <w:r w:rsidRPr="00F937C3">
              <w:rPr>
                <w:sz w:val="16"/>
                <w:szCs w:val="16"/>
              </w:rPr>
              <w:t xml:space="preserve"> kurss </w:t>
            </w:r>
            <w:r w:rsidR="00F30B5D">
              <w:rPr>
                <w:sz w:val="16"/>
                <w:szCs w:val="16"/>
              </w:rPr>
              <w:t>aasta</w:t>
            </w:r>
            <w:r w:rsidRPr="00F937C3">
              <w:rPr>
                <w:sz w:val="16"/>
                <w:szCs w:val="16"/>
              </w:rPr>
              <w:t xml:space="preserve"> viimasel pangapäeval</w:t>
            </w:r>
          </w:p>
        </w:tc>
        <w:tc>
          <w:tcPr>
            <w:tcW w:w="1124" w:type="dxa"/>
            <w:shd w:val="clear" w:color="auto" w:fill="auto"/>
            <w:vAlign w:val="center"/>
          </w:tcPr>
          <w:p w14:paraId="1BE9ACEC" w14:textId="68336570" w:rsidR="009A3208" w:rsidRPr="008A2252" w:rsidRDefault="008A2252" w:rsidP="007F0CC9">
            <w:pPr>
              <w:pStyle w:val="NoSpacing"/>
              <w:spacing w:before="60" w:after="60"/>
              <w:jc w:val="center"/>
              <w:rPr>
                <w:sz w:val="16"/>
                <w:szCs w:val="16"/>
              </w:rPr>
            </w:pPr>
            <w:r w:rsidRPr="008A2252">
              <w:rPr>
                <w:sz w:val="16"/>
                <w:szCs w:val="16"/>
              </w:rPr>
              <w:t>1,0541</w:t>
            </w:r>
          </w:p>
        </w:tc>
        <w:tc>
          <w:tcPr>
            <w:tcW w:w="1139" w:type="dxa"/>
            <w:shd w:val="clear" w:color="auto" w:fill="auto"/>
            <w:vAlign w:val="center"/>
          </w:tcPr>
          <w:p w14:paraId="6E9B9DFE" w14:textId="6F51F70D" w:rsidR="009A3208" w:rsidRPr="008A2252" w:rsidRDefault="008A2252" w:rsidP="007F0CC9">
            <w:pPr>
              <w:pStyle w:val="NoSpacing"/>
              <w:spacing w:before="60" w:after="60"/>
              <w:jc w:val="center"/>
              <w:rPr>
                <w:sz w:val="16"/>
                <w:szCs w:val="16"/>
              </w:rPr>
            </w:pPr>
            <w:r w:rsidRPr="008A2252">
              <w:rPr>
                <w:sz w:val="16"/>
                <w:szCs w:val="16"/>
              </w:rPr>
              <w:t>1,0887</w:t>
            </w:r>
          </w:p>
        </w:tc>
      </w:tr>
      <w:tr w:rsidR="009A3208" w14:paraId="0FDE4331" w14:textId="77777777" w:rsidTr="007F0CC9">
        <w:trPr>
          <w:trHeight w:val="510"/>
        </w:trPr>
        <w:tc>
          <w:tcPr>
            <w:tcW w:w="2410" w:type="dxa"/>
            <w:vAlign w:val="center"/>
          </w:tcPr>
          <w:p w14:paraId="6C1DF1EE" w14:textId="77777777" w:rsidR="009A3208" w:rsidRPr="00F937C3" w:rsidRDefault="009A3208" w:rsidP="007F0CC9">
            <w:pPr>
              <w:pStyle w:val="NoSpacing"/>
              <w:spacing w:before="60" w:after="60"/>
              <w:jc w:val="left"/>
              <w:rPr>
                <w:sz w:val="16"/>
                <w:szCs w:val="16"/>
              </w:rPr>
            </w:pPr>
            <w:r>
              <w:rPr>
                <w:sz w:val="16"/>
                <w:szCs w:val="16"/>
              </w:rPr>
              <w:t xml:space="preserve">Raske kütteõli - </w:t>
            </w:r>
            <w:r w:rsidRPr="00F937C3">
              <w:rPr>
                <w:sz w:val="16"/>
                <w:szCs w:val="16"/>
              </w:rPr>
              <w:t>FuelOil 1% eelneva 9 kuu keskmine (</w:t>
            </w:r>
            <w:r>
              <w:rPr>
                <w:sz w:val="16"/>
                <w:szCs w:val="16"/>
              </w:rPr>
              <w:t>$</w:t>
            </w:r>
            <w:r w:rsidRPr="00F937C3">
              <w:rPr>
                <w:sz w:val="16"/>
                <w:szCs w:val="16"/>
              </w:rPr>
              <w:t>/tonn)</w:t>
            </w:r>
          </w:p>
        </w:tc>
        <w:tc>
          <w:tcPr>
            <w:tcW w:w="1124" w:type="dxa"/>
            <w:vAlign w:val="center"/>
          </w:tcPr>
          <w:p w14:paraId="53D71AD1" w14:textId="59F97295" w:rsidR="009A3208" w:rsidRPr="008A2252" w:rsidRDefault="008A2252" w:rsidP="007F0CC9">
            <w:pPr>
              <w:pStyle w:val="NoSpacing"/>
              <w:spacing w:before="60" w:after="60"/>
              <w:jc w:val="center"/>
              <w:rPr>
                <w:sz w:val="16"/>
                <w:szCs w:val="16"/>
              </w:rPr>
            </w:pPr>
            <w:r w:rsidRPr="008A2252">
              <w:rPr>
                <w:sz w:val="16"/>
                <w:szCs w:val="16"/>
              </w:rPr>
              <w:t>235,92</w:t>
            </w:r>
          </w:p>
        </w:tc>
        <w:tc>
          <w:tcPr>
            <w:tcW w:w="1139" w:type="dxa"/>
            <w:vAlign w:val="center"/>
          </w:tcPr>
          <w:p w14:paraId="7E2C985E" w14:textId="471B1A4A" w:rsidR="009A3208" w:rsidRPr="009D4C1D" w:rsidRDefault="009D4C1D" w:rsidP="007F0CC9">
            <w:pPr>
              <w:pStyle w:val="NoSpacing"/>
              <w:spacing w:before="60" w:after="60"/>
              <w:jc w:val="center"/>
              <w:rPr>
                <w:sz w:val="16"/>
                <w:szCs w:val="16"/>
              </w:rPr>
            </w:pPr>
            <w:r w:rsidRPr="009D4C1D">
              <w:rPr>
                <w:sz w:val="16"/>
                <w:szCs w:val="16"/>
              </w:rPr>
              <w:t>500,99</w:t>
            </w:r>
          </w:p>
        </w:tc>
      </w:tr>
      <w:tr w:rsidR="009A3208" w14:paraId="1993C2AD" w14:textId="77777777" w:rsidTr="007F0CC9">
        <w:trPr>
          <w:trHeight w:val="510"/>
        </w:trPr>
        <w:tc>
          <w:tcPr>
            <w:tcW w:w="2410" w:type="dxa"/>
            <w:vAlign w:val="center"/>
          </w:tcPr>
          <w:p w14:paraId="5CC457C9" w14:textId="77777777" w:rsidR="009A3208" w:rsidRPr="00F937C3" w:rsidRDefault="009A3208" w:rsidP="007F0CC9">
            <w:pPr>
              <w:pStyle w:val="NoSpacing"/>
              <w:spacing w:before="60" w:after="60"/>
              <w:jc w:val="left"/>
              <w:rPr>
                <w:sz w:val="16"/>
                <w:szCs w:val="16"/>
              </w:rPr>
            </w:pPr>
            <w:r>
              <w:rPr>
                <w:sz w:val="16"/>
                <w:szCs w:val="16"/>
              </w:rPr>
              <w:t xml:space="preserve">Kerge kütteõli - </w:t>
            </w:r>
            <w:r w:rsidRPr="00F937C3">
              <w:rPr>
                <w:sz w:val="16"/>
                <w:szCs w:val="16"/>
              </w:rPr>
              <w:t>Gasoil 0,1% eelneva 9 kuu keskmine (</w:t>
            </w:r>
            <w:r>
              <w:rPr>
                <w:sz w:val="16"/>
                <w:szCs w:val="16"/>
              </w:rPr>
              <w:t>$</w:t>
            </w:r>
            <w:r w:rsidRPr="00F937C3">
              <w:rPr>
                <w:sz w:val="16"/>
                <w:szCs w:val="16"/>
              </w:rPr>
              <w:t>/tonn)</w:t>
            </w:r>
          </w:p>
        </w:tc>
        <w:tc>
          <w:tcPr>
            <w:tcW w:w="1124" w:type="dxa"/>
            <w:vAlign w:val="center"/>
          </w:tcPr>
          <w:p w14:paraId="7368A191" w14:textId="6F369CB1" w:rsidR="009A3208" w:rsidRPr="008A2252" w:rsidRDefault="008A2252" w:rsidP="007F0CC9">
            <w:pPr>
              <w:pStyle w:val="NoSpacing"/>
              <w:spacing w:before="60" w:after="60"/>
              <w:jc w:val="center"/>
              <w:rPr>
                <w:sz w:val="16"/>
                <w:szCs w:val="16"/>
              </w:rPr>
            </w:pPr>
            <w:r>
              <w:rPr>
                <w:sz w:val="16"/>
                <w:szCs w:val="16"/>
              </w:rPr>
              <w:t>418,55</w:t>
            </w:r>
          </w:p>
        </w:tc>
        <w:tc>
          <w:tcPr>
            <w:tcW w:w="1139" w:type="dxa"/>
            <w:vAlign w:val="center"/>
          </w:tcPr>
          <w:p w14:paraId="100B38EE" w14:textId="2AEE593A" w:rsidR="009A3208" w:rsidRPr="009D4C1D" w:rsidRDefault="009D4C1D" w:rsidP="007F0CC9">
            <w:pPr>
              <w:pStyle w:val="NoSpacing"/>
              <w:spacing w:before="60" w:after="60"/>
              <w:jc w:val="center"/>
              <w:rPr>
                <w:sz w:val="16"/>
                <w:szCs w:val="16"/>
              </w:rPr>
            </w:pPr>
            <w:r w:rsidRPr="009D4C1D">
              <w:rPr>
                <w:sz w:val="16"/>
                <w:szCs w:val="16"/>
              </w:rPr>
              <w:t>266,84</w:t>
            </w:r>
          </w:p>
        </w:tc>
      </w:tr>
      <w:tr w:rsidR="009A3208" w14:paraId="0CEE6C5E" w14:textId="77777777" w:rsidTr="007F0CC9">
        <w:trPr>
          <w:trHeight w:val="510"/>
        </w:trPr>
        <w:tc>
          <w:tcPr>
            <w:tcW w:w="2410" w:type="dxa"/>
            <w:vAlign w:val="center"/>
          </w:tcPr>
          <w:p w14:paraId="54A033DF" w14:textId="7E42F9A9" w:rsidR="009A3208" w:rsidRPr="00F937C3" w:rsidRDefault="009A3208" w:rsidP="007F0CC9">
            <w:pPr>
              <w:pStyle w:val="NoSpacing"/>
              <w:spacing w:before="60" w:after="60"/>
              <w:jc w:val="left"/>
              <w:rPr>
                <w:sz w:val="16"/>
                <w:szCs w:val="16"/>
              </w:rPr>
            </w:pPr>
            <w:r w:rsidRPr="00F937C3">
              <w:rPr>
                <w:sz w:val="16"/>
                <w:szCs w:val="16"/>
              </w:rPr>
              <w:t>Toornafta hind (Brent)</w:t>
            </w:r>
            <w:r>
              <w:rPr>
                <w:sz w:val="16"/>
                <w:szCs w:val="16"/>
              </w:rPr>
              <w:t xml:space="preserve"> </w:t>
            </w:r>
            <w:r w:rsidRPr="00F937C3">
              <w:rPr>
                <w:sz w:val="16"/>
                <w:szCs w:val="16"/>
              </w:rPr>
              <w:t>(</w:t>
            </w:r>
            <w:r>
              <w:rPr>
                <w:sz w:val="16"/>
                <w:szCs w:val="16"/>
              </w:rPr>
              <w:t>$</w:t>
            </w:r>
            <w:r w:rsidRPr="00F937C3">
              <w:rPr>
                <w:sz w:val="16"/>
                <w:szCs w:val="16"/>
              </w:rPr>
              <w:t xml:space="preserve">/bbl) </w:t>
            </w:r>
            <w:r w:rsidR="00F30B5D">
              <w:rPr>
                <w:sz w:val="16"/>
                <w:szCs w:val="16"/>
              </w:rPr>
              <w:t>aasta</w:t>
            </w:r>
            <w:r w:rsidRPr="00F937C3">
              <w:rPr>
                <w:sz w:val="16"/>
                <w:szCs w:val="16"/>
              </w:rPr>
              <w:t xml:space="preserve"> lõpu seis</w:t>
            </w:r>
          </w:p>
        </w:tc>
        <w:tc>
          <w:tcPr>
            <w:tcW w:w="1124" w:type="dxa"/>
            <w:vAlign w:val="center"/>
          </w:tcPr>
          <w:p w14:paraId="20F2E7BA" w14:textId="0AA4D815" w:rsidR="009A3208" w:rsidRPr="008A2252" w:rsidRDefault="008A2252" w:rsidP="007F0CC9">
            <w:pPr>
              <w:pStyle w:val="NoSpacing"/>
              <w:spacing w:before="60" w:after="60"/>
              <w:jc w:val="center"/>
              <w:rPr>
                <w:sz w:val="16"/>
                <w:szCs w:val="16"/>
              </w:rPr>
            </w:pPr>
            <w:r>
              <w:rPr>
                <w:sz w:val="16"/>
                <w:szCs w:val="16"/>
              </w:rPr>
              <w:t>56,82</w:t>
            </w:r>
          </w:p>
        </w:tc>
        <w:tc>
          <w:tcPr>
            <w:tcW w:w="1139" w:type="dxa"/>
            <w:vAlign w:val="center"/>
          </w:tcPr>
          <w:p w14:paraId="21B08BC3" w14:textId="61177DEA" w:rsidR="009A3208" w:rsidRPr="009A3208" w:rsidRDefault="008A2252" w:rsidP="007F0CC9">
            <w:pPr>
              <w:pStyle w:val="NoSpacing"/>
              <w:spacing w:before="60" w:after="60"/>
              <w:jc w:val="center"/>
              <w:rPr>
                <w:sz w:val="16"/>
                <w:szCs w:val="16"/>
                <w:highlight w:val="yellow"/>
              </w:rPr>
            </w:pPr>
            <w:r>
              <w:rPr>
                <w:sz w:val="16"/>
                <w:szCs w:val="16"/>
              </w:rPr>
              <w:t>37,28</w:t>
            </w:r>
          </w:p>
        </w:tc>
      </w:tr>
    </w:tbl>
    <w:p w14:paraId="607C1CEE" w14:textId="79381110" w:rsidR="009A3208" w:rsidRDefault="009A3208" w:rsidP="0022344D"/>
    <w:p w14:paraId="76F3891F" w14:textId="15C05C88" w:rsidR="009A3208" w:rsidRDefault="009A3208" w:rsidP="0022344D"/>
    <w:p w14:paraId="0FAA8D2C" w14:textId="7DCCA126" w:rsidR="006752C2" w:rsidRDefault="006752C2" w:rsidP="0022344D"/>
    <w:p w14:paraId="2E4F347A" w14:textId="39513ACC" w:rsidR="006752C2" w:rsidRDefault="006752C2" w:rsidP="0022344D"/>
    <w:p w14:paraId="7C496C30" w14:textId="7C8C3C19" w:rsidR="006752C2" w:rsidRDefault="006752C2" w:rsidP="0022344D"/>
    <w:p w14:paraId="2AEA8990" w14:textId="1D3974E7" w:rsidR="00E30A03" w:rsidRDefault="00E30A03" w:rsidP="0022344D"/>
    <w:p w14:paraId="40468FC5" w14:textId="701F723E" w:rsidR="00E30A03" w:rsidRDefault="00E30A03" w:rsidP="0022344D"/>
    <w:p w14:paraId="016E95EF" w14:textId="185A498B" w:rsidR="00E30A03" w:rsidRDefault="00E30A03" w:rsidP="0022344D"/>
    <w:p w14:paraId="5AC40EC5" w14:textId="77777777" w:rsidR="00E30A03" w:rsidRDefault="00E30A03" w:rsidP="0022344D"/>
    <w:p w14:paraId="0E3013AC" w14:textId="3693E161" w:rsidR="006752C2" w:rsidRDefault="006752C2" w:rsidP="0022344D"/>
    <w:p w14:paraId="623A1489" w14:textId="0A880525" w:rsidR="006752C2" w:rsidRDefault="006752C2" w:rsidP="0022344D"/>
    <w:p w14:paraId="1F3A168D" w14:textId="7F80C7BA" w:rsidR="006752C2" w:rsidRDefault="006752C2" w:rsidP="0022344D"/>
    <w:p w14:paraId="0A7B28D4" w14:textId="32992E7A" w:rsidR="006752C2" w:rsidRDefault="006752C2" w:rsidP="0022344D"/>
    <w:p w14:paraId="3998CC19" w14:textId="0C69B90A" w:rsidR="006752C2" w:rsidRDefault="006752C2" w:rsidP="0022344D"/>
    <w:p w14:paraId="4EEC69E8" w14:textId="77777777" w:rsidR="006752C2" w:rsidRDefault="006752C2" w:rsidP="0022344D"/>
    <w:p w14:paraId="53ED7941" w14:textId="4C2428B3" w:rsidR="00682FC0" w:rsidRDefault="00682FC0" w:rsidP="002F6E28">
      <w:pPr>
        <w:pStyle w:val="Heading2"/>
      </w:pPr>
      <w:r>
        <w:lastRenderedPageBreak/>
        <w:t>Võimsusvoog</w:t>
      </w:r>
    </w:p>
    <w:p w14:paraId="21E83F78" w14:textId="77777777" w:rsidR="0029089B" w:rsidRPr="00357F5F" w:rsidRDefault="0029089B" w:rsidP="0029089B">
      <w:pPr>
        <w:rPr>
          <w:b/>
          <w:color w:val="007087"/>
        </w:rPr>
      </w:pPr>
      <w:r w:rsidRPr="00357F5F">
        <w:rPr>
          <w:b/>
          <w:color w:val="007087"/>
        </w:rPr>
        <w:t>E</w:t>
      </w:r>
      <w:r>
        <w:rPr>
          <w:b/>
          <w:color w:val="007087"/>
        </w:rPr>
        <w:t>lektrienergia järgmise päeva kaubanduslikud vood</w:t>
      </w:r>
    </w:p>
    <w:tbl>
      <w:tblPr>
        <w:tblStyle w:val="TableGrid"/>
        <w:tblW w:w="0" w:type="auto"/>
        <w:tblInd w:w="-5" w:type="dxa"/>
        <w:tblLook w:val="04A0" w:firstRow="1" w:lastRow="0" w:firstColumn="1" w:lastColumn="0" w:noHBand="0" w:noVBand="1"/>
      </w:tblPr>
      <w:tblGrid>
        <w:gridCol w:w="688"/>
        <w:gridCol w:w="972"/>
        <w:gridCol w:w="952"/>
        <w:gridCol w:w="999"/>
        <w:gridCol w:w="1062"/>
      </w:tblGrid>
      <w:tr w:rsidR="0005077F" w14:paraId="53BB52F3" w14:textId="77777777" w:rsidTr="001F4A66">
        <w:trPr>
          <w:trHeight w:val="454"/>
        </w:trPr>
        <w:tc>
          <w:tcPr>
            <w:tcW w:w="820" w:type="dxa"/>
            <w:shd w:val="clear" w:color="auto" w:fill="006272"/>
            <w:vAlign w:val="center"/>
          </w:tcPr>
          <w:p w14:paraId="65D7A061" w14:textId="64602385" w:rsidR="0029089B" w:rsidRPr="00D231C5" w:rsidRDefault="0029089B" w:rsidP="001F4A66">
            <w:pPr>
              <w:pStyle w:val="NoSpacing"/>
              <w:spacing w:before="60" w:after="60"/>
              <w:jc w:val="center"/>
              <w:rPr>
                <w:b/>
                <w:color w:val="FFFFFF" w:themeColor="background1"/>
                <w:sz w:val="16"/>
                <w:szCs w:val="16"/>
              </w:rPr>
            </w:pPr>
            <w:r>
              <w:rPr>
                <w:b/>
                <w:color w:val="FFFFFF" w:themeColor="background1"/>
                <w:sz w:val="16"/>
                <w:szCs w:val="16"/>
              </w:rPr>
              <w:t>2016*</w:t>
            </w:r>
          </w:p>
        </w:tc>
        <w:tc>
          <w:tcPr>
            <w:tcW w:w="902" w:type="dxa"/>
            <w:shd w:val="clear" w:color="auto" w:fill="006272"/>
            <w:vAlign w:val="center"/>
          </w:tcPr>
          <w:p w14:paraId="1C309583" w14:textId="77777777" w:rsidR="0029089B" w:rsidRPr="00D231C5" w:rsidRDefault="0029089B" w:rsidP="001F4A66">
            <w:pPr>
              <w:pStyle w:val="NoSpacing"/>
              <w:spacing w:before="60" w:after="60"/>
              <w:jc w:val="center"/>
              <w:rPr>
                <w:b/>
                <w:color w:val="FFFFFF" w:themeColor="background1"/>
                <w:sz w:val="16"/>
                <w:szCs w:val="16"/>
              </w:rPr>
            </w:pPr>
            <w:r>
              <w:rPr>
                <w:b/>
                <w:color w:val="FFFFFF" w:themeColor="background1"/>
                <w:sz w:val="16"/>
                <w:szCs w:val="16"/>
              </w:rPr>
              <w:t>Võimsus</w:t>
            </w:r>
            <w:r>
              <w:rPr>
                <w:b/>
                <w:color w:val="FFFFFF" w:themeColor="background1"/>
                <w:sz w:val="16"/>
                <w:szCs w:val="16"/>
              </w:rPr>
              <w:softHyphen/>
              <w:t>voog, tunde</w:t>
            </w:r>
          </w:p>
        </w:tc>
        <w:tc>
          <w:tcPr>
            <w:tcW w:w="933" w:type="dxa"/>
            <w:shd w:val="clear" w:color="auto" w:fill="006272"/>
            <w:vAlign w:val="center"/>
          </w:tcPr>
          <w:p w14:paraId="0EE48820" w14:textId="77777777" w:rsidR="0029089B" w:rsidRPr="00D231C5" w:rsidRDefault="0029089B" w:rsidP="001F4A66">
            <w:pPr>
              <w:pStyle w:val="NoSpacing"/>
              <w:spacing w:before="60" w:after="60"/>
              <w:jc w:val="center"/>
              <w:rPr>
                <w:b/>
                <w:color w:val="FFFFFF" w:themeColor="background1"/>
                <w:sz w:val="16"/>
                <w:szCs w:val="16"/>
              </w:rPr>
            </w:pPr>
            <w:r>
              <w:rPr>
                <w:b/>
                <w:color w:val="FFFFFF" w:themeColor="background1"/>
                <w:sz w:val="16"/>
                <w:szCs w:val="16"/>
              </w:rPr>
              <w:t>Turule antud võim</w:t>
            </w:r>
            <w:r>
              <w:rPr>
                <w:b/>
                <w:color w:val="FFFFFF" w:themeColor="background1"/>
                <w:sz w:val="16"/>
                <w:szCs w:val="16"/>
              </w:rPr>
              <w:softHyphen/>
              <w:t>su</w:t>
            </w:r>
            <w:r>
              <w:rPr>
                <w:b/>
                <w:color w:val="FFFFFF" w:themeColor="background1"/>
                <w:sz w:val="16"/>
                <w:szCs w:val="16"/>
              </w:rPr>
              <w:softHyphen/>
              <w:t>sest kasutatud</w:t>
            </w:r>
          </w:p>
        </w:tc>
        <w:tc>
          <w:tcPr>
            <w:tcW w:w="978" w:type="dxa"/>
            <w:shd w:val="clear" w:color="auto" w:fill="006272"/>
          </w:tcPr>
          <w:p w14:paraId="7046FCAD" w14:textId="77777777" w:rsidR="0029089B" w:rsidRDefault="0029089B" w:rsidP="001F4A66">
            <w:pPr>
              <w:pStyle w:val="NoSpacing"/>
              <w:spacing w:before="60" w:after="60"/>
              <w:jc w:val="center"/>
              <w:rPr>
                <w:b/>
                <w:color w:val="FFFFFF" w:themeColor="background1"/>
                <w:sz w:val="16"/>
                <w:szCs w:val="16"/>
              </w:rPr>
            </w:pPr>
            <w:r>
              <w:rPr>
                <w:b/>
                <w:color w:val="FFFFFF" w:themeColor="background1"/>
                <w:sz w:val="16"/>
                <w:szCs w:val="16"/>
              </w:rPr>
              <w:t>100% turule antud võim</w:t>
            </w:r>
            <w:r>
              <w:rPr>
                <w:b/>
                <w:color w:val="FFFFFF" w:themeColor="background1"/>
                <w:sz w:val="16"/>
                <w:szCs w:val="16"/>
              </w:rPr>
              <w:softHyphen/>
              <w:t>su</w:t>
            </w:r>
            <w:r>
              <w:rPr>
                <w:b/>
                <w:color w:val="FFFFFF" w:themeColor="background1"/>
                <w:sz w:val="16"/>
                <w:szCs w:val="16"/>
              </w:rPr>
              <w:softHyphen/>
              <w:t>sest kasutuses, tunde</w:t>
            </w:r>
          </w:p>
        </w:tc>
        <w:tc>
          <w:tcPr>
            <w:tcW w:w="1040" w:type="dxa"/>
            <w:shd w:val="clear" w:color="auto" w:fill="006272"/>
            <w:vAlign w:val="center"/>
          </w:tcPr>
          <w:p w14:paraId="6E587CDE" w14:textId="77777777" w:rsidR="0029089B" w:rsidRDefault="0029089B" w:rsidP="001F4A66">
            <w:pPr>
              <w:pStyle w:val="NoSpacing"/>
              <w:spacing w:before="60" w:after="60"/>
              <w:jc w:val="center"/>
              <w:rPr>
                <w:b/>
                <w:color w:val="FFFFFF" w:themeColor="background1"/>
                <w:sz w:val="16"/>
                <w:szCs w:val="16"/>
              </w:rPr>
            </w:pPr>
            <w:r>
              <w:rPr>
                <w:b/>
                <w:color w:val="FFFFFF" w:themeColor="background1"/>
                <w:sz w:val="16"/>
                <w:szCs w:val="16"/>
              </w:rPr>
              <w:t>Pudeli</w:t>
            </w:r>
            <w:r>
              <w:rPr>
                <w:b/>
                <w:color w:val="FFFFFF" w:themeColor="background1"/>
                <w:sz w:val="16"/>
                <w:szCs w:val="16"/>
              </w:rPr>
              <w:softHyphen/>
              <w:t>kael ELBAS kauplemise järel, tunde</w:t>
            </w:r>
          </w:p>
        </w:tc>
      </w:tr>
      <w:tr w:rsidR="0005077F" w14:paraId="0631ACF0" w14:textId="77777777" w:rsidTr="001F4A66">
        <w:trPr>
          <w:trHeight w:val="454"/>
        </w:trPr>
        <w:tc>
          <w:tcPr>
            <w:tcW w:w="820" w:type="dxa"/>
            <w:vAlign w:val="center"/>
          </w:tcPr>
          <w:p w14:paraId="546A0952" w14:textId="77777777" w:rsidR="0029089B" w:rsidRPr="00D231C5" w:rsidRDefault="0029089B" w:rsidP="001F4A66">
            <w:pPr>
              <w:pStyle w:val="NoSpacing"/>
              <w:spacing w:before="60" w:after="60"/>
              <w:jc w:val="left"/>
              <w:rPr>
                <w:sz w:val="16"/>
                <w:szCs w:val="16"/>
              </w:rPr>
            </w:pPr>
            <w:r>
              <w:rPr>
                <w:sz w:val="16"/>
                <w:szCs w:val="16"/>
              </w:rPr>
              <w:t>EE&gt;FI</w:t>
            </w:r>
          </w:p>
        </w:tc>
        <w:tc>
          <w:tcPr>
            <w:tcW w:w="902" w:type="dxa"/>
            <w:vAlign w:val="center"/>
          </w:tcPr>
          <w:p w14:paraId="02F46EDA" w14:textId="72524CE7" w:rsidR="0029089B" w:rsidRPr="00D231C5" w:rsidRDefault="0029089B" w:rsidP="001F4A66">
            <w:pPr>
              <w:pStyle w:val="NoSpacing"/>
              <w:spacing w:before="60" w:after="60"/>
              <w:jc w:val="center"/>
              <w:rPr>
                <w:sz w:val="16"/>
                <w:szCs w:val="16"/>
              </w:rPr>
            </w:pPr>
            <w:r>
              <w:rPr>
                <w:sz w:val="16"/>
                <w:szCs w:val="16"/>
              </w:rPr>
              <w:t xml:space="preserve">2121/8784 </w:t>
            </w:r>
            <w:r>
              <w:rPr>
                <w:color w:val="7F7F7F" w:themeColor="text1" w:themeTint="80"/>
                <w:sz w:val="16"/>
                <w:szCs w:val="16"/>
              </w:rPr>
              <w:t>170</w:t>
            </w:r>
            <w:r w:rsidRPr="009202D4">
              <w:rPr>
                <w:color w:val="7F7F7F" w:themeColor="text1" w:themeTint="80"/>
                <w:sz w:val="16"/>
                <w:szCs w:val="16"/>
              </w:rPr>
              <w:t>/</w:t>
            </w:r>
            <w:r>
              <w:rPr>
                <w:color w:val="7F7F7F" w:themeColor="text1" w:themeTint="80"/>
                <w:sz w:val="16"/>
                <w:szCs w:val="16"/>
              </w:rPr>
              <w:t>8760</w:t>
            </w:r>
          </w:p>
        </w:tc>
        <w:tc>
          <w:tcPr>
            <w:tcW w:w="933" w:type="dxa"/>
            <w:vAlign w:val="center"/>
          </w:tcPr>
          <w:p w14:paraId="764D4F6C" w14:textId="2CD904E4" w:rsidR="0029089B" w:rsidRPr="00D231C5" w:rsidRDefault="0005077F" w:rsidP="001F4A66">
            <w:pPr>
              <w:pStyle w:val="NoSpacing"/>
              <w:spacing w:before="60" w:after="60"/>
              <w:jc w:val="center"/>
              <w:rPr>
                <w:sz w:val="16"/>
                <w:szCs w:val="16"/>
              </w:rPr>
            </w:pPr>
            <w:r>
              <w:rPr>
                <w:sz w:val="16"/>
                <w:szCs w:val="16"/>
              </w:rPr>
              <w:t>7,3</w:t>
            </w:r>
            <w:r w:rsidR="0029089B">
              <w:rPr>
                <w:sz w:val="16"/>
                <w:szCs w:val="16"/>
              </w:rPr>
              <w:t xml:space="preserve">% </w:t>
            </w:r>
            <w:r w:rsidR="0029089B" w:rsidRPr="009202D4">
              <w:rPr>
                <w:color w:val="7F7F7F" w:themeColor="text1" w:themeTint="80"/>
                <w:sz w:val="16"/>
                <w:szCs w:val="16"/>
              </w:rPr>
              <w:t>(</w:t>
            </w:r>
            <w:r w:rsidRPr="0005077F">
              <w:rPr>
                <w:color w:val="7F7F7F" w:themeColor="text1" w:themeTint="80"/>
                <w:sz w:val="16"/>
                <w:szCs w:val="16"/>
              </w:rPr>
              <w:t>0,3</w:t>
            </w:r>
            <w:r w:rsidR="0029089B" w:rsidRPr="009202D4">
              <w:rPr>
                <w:color w:val="7F7F7F" w:themeColor="text1" w:themeTint="80"/>
                <w:sz w:val="16"/>
                <w:szCs w:val="16"/>
              </w:rPr>
              <w:t>%)</w:t>
            </w:r>
          </w:p>
        </w:tc>
        <w:tc>
          <w:tcPr>
            <w:tcW w:w="978" w:type="dxa"/>
          </w:tcPr>
          <w:p w14:paraId="0EECE537" w14:textId="115AB84D" w:rsidR="0029089B" w:rsidRDefault="0005077F" w:rsidP="001F4A66">
            <w:pPr>
              <w:pStyle w:val="NoSpacing"/>
              <w:spacing w:before="60" w:after="60"/>
              <w:jc w:val="center"/>
              <w:rPr>
                <w:sz w:val="16"/>
                <w:szCs w:val="16"/>
              </w:rPr>
            </w:pPr>
            <w:r>
              <w:rPr>
                <w:sz w:val="16"/>
                <w:szCs w:val="16"/>
              </w:rPr>
              <w:t>62/8784</w:t>
            </w:r>
            <w:r w:rsidR="0029089B">
              <w:rPr>
                <w:sz w:val="16"/>
                <w:szCs w:val="16"/>
              </w:rPr>
              <w:t xml:space="preserve"> </w:t>
            </w:r>
            <w:r>
              <w:rPr>
                <w:color w:val="7F7F7F" w:themeColor="text1" w:themeTint="80"/>
                <w:sz w:val="16"/>
                <w:szCs w:val="16"/>
              </w:rPr>
              <w:t>18</w:t>
            </w:r>
            <w:r w:rsidR="0029089B" w:rsidRPr="009202D4">
              <w:rPr>
                <w:color w:val="7F7F7F" w:themeColor="text1" w:themeTint="80"/>
                <w:sz w:val="16"/>
                <w:szCs w:val="16"/>
              </w:rPr>
              <w:t>/</w:t>
            </w:r>
            <w:r>
              <w:rPr>
                <w:color w:val="7F7F7F" w:themeColor="text1" w:themeTint="80"/>
                <w:sz w:val="16"/>
                <w:szCs w:val="16"/>
              </w:rPr>
              <w:t>8760</w:t>
            </w:r>
          </w:p>
        </w:tc>
        <w:tc>
          <w:tcPr>
            <w:tcW w:w="1040" w:type="dxa"/>
          </w:tcPr>
          <w:p w14:paraId="312226A7" w14:textId="1E521061" w:rsidR="0029089B" w:rsidRDefault="00942ADB" w:rsidP="001F4A66">
            <w:pPr>
              <w:pStyle w:val="NoSpacing"/>
              <w:spacing w:before="60" w:after="60"/>
              <w:jc w:val="center"/>
              <w:rPr>
                <w:sz w:val="16"/>
                <w:szCs w:val="16"/>
              </w:rPr>
            </w:pPr>
            <w:r>
              <w:rPr>
                <w:sz w:val="16"/>
                <w:szCs w:val="16"/>
              </w:rPr>
              <w:t>26</w:t>
            </w:r>
            <w:r w:rsidR="0029089B">
              <w:rPr>
                <w:sz w:val="16"/>
                <w:szCs w:val="16"/>
              </w:rPr>
              <w:t>/</w:t>
            </w:r>
            <w:r>
              <w:rPr>
                <w:sz w:val="16"/>
                <w:szCs w:val="16"/>
              </w:rPr>
              <w:t>8784</w:t>
            </w:r>
            <w:r w:rsidR="0029089B">
              <w:rPr>
                <w:sz w:val="16"/>
                <w:szCs w:val="16"/>
              </w:rPr>
              <w:t xml:space="preserve"> </w:t>
            </w:r>
            <w:r>
              <w:rPr>
                <w:color w:val="7F7F7F" w:themeColor="text1" w:themeTint="80"/>
                <w:sz w:val="16"/>
                <w:szCs w:val="16"/>
              </w:rPr>
              <w:t>12</w:t>
            </w:r>
            <w:r w:rsidR="0029089B" w:rsidRPr="009202D4">
              <w:rPr>
                <w:color w:val="7F7F7F" w:themeColor="text1" w:themeTint="80"/>
                <w:sz w:val="16"/>
                <w:szCs w:val="16"/>
              </w:rPr>
              <w:t>/</w:t>
            </w:r>
            <w:r>
              <w:rPr>
                <w:color w:val="7F7F7F" w:themeColor="text1" w:themeTint="80"/>
                <w:sz w:val="16"/>
                <w:szCs w:val="16"/>
              </w:rPr>
              <w:t>8760</w:t>
            </w:r>
          </w:p>
        </w:tc>
      </w:tr>
      <w:tr w:rsidR="0005077F" w14:paraId="4D52AF70" w14:textId="77777777" w:rsidTr="001F4A66">
        <w:trPr>
          <w:trHeight w:val="454"/>
        </w:trPr>
        <w:tc>
          <w:tcPr>
            <w:tcW w:w="820" w:type="dxa"/>
            <w:vAlign w:val="center"/>
          </w:tcPr>
          <w:p w14:paraId="3AC4259D" w14:textId="77777777" w:rsidR="0029089B" w:rsidRDefault="0029089B" w:rsidP="001F4A66">
            <w:pPr>
              <w:pStyle w:val="NoSpacing"/>
              <w:spacing w:before="60" w:after="60"/>
              <w:jc w:val="left"/>
              <w:rPr>
                <w:sz w:val="16"/>
                <w:szCs w:val="16"/>
              </w:rPr>
            </w:pPr>
            <w:r>
              <w:rPr>
                <w:sz w:val="16"/>
                <w:szCs w:val="16"/>
              </w:rPr>
              <w:t>FI&gt;EE</w:t>
            </w:r>
          </w:p>
        </w:tc>
        <w:tc>
          <w:tcPr>
            <w:tcW w:w="902" w:type="dxa"/>
            <w:vAlign w:val="center"/>
          </w:tcPr>
          <w:p w14:paraId="11E3DB3E" w14:textId="7FC4B189" w:rsidR="0029089B" w:rsidRPr="00D231C5" w:rsidRDefault="0029089B" w:rsidP="001F4A66">
            <w:pPr>
              <w:pStyle w:val="NoSpacing"/>
              <w:spacing w:before="60" w:after="60"/>
              <w:jc w:val="center"/>
              <w:rPr>
                <w:sz w:val="16"/>
                <w:szCs w:val="16"/>
              </w:rPr>
            </w:pPr>
            <w:r>
              <w:rPr>
                <w:sz w:val="16"/>
                <w:szCs w:val="16"/>
              </w:rPr>
              <w:t xml:space="preserve">6102/8784 </w:t>
            </w:r>
            <w:r>
              <w:rPr>
                <w:color w:val="7F7F7F" w:themeColor="text1" w:themeTint="80"/>
                <w:sz w:val="16"/>
                <w:szCs w:val="16"/>
              </w:rPr>
              <w:t>8584</w:t>
            </w:r>
            <w:r w:rsidRPr="009202D4">
              <w:rPr>
                <w:color w:val="7F7F7F" w:themeColor="text1" w:themeTint="80"/>
                <w:sz w:val="16"/>
                <w:szCs w:val="16"/>
              </w:rPr>
              <w:t>/</w:t>
            </w:r>
            <w:r>
              <w:rPr>
                <w:color w:val="7F7F7F" w:themeColor="text1" w:themeTint="80"/>
                <w:sz w:val="16"/>
                <w:szCs w:val="16"/>
              </w:rPr>
              <w:t>8760</w:t>
            </w:r>
          </w:p>
        </w:tc>
        <w:tc>
          <w:tcPr>
            <w:tcW w:w="933" w:type="dxa"/>
            <w:vAlign w:val="center"/>
          </w:tcPr>
          <w:p w14:paraId="6D5E9FE1" w14:textId="630DA470" w:rsidR="0029089B" w:rsidRDefault="0005077F" w:rsidP="001F4A66">
            <w:pPr>
              <w:pStyle w:val="NoSpacing"/>
              <w:spacing w:before="60" w:after="60"/>
              <w:jc w:val="center"/>
              <w:rPr>
                <w:sz w:val="16"/>
                <w:szCs w:val="16"/>
              </w:rPr>
            </w:pPr>
            <w:r>
              <w:rPr>
                <w:sz w:val="16"/>
                <w:szCs w:val="16"/>
              </w:rPr>
              <w:t>35,6</w:t>
            </w:r>
            <w:r w:rsidR="0029089B">
              <w:rPr>
                <w:sz w:val="16"/>
                <w:szCs w:val="16"/>
              </w:rPr>
              <w:t xml:space="preserve">% </w:t>
            </w:r>
            <w:r w:rsidR="0029089B" w:rsidRPr="009202D4">
              <w:rPr>
                <w:color w:val="7F7F7F" w:themeColor="text1" w:themeTint="80"/>
                <w:sz w:val="16"/>
                <w:szCs w:val="16"/>
              </w:rPr>
              <w:t>(</w:t>
            </w:r>
            <w:r w:rsidR="0029089B">
              <w:rPr>
                <w:color w:val="7F7F7F" w:themeColor="text1" w:themeTint="80"/>
                <w:sz w:val="16"/>
                <w:szCs w:val="16"/>
              </w:rPr>
              <w:t>6</w:t>
            </w:r>
            <w:r>
              <w:rPr>
                <w:color w:val="7F7F7F" w:themeColor="text1" w:themeTint="80"/>
                <w:sz w:val="16"/>
                <w:szCs w:val="16"/>
              </w:rPr>
              <w:t>2,3</w:t>
            </w:r>
            <w:r w:rsidR="0029089B" w:rsidRPr="009202D4">
              <w:rPr>
                <w:color w:val="7F7F7F" w:themeColor="text1" w:themeTint="80"/>
                <w:sz w:val="16"/>
                <w:szCs w:val="16"/>
              </w:rPr>
              <w:t>%)</w:t>
            </w:r>
          </w:p>
        </w:tc>
        <w:tc>
          <w:tcPr>
            <w:tcW w:w="978" w:type="dxa"/>
          </w:tcPr>
          <w:p w14:paraId="62286A14" w14:textId="1EFCC40B" w:rsidR="0029089B" w:rsidRDefault="0005077F" w:rsidP="001F4A66">
            <w:pPr>
              <w:pStyle w:val="NoSpacing"/>
              <w:spacing w:before="60" w:after="60"/>
              <w:jc w:val="center"/>
              <w:rPr>
                <w:sz w:val="16"/>
                <w:szCs w:val="16"/>
              </w:rPr>
            </w:pPr>
            <w:r>
              <w:rPr>
                <w:sz w:val="16"/>
                <w:szCs w:val="16"/>
              </w:rPr>
              <w:t>917</w:t>
            </w:r>
            <w:r w:rsidR="0029089B">
              <w:rPr>
                <w:sz w:val="16"/>
                <w:szCs w:val="16"/>
              </w:rPr>
              <w:t>/</w:t>
            </w:r>
            <w:r>
              <w:rPr>
                <w:sz w:val="16"/>
                <w:szCs w:val="16"/>
              </w:rPr>
              <w:t>8784</w:t>
            </w:r>
            <w:r w:rsidR="0029089B">
              <w:rPr>
                <w:sz w:val="16"/>
                <w:szCs w:val="16"/>
              </w:rPr>
              <w:t xml:space="preserve"> </w:t>
            </w:r>
            <w:r>
              <w:rPr>
                <w:color w:val="7F7F7F" w:themeColor="text1" w:themeTint="80"/>
                <w:sz w:val="16"/>
                <w:szCs w:val="16"/>
              </w:rPr>
              <w:t>1022</w:t>
            </w:r>
            <w:r w:rsidR="0029089B">
              <w:rPr>
                <w:color w:val="7F7F7F" w:themeColor="text1" w:themeTint="80"/>
                <w:sz w:val="16"/>
                <w:szCs w:val="16"/>
              </w:rPr>
              <w:t>/</w:t>
            </w:r>
            <w:r>
              <w:rPr>
                <w:color w:val="7F7F7F" w:themeColor="text1" w:themeTint="80"/>
                <w:sz w:val="16"/>
                <w:szCs w:val="16"/>
              </w:rPr>
              <w:t>8760</w:t>
            </w:r>
          </w:p>
        </w:tc>
        <w:tc>
          <w:tcPr>
            <w:tcW w:w="1040" w:type="dxa"/>
          </w:tcPr>
          <w:p w14:paraId="437A7E79" w14:textId="6D0C4BCB" w:rsidR="0029089B" w:rsidRDefault="00942ADB" w:rsidP="001F4A66">
            <w:pPr>
              <w:pStyle w:val="NoSpacing"/>
              <w:spacing w:before="60" w:after="60"/>
              <w:jc w:val="center"/>
              <w:rPr>
                <w:sz w:val="16"/>
                <w:szCs w:val="16"/>
              </w:rPr>
            </w:pPr>
            <w:r>
              <w:rPr>
                <w:sz w:val="16"/>
                <w:szCs w:val="16"/>
              </w:rPr>
              <w:t>656</w:t>
            </w:r>
            <w:r w:rsidR="0029089B">
              <w:rPr>
                <w:sz w:val="16"/>
                <w:szCs w:val="16"/>
              </w:rPr>
              <w:t>/</w:t>
            </w:r>
            <w:r>
              <w:rPr>
                <w:sz w:val="16"/>
                <w:szCs w:val="16"/>
              </w:rPr>
              <w:t>8784</w:t>
            </w:r>
            <w:r w:rsidR="0029089B">
              <w:rPr>
                <w:sz w:val="16"/>
                <w:szCs w:val="16"/>
              </w:rPr>
              <w:t xml:space="preserve"> </w:t>
            </w:r>
            <w:r>
              <w:rPr>
                <w:color w:val="7F7F7F" w:themeColor="text1" w:themeTint="80"/>
                <w:sz w:val="16"/>
                <w:szCs w:val="16"/>
              </w:rPr>
              <w:t>906</w:t>
            </w:r>
            <w:r w:rsidR="0029089B" w:rsidRPr="009202D4">
              <w:rPr>
                <w:color w:val="7F7F7F" w:themeColor="text1" w:themeTint="80"/>
                <w:sz w:val="16"/>
                <w:szCs w:val="16"/>
              </w:rPr>
              <w:t>/</w:t>
            </w:r>
            <w:r>
              <w:rPr>
                <w:color w:val="7F7F7F" w:themeColor="text1" w:themeTint="80"/>
                <w:sz w:val="16"/>
                <w:szCs w:val="16"/>
              </w:rPr>
              <w:t>8760</w:t>
            </w:r>
          </w:p>
        </w:tc>
      </w:tr>
      <w:tr w:rsidR="0005077F" w14:paraId="6A7DCF66" w14:textId="77777777" w:rsidTr="001F4A66">
        <w:trPr>
          <w:trHeight w:val="454"/>
        </w:trPr>
        <w:tc>
          <w:tcPr>
            <w:tcW w:w="820" w:type="dxa"/>
            <w:vAlign w:val="center"/>
          </w:tcPr>
          <w:p w14:paraId="78214077" w14:textId="77777777" w:rsidR="0029089B" w:rsidRPr="00D231C5" w:rsidRDefault="0029089B" w:rsidP="001F4A66">
            <w:pPr>
              <w:pStyle w:val="NoSpacing"/>
              <w:spacing w:before="60" w:after="60"/>
              <w:jc w:val="left"/>
              <w:rPr>
                <w:sz w:val="16"/>
                <w:szCs w:val="16"/>
              </w:rPr>
            </w:pPr>
            <w:r>
              <w:rPr>
                <w:sz w:val="16"/>
                <w:szCs w:val="16"/>
              </w:rPr>
              <w:t>EE&gt;LV</w:t>
            </w:r>
          </w:p>
        </w:tc>
        <w:tc>
          <w:tcPr>
            <w:tcW w:w="902" w:type="dxa"/>
            <w:vAlign w:val="center"/>
          </w:tcPr>
          <w:p w14:paraId="2EB2FAD6" w14:textId="2D9BBB6D" w:rsidR="0029089B" w:rsidRPr="00D231C5" w:rsidRDefault="0029089B" w:rsidP="001F4A66">
            <w:pPr>
              <w:pStyle w:val="NoSpacing"/>
              <w:spacing w:before="60" w:after="60"/>
              <w:jc w:val="center"/>
              <w:rPr>
                <w:sz w:val="16"/>
                <w:szCs w:val="16"/>
              </w:rPr>
            </w:pPr>
            <w:r>
              <w:rPr>
                <w:sz w:val="16"/>
                <w:szCs w:val="16"/>
              </w:rPr>
              <w:t xml:space="preserve">8108/8784 </w:t>
            </w:r>
            <w:r>
              <w:rPr>
                <w:color w:val="7F7F7F" w:themeColor="text1" w:themeTint="80"/>
                <w:sz w:val="16"/>
                <w:szCs w:val="16"/>
              </w:rPr>
              <w:t>8744</w:t>
            </w:r>
            <w:r w:rsidRPr="009202D4">
              <w:rPr>
                <w:color w:val="7F7F7F" w:themeColor="text1" w:themeTint="80"/>
                <w:sz w:val="16"/>
                <w:szCs w:val="16"/>
              </w:rPr>
              <w:t>/</w:t>
            </w:r>
            <w:r>
              <w:rPr>
                <w:color w:val="7F7F7F" w:themeColor="text1" w:themeTint="80"/>
                <w:sz w:val="16"/>
                <w:szCs w:val="16"/>
              </w:rPr>
              <w:t>8760</w:t>
            </w:r>
          </w:p>
        </w:tc>
        <w:tc>
          <w:tcPr>
            <w:tcW w:w="933" w:type="dxa"/>
            <w:vAlign w:val="center"/>
          </w:tcPr>
          <w:p w14:paraId="234DA2E9" w14:textId="343C7BDF" w:rsidR="0029089B" w:rsidRPr="00D231C5" w:rsidRDefault="0005077F" w:rsidP="001F4A66">
            <w:pPr>
              <w:pStyle w:val="NoSpacing"/>
              <w:spacing w:before="60" w:after="60"/>
              <w:jc w:val="center"/>
              <w:rPr>
                <w:sz w:val="16"/>
                <w:szCs w:val="16"/>
              </w:rPr>
            </w:pPr>
            <w:r>
              <w:rPr>
                <w:sz w:val="16"/>
                <w:szCs w:val="16"/>
              </w:rPr>
              <w:t>65,8</w:t>
            </w:r>
            <w:r w:rsidR="0029089B">
              <w:rPr>
                <w:sz w:val="16"/>
                <w:szCs w:val="16"/>
              </w:rPr>
              <w:t xml:space="preserve">% </w:t>
            </w:r>
            <w:r w:rsidR="0029089B" w:rsidRPr="009202D4">
              <w:rPr>
                <w:color w:val="7F7F7F" w:themeColor="text1" w:themeTint="80"/>
                <w:sz w:val="16"/>
                <w:szCs w:val="16"/>
              </w:rPr>
              <w:t>(</w:t>
            </w:r>
            <w:r>
              <w:rPr>
                <w:color w:val="7F7F7F" w:themeColor="text1" w:themeTint="80"/>
                <w:sz w:val="16"/>
                <w:szCs w:val="16"/>
              </w:rPr>
              <w:t>92,3</w:t>
            </w:r>
            <w:r w:rsidR="0029089B" w:rsidRPr="009202D4">
              <w:rPr>
                <w:color w:val="7F7F7F" w:themeColor="text1" w:themeTint="80"/>
                <w:sz w:val="16"/>
                <w:szCs w:val="16"/>
              </w:rPr>
              <w:t>%)</w:t>
            </w:r>
          </w:p>
        </w:tc>
        <w:tc>
          <w:tcPr>
            <w:tcW w:w="978" w:type="dxa"/>
          </w:tcPr>
          <w:p w14:paraId="746F7CD6" w14:textId="595AF09B" w:rsidR="0029089B" w:rsidRDefault="0005077F" w:rsidP="001F4A66">
            <w:pPr>
              <w:pStyle w:val="NoSpacing"/>
              <w:spacing w:before="60" w:after="60"/>
              <w:jc w:val="center"/>
              <w:rPr>
                <w:sz w:val="16"/>
                <w:szCs w:val="16"/>
              </w:rPr>
            </w:pPr>
            <w:r>
              <w:rPr>
                <w:sz w:val="16"/>
                <w:szCs w:val="16"/>
              </w:rPr>
              <w:t>2670</w:t>
            </w:r>
            <w:r w:rsidR="0029089B">
              <w:rPr>
                <w:sz w:val="16"/>
                <w:szCs w:val="16"/>
              </w:rPr>
              <w:t>/</w:t>
            </w:r>
            <w:r>
              <w:rPr>
                <w:sz w:val="16"/>
                <w:szCs w:val="16"/>
              </w:rPr>
              <w:t>8</w:t>
            </w:r>
            <w:r w:rsidR="0029089B">
              <w:rPr>
                <w:sz w:val="16"/>
                <w:szCs w:val="16"/>
              </w:rPr>
              <w:t>7</w:t>
            </w:r>
            <w:r>
              <w:rPr>
                <w:sz w:val="16"/>
                <w:szCs w:val="16"/>
              </w:rPr>
              <w:t>84</w:t>
            </w:r>
            <w:r w:rsidR="0029089B">
              <w:rPr>
                <w:sz w:val="16"/>
                <w:szCs w:val="16"/>
              </w:rPr>
              <w:t xml:space="preserve"> </w:t>
            </w:r>
            <w:r>
              <w:rPr>
                <w:color w:val="7F7F7F" w:themeColor="text1" w:themeTint="80"/>
                <w:sz w:val="16"/>
                <w:szCs w:val="16"/>
              </w:rPr>
              <w:t>5791</w:t>
            </w:r>
            <w:r w:rsidR="0029089B" w:rsidRPr="009202D4">
              <w:rPr>
                <w:color w:val="7F7F7F" w:themeColor="text1" w:themeTint="80"/>
                <w:sz w:val="16"/>
                <w:szCs w:val="16"/>
              </w:rPr>
              <w:t>/</w:t>
            </w:r>
            <w:r>
              <w:rPr>
                <w:color w:val="7F7F7F" w:themeColor="text1" w:themeTint="80"/>
                <w:sz w:val="16"/>
                <w:szCs w:val="16"/>
              </w:rPr>
              <w:t>8760</w:t>
            </w:r>
          </w:p>
        </w:tc>
        <w:tc>
          <w:tcPr>
            <w:tcW w:w="1040" w:type="dxa"/>
          </w:tcPr>
          <w:p w14:paraId="741526C8" w14:textId="40BCD3A6" w:rsidR="0029089B" w:rsidRDefault="00942ADB" w:rsidP="001F4A66">
            <w:pPr>
              <w:pStyle w:val="NoSpacing"/>
              <w:spacing w:before="60" w:after="60"/>
              <w:jc w:val="center"/>
              <w:rPr>
                <w:sz w:val="16"/>
                <w:szCs w:val="16"/>
              </w:rPr>
            </w:pPr>
            <w:r>
              <w:rPr>
                <w:sz w:val="16"/>
                <w:szCs w:val="16"/>
              </w:rPr>
              <w:t>1884</w:t>
            </w:r>
            <w:r w:rsidR="0029089B">
              <w:rPr>
                <w:sz w:val="16"/>
                <w:szCs w:val="16"/>
              </w:rPr>
              <w:t>/</w:t>
            </w:r>
            <w:r>
              <w:rPr>
                <w:sz w:val="16"/>
                <w:szCs w:val="16"/>
              </w:rPr>
              <w:t>8784</w:t>
            </w:r>
            <w:r w:rsidR="0029089B">
              <w:rPr>
                <w:sz w:val="16"/>
                <w:szCs w:val="16"/>
              </w:rPr>
              <w:t xml:space="preserve"> </w:t>
            </w:r>
            <w:r>
              <w:rPr>
                <w:color w:val="7F7F7F" w:themeColor="text1" w:themeTint="80"/>
                <w:sz w:val="16"/>
                <w:szCs w:val="16"/>
              </w:rPr>
              <w:t>4798</w:t>
            </w:r>
            <w:r w:rsidR="0029089B" w:rsidRPr="009202D4">
              <w:rPr>
                <w:color w:val="7F7F7F" w:themeColor="text1" w:themeTint="80"/>
                <w:sz w:val="16"/>
                <w:szCs w:val="16"/>
              </w:rPr>
              <w:t>/</w:t>
            </w:r>
            <w:r>
              <w:rPr>
                <w:color w:val="7F7F7F" w:themeColor="text1" w:themeTint="80"/>
                <w:sz w:val="16"/>
                <w:szCs w:val="16"/>
              </w:rPr>
              <w:t>8760</w:t>
            </w:r>
          </w:p>
        </w:tc>
      </w:tr>
      <w:tr w:rsidR="0005077F" w14:paraId="7B9E083E" w14:textId="77777777" w:rsidTr="001F4A66">
        <w:trPr>
          <w:trHeight w:val="454"/>
        </w:trPr>
        <w:tc>
          <w:tcPr>
            <w:tcW w:w="820" w:type="dxa"/>
            <w:vAlign w:val="center"/>
          </w:tcPr>
          <w:p w14:paraId="778A68EC" w14:textId="77777777" w:rsidR="0029089B" w:rsidRPr="00D231C5" w:rsidRDefault="0029089B" w:rsidP="001F4A66">
            <w:pPr>
              <w:pStyle w:val="NoSpacing"/>
              <w:spacing w:before="60" w:after="60"/>
              <w:jc w:val="left"/>
              <w:rPr>
                <w:sz w:val="16"/>
                <w:szCs w:val="16"/>
              </w:rPr>
            </w:pPr>
            <w:r>
              <w:rPr>
                <w:sz w:val="16"/>
                <w:szCs w:val="16"/>
              </w:rPr>
              <w:t>LV&gt;EE</w:t>
            </w:r>
          </w:p>
        </w:tc>
        <w:tc>
          <w:tcPr>
            <w:tcW w:w="902" w:type="dxa"/>
            <w:vAlign w:val="center"/>
          </w:tcPr>
          <w:p w14:paraId="13E82304" w14:textId="336EB078" w:rsidR="0029089B" w:rsidRPr="00D231C5" w:rsidRDefault="0029089B" w:rsidP="001F4A66">
            <w:pPr>
              <w:pStyle w:val="NoSpacing"/>
              <w:spacing w:before="60" w:after="60"/>
              <w:jc w:val="center"/>
              <w:rPr>
                <w:sz w:val="16"/>
                <w:szCs w:val="16"/>
              </w:rPr>
            </w:pPr>
            <w:r>
              <w:rPr>
                <w:sz w:val="16"/>
                <w:szCs w:val="16"/>
              </w:rPr>
              <w:t xml:space="preserve">467/8784 </w:t>
            </w:r>
            <w:r>
              <w:rPr>
                <w:color w:val="7F7F7F" w:themeColor="text1" w:themeTint="80"/>
                <w:sz w:val="16"/>
                <w:szCs w:val="16"/>
              </w:rPr>
              <w:t>16</w:t>
            </w:r>
            <w:r w:rsidRPr="009202D4">
              <w:rPr>
                <w:color w:val="7F7F7F" w:themeColor="text1" w:themeTint="80"/>
                <w:sz w:val="16"/>
                <w:szCs w:val="16"/>
              </w:rPr>
              <w:t>/</w:t>
            </w:r>
            <w:r>
              <w:rPr>
                <w:color w:val="7F7F7F" w:themeColor="text1" w:themeTint="80"/>
                <w:sz w:val="16"/>
                <w:szCs w:val="16"/>
              </w:rPr>
              <w:t>8760</w:t>
            </w:r>
          </w:p>
        </w:tc>
        <w:tc>
          <w:tcPr>
            <w:tcW w:w="933" w:type="dxa"/>
            <w:vAlign w:val="center"/>
          </w:tcPr>
          <w:p w14:paraId="4B941EE7" w14:textId="75E6AD28" w:rsidR="0029089B" w:rsidRPr="00D231C5" w:rsidRDefault="0005077F" w:rsidP="001F4A66">
            <w:pPr>
              <w:pStyle w:val="NoSpacing"/>
              <w:spacing w:before="60" w:after="60"/>
              <w:jc w:val="center"/>
              <w:rPr>
                <w:sz w:val="16"/>
                <w:szCs w:val="16"/>
              </w:rPr>
            </w:pPr>
            <w:r>
              <w:rPr>
                <w:sz w:val="16"/>
                <w:szCs w:val="16"/>
              </w:rPr>
              <w:t>1,5</w:t>
            </w:r>
            <w:r w:rsidR="0029089B">
              <w:rPr>
                <w:sz w:val="16"/>
                <w:szCs w:val="16"/>
              </w:rPr>
              <w:t xml:space="preserve">%   </w:t>
            </w:r>
            <w:r w:rsidR="0029089B" w:rsidRPr="009202D4">
              <w:rPr>
                <w:color w:val="7F7F7F" w:themeColor="text1" w:themeTint="80"/>
                <w:sz w:val="16"/>
                <w:szCs w:val="16"/>
              </w:rPr>
              <w:t>(</w:t>
            </w:r>
            <w:r w:rsidR="0029089B">
              <w:rPr>
                <w:color w:val="7F7F7F" w:themeColor="text1" w:themeTint="80"/>
                <w:sz w:val="16"/>
                <w:szCs w:val="16"/>
              </w:rPr>
              <w:t>0,</w:t>
            </w:r>
            <w:r>
              <w:rPr>
                <w:color w:val="7F7F7F" w:themeColor="text1" w:themeTint="80"/>
                <w:sz w:val="16"/>
                <w:szCs w:val="16"/>
              </w:rPr>
              <w:t>0</w:t>
            </w:r>
            <w:r w:rsidR="0029089B" w:rsidRPr="009202D4">
              <w:rPr>
                <w:color w:val="7F7F7F" w:themeColor="text1" w:themeTint="80"/>
                <w:sz w:val="16"/>
                <w:szCs w:val="16"/>
              </w:rPr>
              <w:t>%)</w:t>
            </w:r>
          </w:p>
        </w:tc>
        <w:tc>
          <w:tcPr>
            <w:tcW w:w="978" w:type="dxa"/>
          </w:tcPr>
          <w:p w14:paraId="0C726494" w14:textId="45C7233D" w:rsidR="0029089B" w:rsidRDefault="0005077F" w:rsidP="001F4A66">
            <w:pPr>
              <w:pStyle w:val="NoSpacing"/>
              <w:spacing w:before="60" w:after="60"/>
              <w:jc w:val="center"/>
              <w:rPr>
                <w:sz w:val="16"/>
                <w:szCs w:val="16"/>
              </w:rPr>
            </w:pPr>
            <w:r>
              <w:rPr>
                <w:sz w:val="16"/>
                <w:szCs w:val="16"/>
              </w:rPr>
              <w:t>62</w:t>
            </w:r>
            <w:r w:rsidR="0029089B">
              <w:rPr>
                <w:sz w:val="16"/>
                <w:szCs w:val="16"/>
              </w:rPr>
              <w:t>/</w:t>
            </w:r>
            <w:r>
              <w:rPr>
                <w:sz w:val="16"/>
                <w:szCs w:val="16"/>
              </w:rPr>
              <w:t>8784</w:t>
            </w:r>
            <w:r w:rsidR="0029089B">
              <w:rPr>
                <w:sz w:val="16"/>
                <w:szCs w:val="16"/>
              </w:rPr>
              <w:t xml:space="preserve"> </w:t>
            </w:r>
            <w:r>
              <w:rPr>
                <w:color w:val="7F7F7F" w:themeColor="text1" w:themeTint="80"/>
                <w:sz w:val="16"/>
                <w:szCs w:val="16"/>
              </w:rPr>
              <w:t>1/8760</w:t>
            </w:r>
          </w:p>
        </w:tc>
        <w:tc>
          <w:tcPr>
            <w:tcW w:w="1040" w:type="dxa"/>
          </w:tcPr>
          <w:p w14:paraId="1B894162" w14:textId="0BE93D06" w:rsidR="0029089B" w:rsidRDefault="00942ADB" w:rsidP="001F4A66">
            <w:pPr>
              <w:pStyle w:val="NoSpacing"/>
              <w:spacing w:before="60" w:after="60"/>
              <w:jc w:val="center"/>
              <w:rPr>
                <w:sz w:val="16"/>
                <w:szCs w:val="16"/>
              </w:rPr>
            </w:pPr>
            <w:r>
              <w:rPr>
                <w:sz w:val="16"/>
                <w:szCs w:val="16"/>
              </w:rPr>
              <w:t>32</w:t>
            </w:r>
            <w:r w:rsidR="0029089B">
              <w:rPr>
                <w:sz w:val="16"/>
                <w:szCs w:val="16"/>
              </w:rPr>
              <w:t>/</w:t>
            </w:r>
            <w:r>
              <w:rPr>
                <w:sz w:val="16"/>
                <w:szCs w:val="16"/>
              </w:rPr>
              <w:t>8784</w:t>
            </w:r>
            <w:r w:rsidR="0029089B">
              <w:rPr>
                <w:sz w:val="16"/>
                <w:szCs w:val="16"/>
              </w:rPr>
              <w:t xml:space="preserve"> </w:t>
            </w:r>
            <w:r>
              <w:rPr>
                <w:color w:val="7F7F7F" w:themeColor="text1" w:themeTint="80"/>
                <w:sz w:val="16"/>
                <w:szCs w:val="16"/>
              </w:rPr>
              <w:t>13/8760</w:t>
            </w:r>
          </w:p>
        </w:tc>
      </w:tr>
    </w:tbl>
    <w:p w14:paraId="78AF22D6" w14:textId="0B7BD48E" w:rsidR="0029089B" w:rsidRDefault="0029089B" w:rsidP="0029089B">
      <w:pPr>
        <w:rPr>
          <w:rStyle w:val="SubtleEmphasis"/>
        </w:rPr>
      </w:pPr>
      <w:r w:rsidRPr="007B2B0F">
        <w:rPr>
          <w:rStyle w:val="SubtleEmphasis"/>
        </w:rPr>
        <w:t xml:space="preserve">* Võrdlus eelmise </w:t>
      </w:r>
      <w:r>
        <w:rPr>
          <w:rStyle w:val="SubtleEmphasis"/>
        </w:rPr>
        <w:t>aasta</w:t>
      </w:r>
      <w:r w:rsidRPr="007B2B0F">
        <w:rPr>
          <w:rStyle w:val="SubtleEmphasis"/>
        </w:rPr>
        <w:t>ga</w:t>
      </w:r>
    </w:p>
    <w:p w14:paraId="71D876BB" w14:textId="77777777" w:rsidR="0029089B" w:rsidRPr="007B2B0F" w:rsidRDefault="0029089B" w:rsidP="0029089B">
      <w:pPr>
        <w:rPr>
          <w:rStyle w:val="SubtleEmphasis"/>
        </w:rPr>
      </w:pPr>
    </w:p>
    <w:tbl>
      <w:tblPr>
        <w:tblStyle w:val="TableGrid"/>
        <w:tblW w:w="0" w:type="auto"/>
        <w:tblInd w:w="-5" w:type="dxa"/>
        <w:tblLook w:val="04A0" w:firstRow="1" w:lastRow="0" w:firstColumn="1" w:lastColumn="0" w:noHBand="0" w:noVBand="1"/>
      </w:tblPr>
      <w:tblGrid>
        <w:gridCol w:w="875"/>
        <w:gridCol w:w="1170"/>
        <w:gridCol w:w="1541"/>
        <w:gridCol w:w="1087"/>
      </w:tblGrid>
      <w:tr w:rsidR="0029089B" w14:paraId="45EC6625" w14:textId="77777777" w:rsidTr="001F4A66">
        <w:trPr>
          <w:trHeight w:val="548"/>
        </w:trPr>
        <w:tc>
          <w:tcPr>
            <w:tcW w:w="875" w:type="dxa"/>
            <w:shd w:val="clear" w:color="auto" w:fill="006272"/>
            <w:vAlign w:val="center"/>
          </w:tcPr>
          <w:p w14:paraId="184FE20A" w14:textId="012F024A" w:rsidR="0029089B" w:rsidRPr="00D231C5" w:rsidRDefault="0029089B" w:rsidP="001F4A66">
            <w:pPr>
              <w:pStyle w:val="NoSpacing"/>
              <w:spacing w:before="60" w:after="60"/>
              <w:jc w:val="center"/>
              <w:rPr>
                <w:b/>
                <w:color w:val="FFFFFF" w:themeColor="background1"/>
                <w:sz w:val="16"/>
                <w:szCs w:val="16"/>
              </w:rPr>
            </w:pPr>
            <w:r>
              <w:rPr>
                <w:b/>
                <w:color w:val="FFFFFF" w:themeColor="background1"/>
                <w:sz w:val="16"/>
                <w:szCs w:val="16"/>
              </w:rPr>
              <w:t>2016*</w:t>
            </w:r>
          </w:p>
        </w:tc>
        <w:tc>
          <w:tcPr>
            <w:tcW w:w="1170" w:type="dxa"/>
            <w:shd w:val="clear" w:color="auto" w:fill="006272"/>
            <w:vAlign w:val="center"/>
          </w:tcPr>
          <w:p w14:paraId="4B9F6815" w14:textId="77777777" w:rsidR="0029089B" w:rsidRPr="00D231C5" w:rsidRDefault="0029089B" w:rsidP="001F4A66">
            <w:pPr>
              <w:pStyle w:val="NoSpacing"/>
              <w:spacing w:before="60" w:after="60"/>
              <w:jc w:val="center"/>
              <w:rPr>
                <w:b/>
                <w:color w:val="FFFFFF" w:themeColor="background1"/>
                <w:sz w:val="16"/>
                <w:szCs w:val="16"/>
              </w:rPr>
            </w:pPr>
            <w:r>
              <w:rPr>
                <w:b/>
                <w:color w:val="FFFFFF" w:themeColor="background1"/>
                <w:sz w:val="16"/>
                <w:szCs w:val="16"/>
              </w:rPr>
              <w:t>Piirang, tunde</w:t>
            </w:r>
          </w:p>
        </w:tc>
        <w:tc>
          <w:tcPr>
            <w:tcW w:w="1541" w:type="dxa"/>
            <w:shd w:val="clear" w:color="auto" w:fill="006272"/>
            <w:vAlign w:val="center"/>
          </w:tcPr>
          <w:p w14:paraId="3D68CE49" w14:textId="77777777" w:rsidR="0029089B" w:rsidRDefault="0029089B" w:rsidP="001F4A66">
            <w:pPr>
              <w:pStyle w:val="NoSpacing"/>
              <w:spacing w:before="60" w:after="60"/>
              <w:jc w:val="center"/>
              <w:rPr>
                <w:b/>
                <w:color w:val="FFFFFF" w:themeColor="background1"/>
                <w:sz w:val="16"/>
                <w:szCs w:val="16"/>
              </w:rPr>
            </w:pPr>
            <w:r>
              <w:rPr>
                <w:b/>
                <w:color w:val="FFFFFF" w:themeColor="background1"/>
                <w:sz w:val="16"/>
                <w:szCs w:val="16"/>
              </w:rPr>
              <w:t>Pudelikaela tunnid  normaalrežiimil**</w:t>
            </w:r>
          </w:p>
        </w:tc>
        <w:tc>
          <w:tcPr>
            <w:tcW w:w="1087" w:type="dxa"/>
            <w:shd w:val="clear" w:color="auto" w:fill="006272"/>
          </w:tcPr>
          <w:p w14:paraId="78BEAC7E" w14:textId="77777777" w:rsidR="0029089B" w:rsidRDefault="0029089B" w:rsidP="001F4A66">
            <w:pPr>
              <w:pStyle w:val="NoSpacing"/>
              <w:spacing w:before="60" w:after="60"/>
              <w:jc w:val="center"/>
              <w:rPr>
                <w:b/>
                <w:color w:val="FFFFFF" w:themeColor="background1"/>
                <w:sz w:val="16"/>
                <w:szCs w:val="16"/>
              </w:rPr>
            </w:pPr>
            <w:r>
              <w:rPr>
                <w:b/>
                <w:color w:val="FFFFFF" w:themeColor="background1"/>
                <w:sz w:val="16"/>
                <w:szCs w:val="16"/>
              </w:rPr>
              <w:t>Rampimise piirang, tunde***</w:t>
            </w:r>
          </w:p>
        </w:tc>
      </w:tr>
      <w:tr w:rsidR="0029089B" w14:paraId="0400A989" w14:textId="77777777" w:rsidTr="001F4A66">
        <w:trPr>
          <w:trHeight w:val="454"/>
        </w:trPr>
        <w:tc>
          <w:tcPr>
            <w:tcW w:w="875" w:type="dxa"/>
            <w:vAlign w:val="center"/>
          </w:tcPr>
          <w:p w14:paraId="19176366" w14:textId="77777777" w:rsidR="0029089B" w:rsidRPr="00D231C5" w:rsidRDefault="0029089B" w:rsidP="001F4A66">
            <w:pPr>
              <w:pStyle w:val="NoSpacing"/>
              <w:spacing w:before="60" w:after="60"/>
              <w:jc w:val="left"/>
              <w:rPr>
                <w:sz w:val="16"/>
                <w:szCs w:val="16"/>
              </w:rPr>
            </w:pPr>
            <w:r>
              <w:rPr>
                <w:sz w:val="16"/>
                <w:szCs w:val="16"/>
              </w:rPr>
              <w:t>EE&gt;FI</w:t>
            </w:r>
          </w:p>
        </w:tc>
        <w:tc>
          <w:tcPr>
            <w:tcW w:w="1170" w:type="dxa"/>
            <w:vAlign w:val="center"/>
          </w:tcPr>
          <w:p w14:paraId="314CFE3F" w14:textId="754C5102" w:rsidR="0029089B" w:rsidRPr="00D231C5" w:rsidRDefault="00942ADB" w:rsidP="001F4A66">
            <w:pPr>
              <w:pStyle w:val="NoSpacing"/>
              <w:spacing w:before="60" w:after="60"/>
              <w:jc w:val="center"/>
              <w:rPr>
                <w:sz w:val="16"/>
                <w:szCs w:val="16"/>
              </w:rPr>
            </w:pPr>
            <w:r>
              <w:rPr>
                <w:sz w:val="16"/>
                <w:szCs w:val="16"/>
              </w:rPr>
              <w:t>1825</w:t>
            </w:r>
            <w:r w:rsidR="0029089B">
              <w:rPr>
                <w:sz w:val="16"/>
                <w:szCs w:val="16"/>
              </w:rPr>
              <w:t>/</w:t>
            </w:r>
            <w:r>
              <w:rPr>
                <w:sz w:val="16"/>
                <w:szCs w:val="16"/>
              </w:rPr>
              <w:t>8784</w:t>
            </w:r>
            <w:r w:rsidR="0029089B">
              <w:rPr>
                <w:sz w:val="16"/>
                <w:szCs w:val="16"/>
              </w:rPr>
              <w:t xml:space="preserve"> </w:t>
            </w:r>
            <w:r w:rsidR="0029089B" w:rsidRPr="009202D4">
              <w:rPr>
                <w:color w:val="7F7F7F" w:themeColor="text1" w:themeTint="80"/>
                <w:sz w:val="16"/>
                <w:szCs w:val="16"/>
              </w:rPr>
              <w:t>(</w:t>
            </w:r>
            <w:r>
              <w:rPr>
                <w:color w:val="7F7F7F" w:themeColor="text1" w:themeTint="80"/>
                <w:sz w:val="16"/>
                <w:szCs w:val="16"/>
              </w:rPr>
              <w:t>4303</w:t>
            </w:r>
            <w:r w:rsidR="0029089B" w:rsidRPr="009202D4">
              <w:rPr>
                <w:color w:val="7F7F7F" w:themeColor="text1" w:themeTint="80"/>
                <w:sz w:val="16"/>
                <w:szCs w:val="16"/>
              </w:rPr>
              <w:t>/</w:t>
            </w:r>
            <w:r>
              <w:rPr>
                <w:color w:val="7F7F7F" w:themeColor="text1" w:themeTint="80"/>
                <w:sz w:val="16"/>
                <w:szCs w:val="16"/>
              </w:rPr>
              <w:t>8760</w:t>
            </w:r>
            <w:r w:rsidR="0029089B" w:rsidRPr="009202D4">
              <w:rPr>
                <w:color w:val="7F7F7F" w:themeColor="text1" w:themeTint="80"/>
                <w:sz w:val="16"/>
                <w:szCs w:val="16"/>
              </w:rPr>
              <w:t>)</w:t>
            </w:r>
          </w:p>
        </w:tc>
        <w:tc>
          <w:tcPr>
            <w:tcW w:w="1541" w:type="dxa"/>
            <w:vAlign w:val="center"/>
          </w:tcPr>
          <w:p w14:paraId="71C28795" w14:textId="7FDAD85E" w:rsidR="0029089B" w:rsidRDefault="00942ADB" w:rsidP="001F4A66">
            <w:pPr>
              <w:pStyle w:val="NoSpacing"/>
              <w:jc w:val="center"/>
              <w:rPr>
                <w:sz w:val="16"/>
                <w:szCs w:val="16"/>
              </w:rPr>
            </w:pPr>
            <w:r>
              <w:rPr>
                <w:sz w:val="16"/>
                <w:szCs w:val="16"/>
              </w:rPr>
              <w:t>9</w:t>
            </w:r>
            <w:r w:rsidR="0029089B">
              <w:rPr>
                <w:sz w:val="16"/>
                <w:szCs w:val="16"/>
              </w:rPr>
              <w:t>/</w:t>
            </w:r>
            <w:r>
              <w:rPr>
                <w:sz w:val="16"/>
                <w:szCs w:val="16"/>
              </w:rPr>
              <w:t>8784</w:t>
            </w:r>
          </w:p>
          <w:p w14:paraId="4ED85105" w14:textId="3EA9EE9C" w:rsidR="0029089B" w:rsidRDefault="0029089B" w:rsidP="001F4A66">
            <w:pPr>
              <w:pStyle w:val="NoSpacing"/>
              <w:jc w:val="center"/>
              <w:rPr>
                <w:sz w:val="16"/>
                <w:szCs w:val="16"/>
              </w:rPr>
            </w:pPr>
            <w:r w:rsidRPr="009202D4">
              <w:rPr>
                <w:color w:val="7F7F7F" w:themeColor="text1" w:themeTint="80"/>
                <w:sz w:val="16"/>
                <w:szCs w:val="16"/>
              </w:rPr>
              <w:t>(</w:t>
            </w:r>
            <w:r w:rsidR="00942ADB">
              <w:rPr>
                <w:color w:val="7F7F7F" w:themeColor="text1" w:themeTint="80"/>
                <w:sz w:val="16"/>
                <w:szCs w:val="16"/>
              </w:rPr>
              <w:t>3</w:t>
            </w:r>
            <w:r w:rsidRPr="009202D4">
              <w:rPr>
                <w:color w:val="7F7F7F" w:themeColor="text1" w:themeTint="80"/>
                <w:sz w:val="16"/>
                <w:szCs w:val="16"/>
              </w:rPr>
              <w:t>/</w:t>
            </w:r>
            <w:r w:rsidR="00942ADB">
              <w:rPr>
                <w:color w:val="7F7F7F" w:themeColor="text1" w:themeTint="80"/>
                <w:sz w:val="16"/>
                <w:szCs w:val="16"/>
              </w:rPr>
              <w:t>8760</w:t>
            </w:r>
            <w:r w:rsidRPr="009202D4">
              <w:rPr>
                <w:color w:val="7F7F7F" w:themeColor="text1" w:themeTint="80"/>
                <w:sz w:val="16"/>
                <w:szCs w:val="16"/>
              </w:rPr>
              <w:t>)</w:t>
            </w:r>
          </w:p>
        </w:tc>
        <w:tc>
          <w:tcPr>
            <w:tcW w:w="1087" w:type="dxa"/>
            <w:vMerge w:val="restart"/>
            <w:vAlign w:val="center"/>
          </w:tcPr>
          <w:p w14:paraId="5BA90A40" w14:textId="4BDE8C4B" w:rsidR="0029089B" w:rsidRDefault="00942ADB" w:rsidP="001F4A66">
            <w:pPr>
              <w:pStyle w:val="NoSpacing"/>
              <w:jc w:val="center"/>
              <w:rPr>
                <w:sz w:val="16"/>
                <w:szCs w:val="16"/>
              </w:rPr>
            </w:pPr>
            <w:r>
              <w:rPr>
                <w:sz w:val="16"/>
                <w:szCs w:val="16"/>
              </w:rPr>
              <w:t>50</w:t>
            </w:r>
            <w:r w:rsidR="0029089B">
              <w:rPr>
                <w:sz w:val="16"/>
                <w:szCs w:val="16"/>
              </w:rPr>
              <w:t>/</w:t>
            </w:r>
            <w:r>
              <w:rPr>
                <w:sz w:val="16"/>
                <w:szCs w:val="16"/>
              </w:rPr>
              <w:t>8784</w:t>
            </w:r>
          </w:p>
          <w:p w14:paraId="7EFB267E" w14:textId="1ACC05DF" w:rsidR="0029089B" w:rsidRDefault="0029089B" w:rsidP="001F4A66">
            <w:pPr>
              <w:pStyle w:val="NoSpacing"/>
              <w:jc w:val="center"/>
              <w:rPr>
                <w:sz w:val="16"/>
                <w:szCs w:val="16"/>
              </w:rPr>
            </w:pPr>
            <w:r w:rsidRPr="009202D4">
              <w:rPr>
                <w:color w:val="7F7F7F" w:themeColor="text1" w:themeTint="80"/>
                <w:sz w:val="16"/>
                <w:szCs w:val="16"/>
              </w:rPr>
              <w:t>(</w:t>
            </w:r>
            <w:r w:rsidR="00942ADB">
              <w:rPr>
                <w:color w:val="7F7F7F" w:themeColor="text1" w:themeTint="80"/>
                <w:sz w:val="16"/>
                <w:szCs w:val="16"/>
              </w:rPr>
              <w:t>20</w:t>
            </w:r>
            <w:r w:rsidRPr="009202D4">
              <w:rPr>
                <w:color w:val="7F7F7F" w:themeColor="text1" w:themeTint="80"/>
                <w:sz w:val="16"/>
                <w:szCs w:val="16"/>
              </w:rPr>
              <w:t>/</w:t>
            </w:r>
            <w:r w:rsidR="00942ADB">
              <w:rPr>
                <w:color w:val="7F7F7F" w:themeColor="text1" w:themeTint="80"/>
                <w:sz w:val="16"/>
                <w:szCs w:val="16"/>
              </w:rPr>
              <w:t>8760</w:t>
            </w:r>
            <w:r w:rsidRPr="009202D4">
              <w:rPr>
                <w:color w:val="7F7F7F" w:themeColor="text1" w:themeTint="80"/>
                <w:sz w:val="16"/>
                <w:szCs w:val="16"/>
              </w:rPr>
              <w:t>)</w:t>
            </w:r>
          </w:p>
        </w:tc>
      </w:tr>
      <w:tr w:rsidR="0029089B" w14:paraId="2F1D6BAF" w14:textId="77777777" w:rsidTr="001F4A66">
        <w:trPr>
          <w:trHeight w:val="454"/>
        </w:trPr>
        <w:tc>
          <w:tcPr>
            <w:tcW w:w="875" w:type="dxa"/>
            <w:vAlign w:val="center"/>
          </w:tcPr>
          <w:p w14:paraId="2874A6B1" w14:textId="77777777" w:rsidR="0029089B" w:rsidRDefault="0029089B" w:rsidP="001F4A66">
            <w:pPr>
              <w:pStyle w:val="NoSpacing"/>
              <w:spacing w:before="60" w:after="60"/>
              <w:jc w:val="left"/>
              <w:rPr>
                <w:sz w:val="16"/>
                <w:szCs w:val="16"/>
              </w:rPr>
            </w:pPr>
            <w:r>
              <w:rPr>
                <w:sz w:val="16"/>
                <w:szCs w:val="16"/>
              </w:rPr>
              <w:t>FI&gt;EE</w:t>
            </w:r>
          </w:p>
        </w:tc>
        <w:tc>
          <w:tcPr>
            <w:tcW w:w="1170" w:type="dxa"/>
            <w:vAlign w:val="center"/>
          </w:tcPr>
          <w:p w14:paraId="1E2B9770" w14:textId="62CC8D1E" w:rsidR="0029089B" w:rsidRDefault="00942ADB" w:rsidP="001F4A66">
            <w:pPr>
              <w:pStyle w:val="NoSpacing"/>
              <w:spacing w:before="60"/>
              <w:jc w:val="center"/>
              <w:rPr>
                <w:sz w:val="16"/>
                <w:szCs w:val="16"/>
              </w:rPr>
            </w:pPr>
            <w:r>
              <w:rPr>
                <w:sz w:val="16"/>
                <w:szCs w:val="16"/>
              </w:rPr>
              <w:t>507</w:t>
            </w:r>
            <w:r w:rsidR="0029089B">
              <w:rPr>
                <w:sz w:val="16"/>
                <w:szCs w:val="16"/>
              </w:rPr>
              <w:t>/</w:t>
            </w:r>
            <w:r>
              <w:rPr>
                <w:sz w:val="16"/>
                <w:szCs w:val="16"/>
              </w:rPr>
              <w:t>8784</w:t>
            </w:r>
          </w:p>
          <w:p w14:paraId="095D73F0" w14:textId="68F6E28F" w:rsidR="0029089B" w:rsidRPr="00D231C5" w:rsidRDefault="0029089B" w:rsidP="001F4A66">
            <w:pPr>
              <w:pStyle w:val="NoSpacing"/>
              <w:spacing w:after="60"/>
              <w:jc w:val="center"/>
              <w:rPr>
                <w:sz w:val="16"/>
                <w:szCs w:val="16"/>
              </w:rPr>
            </w:pPr>
            <w:r w:rsidRPr="009202D4">
              <w:rPr>
                <w:color w:val="7F7F7F" w:themeColor="text1" w:themeTint="80"/>
                <w:sz w:val="16"/>
                <w:szCs w:val="16"/>
              </w:rPr>
              <w:t>(</w:t>
            </w:r>
            <w:r w:rsidR="00942ADB">
              <w:rPr>
                <w:color w:val="7F7F7F" w:themeColor="text1" w:themeTint="80"/>
                <w:sz w:val="16"/>
                <w:szCs w:val="16"/>
              </w:rPr>
              <w:t>3859</w:t>
            </w:r>
            <w:r w:rsidRPr="009202D4">
              <w:rPr>
                <w:color w:val="7F7F7F" w:themeColor="text1" w:themeTint="80"/>
                <w:sz w:val="16"/>
                <w:szCs w:val="16"/>
              </w:rPr>
              <w:t>/</w:t>
            </w:r>
            <w:r w:rsidR="00942ADB">
              <w:rPr>
                <w:color w:val="7F7F7F" w:themeColor="text1" w:themeTint="80"/>
                <w:sz w:val="16"/>
                <w:szCs w:val="16"/>
              </w:rPr>
              <w:t>8760</w:t>
            </w:r>
            <w:r w:rsidRPr="009202D4">
              <w:rPr>
                <w:color w:val="7F7F7F" w:themeColor="text1" w:themeTint="80"/>
                <w:sz w:val="16"/>
                <w:szCs w:val="16"/>
              </w:rPr>
              <w:t>)</w:t>
            </w:r>
          </w:p>
        </w:tc>
        <w:tc>
          <w:tcPr>
            <w:tcW w:w="1541" w:type="dxa"/>
            <w:vAlign w:val="center"/>
          </w:tcPr>
          <w:p w14:paraId="61358644" w14:textId="7B8199D9" w:rsidR="0029089B" w:rsidRDefault="00942ADB" w:rsidP="001F4A66">
            <w:pPr>
              <w:pStyle w:val="NoSpacing"/>
              <w:jc w:val="center"/>
              <w:rPr>
                <w:sz w:val="16"/>
                <w:szCs w:val="16"/>
              </w:rPr>
            </w:pPr>
            <w:r>
              <w:rPr>
                <w:sz w:val="16"/>
                <w:szCs w:val="16"/>
              </w:rPr>
              <w:t>495</w:t>
            </w:r>
            <w:r w:rsidR="0029089B">
              <w:rPr>
                <w:sz w:val="16"/>
                <w:szCs w:val="16"/>
              </w:rPr>
              <w:t>/</w:t>
            </w:r>
            <w:r>
              <w:rPr>
                <w:sz w:val="16"/>
                <w:szCs w:val="16"/>
              </w:rPr>
              <w:t>8784</w:t>
            </w:r>
            <w:r w:rsidR="0029089B">
              <w:rPr>
                <w:sz w:val="16"/>
                <w:szCs w:val="16"/>
              </w:rPr>
              <w:t xml:space="preserve"> </w:t>
            </w:r>
          </w:p>
          <w:p w14:paraId="5D6CD4DD" w14:textId="18DE80D6" w:rsidR="0029089B" w:rsidRDefault="0029089B" w:rsidP="001F4A66">
            <w:pPr>
              <w:pStyle w:val="NoSpacing"/>
              <w:jc w:val="center"/>
              <w:rPr>
                <w:sz w:val="16"/>
                <w:szCs w:val="16"/>
              </w:rPr>
            </w:pPr>
            <w:r w:rsidRPr="009202D4">
              <w:rPr>
                <w:color w:val="7F7F7F" w:themeColor="text1" w:themeTint="80"/>
                <w:sz w:val="16"/>
                <w:szCs w:val="16"/>
              </w:rPr>
              <w:t>(</w:t>
            </w:r>
            <w:r w:rsidR="00942ADB">
              <w:rPr>
                <w:color w:val="7F7F7F" w:themeColor="text1" w:themeTint="80"/>
                <w:sz w:val="16"/>
                <w:szCs w:val="16"/>
              </w:rPr>
              <w:t>289</w:t>
            </w:r>
            <w:r w:rsidRPr="009202D4">
              <w:rPr>
                <w:color w:val="7F7F7F" w:themeColor="text1" w:themeTint="80"/>
                <w:sz w:val="16"/>
                <w:szCs w:val="16"/>
              </w:rPr>
              <w:t>/</w:t>
            </w:r>
            <w:r w:rsidR="00942ADB">
              <w:rPr>
                <w:color w:val="7F7F7F" w:themeColor="text1" w:themeTint="80"/>
                <w:sz w:val="16"/>
                <w:szCs w:val="16"/>
              </w:rPr>
              <w:t>8760</w:t>
            </w:r>
            <w:r w:rsidRPr="009202D4">
              <w:rPr>
                <w:color w:val="7F7F7F" w:themeColor="text1" w:themeTint="80"/>
                <w:sz w:val="16"/>
                <w:szCs w:val="16"/>
              </w:rPr>
              <w:t>)</w:t>
            </w:r>
          </w:p>
        </w:tc>
        <w:tc>
          <w:tcPr>
            <w:tcW w:w="1087" w:type="dxa"/>
            <w:vMerge/>
            <w:vAlign w:val="center"/>
          </w:tcPr>
          <w:p w14:paraId="332F0D49" w14:textId="77777777" w:rsidR="0029089B" w:rsidRDefault="0029089B" w:rsidP="001F4A66">
            <w:pPr>
              <w:pStyle w:val="NoSpacing"/>
              <w:spacing w:before="60" w:after="60"/>
              <w:jc w:val="center"/>
              <w:rPr>
                <w:sz w:val="16"/>
                <w:szCs w:val="16"/>
              </w:rPr>
            </w:pPr>
          </w:p>
        </w:tc>
      </w:tr>
      <w:tr w:rsidR="0029089B" w14:paraId="619E6B6C" w14:textId="77777777" w:rsidTr="001F4A66">
        <w:trPr>
          <w:trHeight w:val="454"/>
        </w:trPr>
        <w:tc>
          <w:tcPr>
            <w:tcW w:w="875" w:type="dxa"/>
            <w:vAlign w:val="center"/>
          </w:tcPr>
          <w:p w14:paraId="16B8DAF7" w14:textId="77777777" w:rsidR="0029089B" w:rsidRPr="00D231C5" w:rsidRDefault="0029089B" w:rsidP="001F4A66">
            <w:pPr>
              <w:pStyle w:val="NoSpacing"/>
              <w:spacing w:before="60" w:after="60"/>
              <w:jc w:val="left"/>
              <w:rPr>
                <w:sz w:val="16"/>
                <w:szCs w:val="16"/>
              </w:rPr>
            </w:pPr>
            <w:r>
              <w:rPr>
                <w:sz w:val="16"/>
                <w:szCs w:val="16"/>
              </w:rPr>
              <w:t>EE&gt;LV</w:t>
            </w:r>
          </w:p>
        </w:tc>
        <w:tc>
          <w:tcPr>
            <w:tcW w:w="1170" w:type="dxa"/>
            <w:vAlign w:val="center"/>
          </w:tcPr>
          <w:p w14:paraId="4CB4E6A8" w14:textId="124E9E83" w:rsidR="0029089B" w:rsidRPr="00D231C5" w:rsidRDefault="00942ADB" w:rsidP="001F4A66">
            <w:pPr>
              <w:pStyle w:val="NoSpacing"/>
              <w:spacing w:before="60" w:after="60"/>
              <w:jc w:val="center"/>
              <w:rPr>
                <w:sz w:val="16"/>
                <w:szCs w:val="16"/>
              </w:rPr>
            </w:pPr>
            <w:r>
              <w:rPr>
                <w:sz w:val="16"/>
                <w:szCs w:val="16"/>
              </w:rPr>
              <w:t>8055/8784</w:t>
            </w:r>
            <w:r w:rsidR="0029089B">
              <w:rPr>
                <w:sz w:val="16"/>
                <w:szCs w:val="16"/>
              </w:rPr>
              <w:t xml:space="preserve"> </w:t>
            </w:r>
            <w:r w:rsidR="0029089B" w:rsidRPr="009202D4">
              <w:rPr>
                <w:color w:val="7F7F7F" w:themeColor="text1" w:themeTint="80"/>
                <w:sz w:val="16"/>
                <w:szCs w:val="16"/>
              </w:rPr>
              <w:t>(</w:t>
            </w:r>
            <w:r w:rsidR="0029089B">
              <w:rPr>
                <w:color w:val="7F7F7F" w:themeColor="text1" w:themeTint="80"/>
                <w:sz w:val="16"/>
                <w:szCs w:val="16"/>
              </w:rPr>
              <w:t>7</w:t>
            </w:r>
            <w:r>
              <w:rPr>
                <w:color w:val="7F7F7F" w:themeColor="text1" w:themeTint="80"/>
                <w:sz w:val="16"/>
                <w:szCs w:val="16"/>
              </w:rPr>
              <w:t>796</w:t>
            </w:r>
            <w:r w:rsidR="0029089B" w:rsidRPr="009202D4">
              <w:rPr>
                <w:color w:val="7F7F7F" w:themeColor="text1" w:themeTint="80"/>
                <w:sz w:val="16"/>
                <w:szCs w:val="16"/>
              </w:rPr>
              <w:t>/</w:t>
            </w:r>
            <w:r>
              <w:rPr>
                <w:color w:val="7F7F7F" w:themeColor="text1" w:themeTint="80"/>
                <w:sz w:val="16"/>
                <w:szCs w:val="16"/>
              </w:rPr>
              <w:t>8760</w:t>
            </w:r>
            <w:r w:rsidR="0029089B" w:rsidRPr="009202D4">
              <w:rPr>
                <w:color w:val="7F7F7F" w:themeColor="text1" w:themeTint="80"/>
                <w:sz w:val="16"/>
                <w:szCs w:val="16"/>
              </w:rPr>
              <w:t>)</w:t>
            </w:r>
          </w:p>
        </w:tc>
        <w:tc>
          <w:tcPr>
            <w:tcW w:w="1541" w:type="dxa"/>
            <w:vAlign w:val="center"/>
          </w:tcPr>
          <w:p w14:paraId="5301AC52" w14:textId="631C110B" w:rsidR="0029089B" w:rsidRDefault="00942ADB" w:rsidP="001F4A66">
            <w:pPr>
              <w:pStyle w:val="NoSpacing"/>
              <w:jc w:val="center"/>
              <w:rPr>
                <w:sz w:val="16"/>
                <w:szCs w:val="16"/>
              </w:rPr>
            </w:pPr>
            <w:r>
              <w:rPr>
                <w:sz w:val="16"/>
                <w:szCs w:val="16"/>
              </w:rPr>
              <w:t>40</w:t>
            </w:r>
            <w:r w:rsidR="0029089B">
              <w:rPr>
                <w:sz w:val="16"/>
                <w:szCs w:val="16"/>
              </w:rPr>
              <w:t>/</w:t>
            </w:r>
            <w:r>
              <w:rPr>
                <w:sz w:val="16"/>
                <w:szCs w:val="16"/>
              </w:rPr>
              <w:t>8784</w:t>
            </w:r>
          </w:p>
          <w:p w14:paraId="023CB835" w14:textId="28330E84" w:rsidR="0029089B" w:rsidRDefault="0029089B" w:rsidP="001F4A66">
            <w:pPr>
              <w:pStyle w:val="NoSpacing"/>
              <w:jc w:val="center"/>
              <w:rPr>
                <w:sz w:val="16"/>
                <w:szCs w:val="16"/>
              </w:rPr>
            </w:pPr>
            <w:r w:rsidRPr="009202D4">
              <w:rPr>
                <w:color w:val="7F7F7F" w:themeColor="text1" w:themeTint="80"/>
                <w:sz w:val="16"/>
                <w:szCs w:val="16"/>
              </w:rPr>
              <w:t>(</w:t>
            </w:r>
            <w:r w:rsidR="00942ADB">
              <w:rPr>
                <w:color w:val="7F7F7F" w:themeColor="text1" w:themeTint="80"/>
                <w:sz w:val="16"/>
                <w:szCs w:val="16"/>
              </w:rPr>
              <w:t>442</w:t>
            </w:r>
            <w:r w:rsidRPr="009202D4">
              <w:rPr>
                <w:color w:val="7F7F7F" w:themeColor="text1" w:themeTint="80"/>
                <w:sz w:val="16"/>
                <w:szCs w:val="16"/>
              </w:rPr>
              <w:t>/</w:t>
            </w:r>
            <w:r w:rsidR="00942ADB">
              <w:rPr>
                <w:color w:val="7F7F7F" w:themeColor="text1" w:themeTint="80"/>
                <w:sz w:val="16"/>
                <w:szCs w:val="16"/>
              </w:rPr>
              <w:t>8</w:t>
            </w:r>
            <w:r w:rsidRPr="009202D4">
              <w:rPr>
                <w:color w:val="7F7F7F" w:themeColor="text1" w:themeTint="80"/>
                <w:sz w:val="16"/>
                <w:szCs w:val="16"/>
              </w:rPr>
              <w:t>7</w:t>
            </w:r>
            <w:r w:rsidR="00942ADB">
              <w:rPr>
                <w:color w:val="7F7F7F" w:themeColor="text1" w:themeTint="80"/>
                <w:sz w:val="16"/>
                <w:szCs w:val="16"/>
              </w:rPr>
              <w:t>60</w:t>
            </w:r>
            <w:r w:rsidRPr="009202D4">
              <w:rPr>
                <w:color w:val="7F7F7F" w:themeColor="text1" w:themeTint="80"/>
                <w:sz w:val="16"/>
                <w:szCs w:val="16"/>
              </w:rPr>
              <w:t>)</w:t>
            </w:r>
          </w:p>
        </w:tc>
        <w:tc>
          <w:tcPr>
            <w:tcW w:w="1087" w:type="dxa"/>
            <w:vAlign w:val="center"/>
          </w:tcPr>
          <w:p w14:paraId="6E738ABD" w14:textId="77777777" w:rsidR="0029089B" w:rsidRDefault="0029089B" w:rsidP="001F4A66">
            <w:pPr>
              <w:pStyle w:val="NoSpacing"/>
              <w:spacing w:before="60" w:after="60"/>
              <w:jc w:val="center"/>
              <w:rPr>
                <w:sz w:val="16"/>
                <w:szCs w:val="16"/>
              </w:rPr>
            </w:pPr>
            <w:r>
              <w:rPr>
                <w:sz w:val="16"/>
                <w:szCs w:val="16"/>
              </w:rPr>
              <w:t>-</w:t>
            </w:r>
          </w:p>
        </w:tc>
      </w:tr>
      <w:tr w:rsidR="0029089B" w14:paraId="047CAAA6" w14:textId="77777777" w:rsidTr="001F4A66">
        <w:trPr>
          <w:trHeight w:val="454"/>
        </w:trPr>
        <w:tc>
          <w:tcPr>
            <w:tcW w:w="875" w:type="dxa"/>
            <w:vAlign w:val="center"/>
          </w:tcPr>
          <w:p w14:paraId="158BFB42" w14:textId="77777777" w:rsidR="0029089B" w:rsidRPr="00D231C5" w:rsidRDefault="0029089B" w:rsidP="001F4A66">
            <w:pPr>
              <w:pStyle w:val="NoSpacing"/>
              <w:spacing w:before="60" w:after="60"/>
              <w:jc w:val="left"/>
              <w:rPr>
                <w:sz w:val="16"/>
                <w:szCs w:val="16"/>
              </w:rPr>
            </w:pPr>
            <w:r>
              <w:rPr>
                <w:sz w:val="16"/>
                <w:szCs w:val="16"/>
              </w:rPr>
              <w:t>LV&gt;EE</w:t>
            </w:r>
          </w:p>
        </w:tc>
        <w:tc>
          <w:tcPr>
            <w:tcW w:w="1170" w:type="dxa"/>
            <w:vAlign w:val="center"/>
          </w:tcPr>
          <w:p w14:paraId="3632D178" w14:textId="169943A8" w:rsidR="0029089B" w:rsidRPr="00D231C5" w:rsidRDefault="00942ADB" w:rsidP="001F4A66">
            <w:pPr>
              <w:pStyle w:val="NoSpacing"/>
              <w:spacing w:before="60" w:after="60"/>
              <w:jc w:val="center"/>
              <w:rPr>
                <w:sz w:val="16"/>
                <w:szCs w:val="16"/>
              </w:rPr>
            </w:pPr>
            <w:r>
              <w:rPr>
                <w:sz w:val="16"/>
                <w:szCs w:val="16"/>
              </w:rPr>
              <w:t>4024</w:t>
            </w:r>
            <w:r w:rsidR="0029089B">
              <w:rPr>
                <w:sz w:val="16"/>
                <w:szCs w:val="16"/>
              </w:rPr>
              <w:t>/</w:t>
            </w:r>
            <w:r>
              <w:rPr>
                <w:sz w:val="16"/>
                <w:szCs w:val="16"/>
              </w:rPr>
              <w:t>8784</w:t>
            </w:r>
            <w:r w:rsidR="0029089B">
              <w:rPr>
                <w:sz w:val="16"/>
                <w:szCs w:val="16"/>
              </w:rPr>
              <w:t xml:space="preserve"> </w:t>
            </w:r>
            <w:r w:rsidR="0029089B" w:rsidRPr="009202D4">
              <w:rPr>
                <w:color w:val="7F7F7F" w:themeColor="text1" w:themeTint="80"/>
                <w:sz w:val="16"/>
                <w:szCs w:val="16"/>
              </w:rPr>
              <w:t>(</w:t>
            </w:r>
            <w:r>
              <w:rPr>
                <w:color w:val="7F7F7F" w:themeColor="text1" w:themeTint="80"/>
                <w:sz w:val="16"/>
                <w:szCs w:val="16"/>
              </w:rPr>
              <w:t>3200</w:t>
            </w:r>
            <w:r w:rsidR="0029089B" w:rsidRPr="009202D4">
              <w:rPr>
                <w:color w:val="7F7F7F" w:themeColor="text1" w:themeTint="80"/>
                <w:sz w:val="16"/>
                <w:szCs w:val="16"/>
              </w:rPr>
              <w:t>/</w:t>
            </w:r>
            <w:r>
              <w:rPr>
                <w:color w:val="7F7F7F" w:themeColor="text1" w:themeTint="80"/>
                <w:sz w:val="16"/>
                <w:szCs w:val="16"/>
              </w:rPr>
              <w:t>8760</w:t>
            </w:r>
            <w:r w:rsidR="0029089B" w:rsidRPr="009202D4">
              <w:rPr>
                <w:color w:val="7F7F7F" w:themeColor="text1" w:themeTint="80"/>
                <w:sz w:val="16"/>
                <w:szCs w:val="16"/>
              </w:rPr>
              <w:t>)</w:t>
            </w:r>
          </w:p>
        </w:tc>
        <w:tc>
          <w:tcPr>
            <w:tcW w:w="1541" w:type="dxa"/>
            <w:vAlign w:val="center"/>
          </w:tcPr>
          <w:p w14:paraId="569AAECD" w14:textId="69B4B35A" w:rsidR="0029089B" w:rsidRDefault="00942ADB" w:rsidP="001F4A66">
            <w:pPr>
              <w:pStyle w:val="NoSpacing"/>
              <w:jc w:val="center"/>
              <w:rPr>
                <w:sz w:val="16"/>
                <w:szCs w:val="16"/>
              </w:rPr>
            </w:pPr>
            <w:r>
              <w:rPr>
                <w:sz w:val="16"/>
                <w:szCs w:val="16"/>
              </w:rPr>
              <w:t>1</w:t>
            </w:r>
            <w:r w:rsidR="0029089B">
              <w:rPr>
                <w:sz w:val="16"/>
                <w:szCs w:val="16"/>
              </w:rPr>
              <w:t>/</w:t>
            </w:r>
            <w:r>
              <w:rPr>
                <w:sz w:val="16"/>
                <w:szCs w:val="16"/>
              </w:rPr>
              <w:t>8784</w:t>
            </w:r>
          </w:p>
          <w:p w14:paraId="0730CFE2" w14:textId="120031AF" w:rsidR="0029089B" w:rsidRDefault="0029089B" w:rsidP="001F4A66">
            <w:pPr>
              <w:pStyle w:val="NoSpacing"/>
              <w:jc w:val="center"/>
              <w:rPr>
                <w:sz w:val="16"/>
                <w:szCs w:val="16"/>
              </w:rPr>
            </w:pPr>
            <w:r w:rsidRPr="009202D4">
              <w:rPr>
                <w:color w:val="7F7F7F" w:themeColor="text1" w:themeTint="80"/>
                <w:sz w:val="16"/>
                <w:szCs w:val="16"/>
              </w:rPr>
              <w:t>(</w:t>
            </w:r>
            <w:r w:rsidR="00942ADB">
              <w:rPr>
                <w:color w:val="7F7F7F" w:themeColor="text1" w:themeTint="80"/>
                <w:sz w:val="16"/>
                <w:szCs w:val="16"/>
              </w:rPr>
              <w:t>7</w:t>
            </w:r>
            <w:r w:rsidRPr="009202D4">
              <w:rPr>
                <w:color w:val="7F7F7F" w:themeColor="text1" w:themeTint="80"/>
                <w:sz w:val="16"/>
                <w:szCs w:val="16"/>
              </w:rPr>
              <w:t>/</w:t>
            </w:r>
            <w:r w:rsidR="00942ADB">
              <w:rPr>
                <w:color w:val="7F7F7F" w:themeColor="text1" w:themeTint="80"/>
                <w:sz w:val="16"/>
                <w:szCs w:val="16"/>
              </w:rPr>
              <w:t>8760</w:t>
            </w:r>
            <w:r w:rsidRPr="009202D4">
              <w:rPr>
                <w:color w:val="7F7F7F" w:themeColor="text1" w:themeTint="80"/>
                <w:sz w:val="16"/>
                <w:szCs w:val="16"/>
              </w:rPr>
              <w:t>)</w:t>
            </w:r>
          </w:p>
        </w:tc>
        <w:tc>
          <w:tcPr>
            <w:tcW w:w="1087" w:type="dxa"/>
            <w:vAlign w:val="center"/>
          </w:tcPr>
          <w:p w14:paraId="76A3C9AB" w14:textId="77777777" w:rsidR="0029089B" w:rsidRDefault="0029089B" w:rsidP="001F4A66">
            <w:pPr>
              <w:pStyle w:val="NoSpacing"/>
              <w:spacing w:before="60" w:after="60"/>
              <w:jc w:val="center"/>
              <w:rPr>
                <w:sz w:val="16"/>
                <w:szCs w:val="16"/>
              </w:rPr>
            </w:pPr>
            <w:r>
              <w:rPr>
                <w:sz w:val="16"/>
                <w:szCs w:val="16"/>
              </w:rPr>
              <w:t>-</w:t>
            </w:r>
          </w:p>
        </w:tc>
      </w:tr>
    </w:tbl>
    <w:p w14:paraId="3DAB49CB" w14:textId="2ECA2548" w:rsidR="0029089B" w:rsidRPr="007B2B0F" w:rsidRDefault="0029089B" w:rsidP="0029089B">
      <w:pPr>
        <w:rPr>
          <w:rStyle w:val="SubtleEmphasis"/>
        </w:rPr>
      </w:pPr>
      <w:r w:rsidRPr="007B2B0F">
        <w:rPr>
          <w:rStyle w:val="SubtleEmphasis"/>
        </w:rPr>
        <w:t xml:space="preserve">* Võrdlus eelmise </w:t>
      </w:r>
      <w:r w:rsidR="00942ADB">
        <w:rPr>
          <w:rStyle w:val="SubtleEmphasis"/>
        </w:rPr>
        <w:t>aasta</w:t>
      </w:r>
      <w:r w:rsidRPr="007B2B0F">
        <w:rPr>
          <w:rStyle w:val="SubtleEmphasis"/>
        </w:rPr>
        <w:t>ga</w:t>
      </w:r>
    </w:p>
    <w:p w14:paraId="6F3AC005" w14:textId="77777777" w:rsidR="0029089B" w:rsidRPr="007B2B0F" w:rsidRDefault="0029089B" w:rsidP="0029089B">
      <w:pPr>
        <w:rPr>
          <w:rStyle w:val="SubtleEmphasis"/>
        </w:rPr>
      </w:pPr>
      <w:r w:rsidRPr="007B2B0F">
        <w:rPr>
          <w:rStyle w:val="SubtleEmphasis"/>
        </w:rPr>
        <w:t>** Normaalrežiimiks loetakse aega, mil elektrisüsteemis ei toimunud hooldus- või remonttöid</w:t>
      </w:r>
    </w:p>
    <w:p w14:paraId="2A22480A" w14:textId="4FDD63BC" w:rsidR="0029089B" w:rsidRDefault="0029089B" w:rsidP="0017450E">
      <w:pPr>
        <w:rPr>
          <w:rStyle w:val="SubtleEmphasis"/>
        </w:rPr>
      </w:pPr>
      <w:r w:rsidRPr="0017450E">
        <w:rPr>
          <w:rStyle w:val="SubtleEmphasis"/>
        </w:rPr>
        <w:t>*** Alalisvooluühenduste rampimise piirang tähendab, et kõiki turutehinguid ei olnud võimalik täita, sest võimsusvoog EstLinki</w:t>
      </w:r>
      <w:r w:rsidRPr="0017450E">
        <w:rPr>
          <w:rStyle w:val="SubtleEmphasis"/>
        </w:rPr>
        <w:softHyphen/>
        <w:t>del ei tohi muutu</w:t>
      </w:r>
      <w:r w:rsidRPr="0017450E">
        <w:rPr>
          <w:rStyle w:val="SubtleEmphasis"/>
        </w:rPr>
        <w:softHyphen/>
        <w:t>da üle 600 MW tunnis. Tegemist ei ole EstLinki</w:t>
      </w:r>
      <w:r w:rsidRPr="0017450E">
        <w:rPr>
          <w:rStyle w:val="SubtleEmphasis"/>
        </w:rPr>
        <w:softHyphen/>
        <w:t>dest tingitud tehnilise piiranguga, piirang on vajalik Põhjamaade sünkroonala elektrisüsteemide töökindla talitluse tagamiseks.</w:t>
      </w:r>
    </w:p>
    <w:p w14:paraId="7B47F4BE" w14:textId="0535B789" w:rsidR="00AD08C7" w:rsidRPr="0017450E" w:rsidRDefault="00AD08C7" w:rsidP="0017450E">
      <w:pPr>
        <w:rPr>
          <w:rStyle w:val="SubtleEmphasis"/>
        </w:rPr>
      </w:pPr>
    </w:p>
    <w:p w14:paraId="3D431E4A" w14:textId="44025FCE" w:rsidR="002F6E28" w:rsidRPr="001E3628" w:rsidRDefault="002F6E28" w:rsidP="002F6E28">
      <w:pPr>
        <w:pStyle w:val="Subtitle"/>
        <w:rPr>
          <w:bCs w:val="0"/>
          <w:kern w:val="0"/>
          <w:sz w:val="18"/>
        </w:rPr>
      </w:pPr>
      <w:r w:rsidRPr="001E3628">
        <w:rPr>
          <w:bCs w:val="0"/>
          <w:kern w:val="0"/>
          <w:sz w:val="18"/>
        </w:rPr>
        <w:t>Eesti-Soome</w:t>
      </w:r>
    </w:p>
    <w:p w14:paraId="15C30E5C" w14:textId="702A6C81" w:rsidR="0070270C" w:rsidRDefault="0035057E" w:rsidP="0022344D">
      <w:r>
        <w:rPr>
          <w:noProof/>
        </w:rPr>
        <w:drawing>
          <wp:inline distT="0" distB="0" distL="0" distR="0" wp14:anchorId="01DDE262" wp14:editId="49BCEF05">
            <wp:extent cx="2968625" cy="179451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8625" cy="1794510"/>
                    </a:xfrm>
                    <a:prstGeom prst="rect">
                      <a:avLst/>
                    </a:prstGeom>
                    <a:noFill/>
                    <a:ln>
                      <a:noFill/>
                    </a:ln>
                  </pic:spPr>
                </pic:pic>
              </a:graphicData>
            </a:graphic>
          </wp:inline>
        </w:drawing>
      </w:r>
    </w:p>
    <w:p w14:paraId="14C903E5" w14:textId="05B92256" w:rsidR="003F5260" w:rsidRDefault="001F4A66" w:rsidP="003F5260">
      <w:r>
        <w:rPr>
          <w:rStyle w:val="SubtleEmphasis"/>
        </w:rPr>
        <w:t>NP Eesti ja NP</w:t>
      </w:r>
      <w:r w:rsidR="003F5260" w:rsidRPr="003F5260">
        <w:rPr>
          <w:rStyle w:val="SubtleEmphasis"/>
        </w:rPr>
        <w:t xml:space="preserve"> Soome vahelised võimsusvood 201</w:t>
      </w:r>
      <w:r w:rsidR="0035057E">
        <w:rPr>
          <w:rStyle w:val="SubtleEmphasis"/>
        </w:rPr>
        <w:t>6</w:t>
      </w:r>
      <w:r w:rsidR="003F5260" w:rsidRPr="003F5260">
        <w:rPr>
          <w:rStyle w:val="SubtleEmphasis"/>
        </w:rPr>
        <w:t>. aastal</w:t>
      </w:r>
    </w:p>
    <w:p w14:paraId="770AA63A" w14:textId="77777777" w:rsidR="0070270C" w:rsidRDefault="0070270C" w:rsidP="0022344D"/>
    <w:p w14:paraId="0ACAFBC2" w14:textId="7E4A3B20" w:rsidR="002F6E28" w:rsidRDefault="001F4A66" w:rsidP="0022344D">
      <w:r>
        <w:rPr>
          <w:noProof/>
        </w:rPr>
        <w:drawing>
          <wp:inline distT="0" distB="0" distL="0" distR="0" wp14:anchorId="4B218FE4" wp14:editId="794C46EF">
            <wp:extent cx="2968625" cy="1781175"/>
            <wp:effectExtent l="0" t="0" r="317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6AC236AE" w14:textId="0FBAD314" w:rsidR="002F6E28" w:rsidRDefault="001F4A66" w:rsidP="0022344D">
      <w:pPr>
        <w:rPr>
          <w:rStyle w:val="SubtleEmphasis"/>
        </w:rPr>
      </w:pPr>
      <w:r>
        <w:rPr>
          <w:rStyle w:val="SubtleEmphasis"/>
        </w:rPr>
        <w:t>2016. a</w:t>
      </w:r>
      <w:r w:rsidRPr="001F4A66">
        <w:rPr>
          <w:rStyle w:val="SubtleEmphasis"/>
        </w:rPr>
        <w:t xml:space="preserve"> ülekandev</w:t>
      </w:r>
      <w:r>
        <w:rPr>
          <w:rStyle w:val="SubtleEmphasis"/>
        </w:rPr>
        <w:t>õimsuse jaotamise tulu ja vastu</w:t>
      </w:r>
      <w:r w:rsidRPr="001F4A66">
        <w:rPr>
          <w:rStyle w:val="SubtleEmphasis"/>
        </w:rPr>
        <w:t>kaubanduse kulu EstLink kaablite omanikele</w:t>
      </w:r>
    </w:p>
    <w:p w14:paraId="1C46E56F" w14:textId="77777777" w:rsidR="001F4A66" w:rsidRDefault="001F4A66" w:rsidP="0022344D"/>
    <w:p w14:paraId="7FB79844" w14:textId="45EE7D25" w:rsidR="002F6E28" w:rsidRPr="001F4A66" w:rsidRDefault="002F6E28" w:rsidP="002F6E28">
      <w:pPr>
        <w:pStyle w:val="Subtitle"/>
        <w:rPr>
          <w:bCs w:val="0"/>
          <w:kern w:val="0"/>
          <w:sz w:val="18"/>
        </w:rPr>
      </w:pPr>
      <w:r w:rsidRPr="001F4A66">
        <w:rPr>
          <w:bCs w:val="0"/>
          <w:kern w:val="0"/>
          <w:sz w:val="18"/>
        </w:rPr>
        <w:t>Eesti-Läti</w:t>
      </w:r>
    </w:p>
    <w:p w14:paraId="33643959" w14:textId="5DE0E6F6" w:rsidR="002F6E28" w:rsidRDefault="001F4A66" w:rsidP="0022344D">
      <w:r>
        <w:rPr>
          <w:noProof/>
        </w:rPr>
        <w:drawing>
          <wp:inline distT="0" distB="0" distL="0" distR="0" wp14:anchorId="74AD1703" wp14:editId="1373D5E1">
            <wp:extent cx="2968625" cy="178117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26F8ECD1" w14:textId="391B975A" w:rsidR="002F6E28" w:rsidRDefault="001F4A66" w:rsidP="0022344D">
      <w:r>
        <w:rPr>
          <w:rStyle w:val="SubtleEmphasis"/>
        </w:rPr>
        <w:t>NP Eesti ja NP</w:t>
      </w:r>
      <w:r w:rsidR="00750CC2" w:rsidRPr="003F5260">
        <w:rPr>
          <w:rStyle w:val="SubtleEmphasis"/>
        </w:rPr>
        <w:t xml:space="preserve"> </w:t>
      </w:r>
      <w:r w:rsidR="00750CC2">
        <w:rPr>
          <w:rStyle w:val="SubtleEmphasis"/>
        </w:rPr>
        <w:t>Läti</w:t>
      </w:r>
      <w:r w:rsidR="00750CC2" w:rsidRPr="003F5260">
        <w:rPr>
          <w:rStyle w:val="SubtleEmphasis"/>
        </w:rPr>
        <w:t xml:space="preserve"> vahelised võimsusvood 201</w:t>
      </w:r>
      <w:r>
        <w:rPr>
          <w:rStyle w:val="SubtleEmphasis"/>
        </w:rPr>
        <w:t>6</w:t>
      </w:r>
      <w:r w:rsidR="00750CC2" w:rsidRPr="003F5260">
        <w:rPr>
          <w:rStyle w:val="SubtleEmphasis"/>
        </w:rPr>
        <w:t>. aastal</w:t>
      </w:r>
    </w:p>
    <w:p w14:paraId="4FBD9229" w14:textId="0AA7930E" w:rsidR="00750CC2" w:rsidRDefault="00750CC2" w:rsidP="0022344D"/>
    <w:p w14:paraId="571B69D0" w14:textId="62532D86" w:rsidR="00742226" w:rsidRDefault="001F4A66" w:rsidP="0022344D">
      <w:r>
        <w:rPr>
          <w:noProof/>
        </w:rPr>
        <w:drawing>
          <wp:inline distT="0" distB="0" distL="0" distR="0" wp14:anchorId="39A41BF8" wp14:editId="0B98070D">
            <wp:extent cx="2968625" cy="1781175"/>
            <wp:effectExtent l="0" t="0" r="317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394DCBC9" w14:textId="6BDF49A4" w:rsidR="002F6E28" w:rsidRDefault="002F6E28" w:rsidP="002F6E28">
      <w:pPr>
        <w:jc w:val="left"/>
      </w:pPr>
      <w:r w:rsidRPr="002F6E28">
        <w:rPr>
          <w:rStyle w:val="SubtleEmphasis"/>
        </w:rPr>
        <w:t xml:space="preserve">Ülekandevõimsuse tulu </w:t>
      </w:r>
      <w:r w:rsidR="001F4A66">
        <w:rPr>
          <w:rStyle w:val="SubtleEmphasis"/>
        </w:rPr>
        <w:t xml:space="preserve">ja vastukaubanduse kulu </w:t>
      </w:r>
      <w:r>
        <w:rPr>
          <w:rStyle w:val="SubtleEmphasis"/>
        </w:rPr>
        <w:t>põhivõrguette</w:t>
      </w:r>
      <w:r w:rsidR="001F4A66">
        <w:rPr>
          <w:rStyle w:val="SubtleEmphasis"/>
        </w:rPr>
        <w:softHyphen/>
      </w:r>
      <w:r>
        <w:rPr>
          <w:rStyle w:val="SubtleEmphasis"/>
        </w:rPr>
        <w:t>võtetele Eesti-Läti piiril</w:t>
      </w:r>
      <w:r w:rsidRPr="002F6E28">
        <w:rPr>
          <w:rStyle w:val="SubtleEmphasis"/>
        </w:rPr>
        <w:t xml:space="preserve"> </w:t>
      </w:r>
      <w:r>
        <w:rPr>
          <w:rStyle w:val="SubtleEmphasis"/>
        </w:rPr>
        <w:t>201</w:t>
      </w:r>
      <w:r w:rsidR="001F4A66">
        <w:rPr>
          <w:rStyle w:val="SubtleEmphasis"/>
        </w:rPr>
        <w:t>6</w:t>
      </w:r>
      <w:r>
        <w:rPr>
          <w:rStyle w:val="SubtleEmphasis"/>
        </w:rPr>
        <w:t>. aastal</w:t>
      </w:r>
    </w:p>
    <w:p w14:paraId="40C8A38B" w14:textId="14D98312" w:rsidR="002F6E28" w:rsidRDefault="002F6E28" w:rsidP="0022344D"/>
    <w:p w14:paraId="00DC9C4B" w14:textId="6F834962" w:rsidR="001F4A66" w:rsidRDefault="001F4A66" w:rsidP="001F4A66">
      <w:pPr>
        <w:pStyle w:val="NoSpacing"/>
        <w:rPr>
          <w:b/>
          <w:color w:val="007087"/>
        </w:rPr>
      </w:pPr>
      <w:r w:rsidRPr="001308DA">
        <w:rPr>
          <w:b/>
          <w:color w:val="007087"/>
        </w:rPr>
        <w:t>Gaasivood</w:t>
      </w:r>
    </w:p>
    <w:tbl>
      <w:tblPr>
        <w:tblStyle w:val="TableGrid"/>
        <w:tblW w:w="0" w:type="auto"/>
        <w:tblInd w:w="-5" w:type="dxa"/>
        <w:tblLook w:val="04A0" w:firstRow="1" w:lastRow="0" w:firstColumn="1" w:lastColumn="0" w:noHBand="0" w:noVBand="1"/>
      </w:tblPr>
      <w:tblGrid>
        <w:gridCol w:w="833"/>
        <w:gridCol w:w="1033"/>
        <w:gridCol w:w="899"/>
        <w:gridCol w:w="1059"/>
        <w:gridCol w:w="849"/>
      </w:tblGrid>
      <w:tr w:rsidR="001F4A66" w:rsidRPr="00D231C5" w14:paraId="7EBE7A97" w14:textId="77777777" w:rsidTr="001F4A66">
        <w:tc>
          <w:tcPr>
            <w:tcW w:w="851" w:type="dxa"/>
            <w:vMerge w:val="restart"/>
            <w:shd w:val="clear" w:color="auto" w:fill="006272"/>
            <w:vAlign w:val="center"/>
          </w:tcPr>
          <w:p w14:paraId="2A64996D" w14:textId="1DEF1463" w:rsidR="001F4A66" w:rsidRPr="00D231C5" w:rsidRDefault="001F4A66" w:rsidP="001F4A66">
            <w:pPr>
              <w:pStyle w:val="NoSpacing"/>
              <w:spacing w:before="60" w:after="60"/>
              <w:jc w:val="left"/>
              <w:rPr>
                <w:b/>
                <w:color w:val="FFFFFF" w:themeColor="background1"/>
                <w:sz w:val="16"/>
                <w:szCs w:val="16"/>
              </w:rPr>
            </w:pPr>
            <w:r>
              <w:rPr>
                <w:b/>
                <w:color w:val="FFFFFF" w:themeColor="background1"/>
                <w:sz w:val="16"/>
                <w:szCs w:val="16"/>
              </w:rPr>
              <w:t>2016</w:t>
            </w:r>
            <w:r w:rsidR="00A36C4F">
              <w:rPr>
                <w:b/>
                <w:color w:val="FFFFFF" w:themeColor="background1"/>
                <w:sz w:val="16"/>
                <w:szCs w:val="16"/>
              </w:rPr>
              <w:t>*</w:t>
            </w:r>
          </w:p>
        </w:tc>
        <w:tc>
          <w:tcPr>
            <w:tcW w:w="1880" w:type="dxa"/>
            <w:gridSpan w:val="2"/>
            <w:shd w:val="clear" w:color="auto" w:fill="006272"/>
            <w:vAlign w:val="center"/>
          </w:tcPr>
          <w:p w14:paraId="705EBC91" w14:textId="77777777" w:rsidR="001F4A66" w:rsidRPr="00D231C5" w:rsidRDefault="001F4A66" w:rsidP="001F4A66">
            <w:pPr>
              <w:pStyle w:val="NoSpacing"/>
              <w:spacing w:before="60" w:after="60"/>
              <w:jc w:val="center"/>
              <w:rPr>
                <w:b/>
                <w:color w:val="FFFFFF" w:themeColor="background1"/>
                <w:sz w:val="16"/>
                <w:szCs w:val="16"/>
              </w:rPr>
            </w:pPr>
            <w:r>
              <w:rPr>
                <w:b/>
                <w:color w:val="FFFFFF" w:themeColor="background1"/>
                <w:sz w:val="16"/>
                <w:szCs w:val="16"/>
              </w:rPr>
              <w:t>Tehniline läbilaske</w:t>
            </w:r>
            <w:r>
              <w:rPr>
                <w:b/>
                <w:color w:val="FFFFFF" w:themeColor="background1"/>
                <w:sz w:val="16"/>
                <w:szCs w:val="16"/>
              </w:rPr>
              <w:softHyphen/>
              <w:t>võime (mln m</w:t>
            </w:r>
            <w:r w:rsidRPr="001308DA">
              <w:rPr>
                <w:b/>
                <w:color w:val="FFFFFF" w:themeColor="background1"/>
                <w:sz w:val="16"/>
                <w:szCs w:val="16"/>
                <w:vertAlign w:val="superscript"/>
              </w:rPr>
              <w:t>3</w:t>
            </w:r>
            <w:r>
              <w:rPr>
                <w:b/>
                <w:color w:val="FFFFFF" w:themeColor="background1"/>
                <w:sz w:val="16"/>
                <w:szCs w:val="16"/>
              </w:rPr>
              <w:t>/päev)</w:t>
            </w:r>
          </w:p>
        </w:tc>
        <w:tc>
          <w:tcPr>
            <w:tcW w:w="1079" w:type="dxa"/>
            <w:vMerge w:val="restart"/>
            <w:shd w:val="clear" w:color="auto" w:fill="006272"/>
            <w:vAlign w:val="center"/>
          </w:tcPr>
          <w:p w14:paraId="7D750770" w14:textId="77777777" w:rsidR="001F4A66" w:rsidRPr="00D231C5" w:rsidRDefault="001F4A66" w:rsidP="001F4A66">
            <w:pPr>
              <w:pStyle w:val="NoSpacing"/>
              <w:spacing w:before="60" w:after="60"/>
              <w:jc w:val="center"/>
              <w:rPr>
                <w:b/>
                <w:color w:val="FFFFFF" w:themeColor="background1"/>
                <w:sz w:val="16"/>
                <w:szCs w:val="16"/>
              </w:rPr>
            </w:pPr>
            <w:r>
              <w:rPr>
                <w:b/>
                <w:color w:val="FFFFFF" w:themeColor="background1"/>
                <w:sz w:val="16"/>
                <w:szCs w:val="16"/>
              </w:rPr>
              <w:t>Tipu</w:t>
            </w:r>
            <w:r>
              <w:rPr>
                <w:b/>
                <w:color w:val="FFFFFF" w:themeColor="background1"/>
                <w:sz w:val="16"/>
                <w:szCs w:val="16"/>
              </w:rPr>
              <w:softHyphen/>
              <w:t>koormus (mln m</w:t>
            </w:r>
            <w:r w:rsidRPr="001308DA">
              <w:rPr>
                <w:b/>
                <w:color w:val="FFFFFF" w:themeColor="background1"/>
                <w:sz w:val="16"/>
                <w:szCs w:val="16"/>
                <w:vertAlign w:val="superscript"/>
              </w:rPr>
              <w:t>3</w:t>
            </w:r>
            <w:r>
              <w:rPr>
                <w:b/>
                <w:color w:val="FFFFFF" w:themeColor="background1"/>
                <w:sz w:val="16"/>
                <w:szCs w:val="16"/>
              </w:rPr>
              <w:t>/päev)</w:t>
            </w:r>
          </w:p>
        </w:tc>
        <w:tc>
          <w:tcPr>
            <w:tcW w:w="863" w:type="dxa"/>
            <w:vMerge w:val="restart"/>
            <w:shd w:val="clear" w:color="auto" w:fill="006272"/>
            <w:vAlign w:val="center"/>
          </w:tcPr>
          <w:p w14:paraId="0DAB468E" w14:textId="77777777" w:rsidR="001F4A66" w:rsidRPr="00D231C5" w:rsidRDefault="001F4A66" w:rsidP="001F4A66">
            <w:pPr>
              <w:pStyle w:val="NoSpacing"/>
              <w:spacing w:before="60" w:after="60"/>
              <w:jc w:val="center"/>
              <w:rPr>
                <w:b/>
                <w:color w:val="FFFFFF" w:themeColor="background1"/>
                <w:sz w:val="16"/>
                <w:szCs w:val="16"/>
              </w:rPr>
            </w:pPr>
            <w:r>
              <w:rPr>
                <w:b/>
                <w:color w:val="FFFFFF" w:themeColor="background1"/>
                <w:sz w:val="16"/>
                <w:szCs w:val="16"/>
              </w:rPr>
              <w:t>Kogus (mln m</w:t>
            </w:r>
            <w:r w:rsidRPr="001308DA">
              <w:rPr>
                <w:b/>
                <w:color w:val="FFFFFF" w:themeColor="background1"/>
                <w:sz w:val="16"/>
                <w:szCs w:val="16"/>
                <w:vertAlign w:val="superscript"/>
              </w:rPr>
              <w:t>3</w:t>
            </w:r>
            <w:r>
              <w:rPr>
                <w:b/>
                <w:color w:val="FFFFFF" w:themeColor="background1"/>
                <w:sz w:val="16"/>
                <w:szCs w:val="16"/>
              </w:rPr>
              <w:t>)</w:t>
            </w:r>
          </w:p>
        </w:tc>
      </w:tr>
      <w:tr w:rsidR="001F4A66" w14:paraId="09A588FE" w14:textId="77777777" w:rsidTr="001F4A66">
        <w:tc>
          <w:tcPr>
            <w:tcW w:w="851" w:type="dxa"/>
            <w:vMerge/>
            <w:shd w:val="clear" w:color="auto" w:fill="006272"/>
            <w:vAlign w:val="center"/>
          </w:tcPr>
          <w:p w14:paraId="6C71FE38" w14:textId="77777777" w:rsidR="001F4A66" w:rsidRPr="00D231C5" w:rsidRDefault="001F4A66" w:rsidP="001F4A66">
            <w:pPr>
              <w:pStyle w:val="NoSpacing"/>
              <w:spacing w:before="60" w:after="60"/>
              <w:jc w:val="center"/>
              <w:rPr>
                <w:b/>
                <w:color w:val="FFFFFF" w:themeColor="background1"/>
                <w:sz w:val="16"/>
                <w:szCs w:val="16"/>
              </w:rPr>
            </w:pPr>
          </w:p>
        </w:tc>
        <w:tc>
          <w:tcPr>
            <w:tcW w:w="1084" w:type="dxa"/>
            <w:shd w:val="clear" w:color="auto" w:fill="006272"/>
            <w:vAlign w:val="center"/>
          </w:tcPr>
          <w:p w14:paraId="6C32A4D9" w14:textId="77777777" w:rsidR="001F4A66" w:rsidRPr="00D231C5" w:rsidRDefault="001F4A66" w:rsidP="001F4A66">
            <w:pPr>
              <w:pStyle w:val="NoSpacing"/>
              <w:spacing w:before="60" w:after="60"/>
              <w:jc w:val="center"/>
              <w:rPr>
                <w:b/>
                <w:color w:val="FFFFFF" w:themeColor="background1"/>
                <w:sz w:val="16"/>
                <w:szCs w:val="16"/>
              </w:rPr>
            </w:pPr>
            <w:r>
              <w:rPr>
                <w:b/>
                <w:color w:val="FFFFFF" w:themeColor="background1"/>
                <w:sz w:val="16"/>
                <w:szCs w:val="16"/>
              </w:rPr>
              <w:t>Max rõhul</w:t>
            </w:r>
          </w:p>
        </w:tc>
        <w:tc>
          <w:tcPr>
            <w:tcW w:w="796" w:type="dxa"/>
            <w:shd w:val="clear" w:color="auto" w:fill="006272"/>
            <w:vAlign w:val="center"/>
          </w:tcPr>
          <w:p w14:paraId="6DEB186F" w14:textId="268F79F0" w:rsidR="001F4A66" w:rsidRPr="00D231C5" w:rsidRDefault="001F4A66" w:rsidP="001F4A66">
            <w:pPr>
              <w:pStyle w:val="NoSpacing"/>
              <w:spacing w:before="60" w:after="60"/>
              <w:jc w:val="center"/>
              <w:rPr>
                <w:b/>
                <w:color w:val="FFFFFF" w:themeColor="background1"/>
                <w:sz w:val="16"/>
                <w:szCs w:val="16"/>
              </w:rPr>
            </w:pPr>
            <w:r>
              <w:rPr>
                <w:b/>
                <w:color w:val="FFFFFF" w:themeColor="background1"/>
                <w:sz w:val="16"/>
                <w:szCs w:val="16"/>
              </w:rPr>
              <w:t>Tegelik</w:t>
            </w:r>
            <w:r w:rsidR="006D7761">
              <w:rPr>
                <w:b/>
                <w:color w:val="FFFFFF" w:themeColor="background1"/>
                <w:sz w:val="16"/>
                <w:szCs w:val="16"/>
              </w:rPr>
              <w:t>**</w:t>
            </w:r>
          </w:p>
        </w:tc>
        <w:tc>
          <w:tcPr>
            <w:tcW w:w="1079" w:type="dxa"/>
            <w:vMerge/>
            <w:shd w:val="clear" w:color="auto" w:fill="006272"/>
            <w:vAlign w:val="center"/>
          </w:tcPr>
          <w:p w14:paraId="6F15410C" w14:textId="77777777" w:rsidR="001F4A66" w:rsidRDefault="001F4A66" w:rsidP="001F4A66">
            <w:pPr>
              <w:pStyle w:val="NoSpacing"/>
              <w:spacing w:before="60" w:after="60"/>
              <w:jc w:val="center"/>
              <w:rPr>
                <w:b/>
                <w:color w:val="FFFFFF" w:themeColor="background1"/>
                <w:sz w:val="16"/>
                <w:szCs w:val="16"/>
              </w:rPr>
            </w:pPr>
          </w:p>
        </w:tc>
        <w:tc>
          <w:tcPr>
            <w:tcW w:w="863" w:type="dxa"/>
            <w:vMerge/>
            <w:shd w:val="clear" w:color="auto" w:fill="006272"/>
            <w:vAlign w:val="center"/>
          </w:tcPr>
          <w:p w14:paraId="1D6D6AC3" w14:textId="77777777" w:rsidR="001F4A66" w:rsidRDefault="001F4A66" w:rsidP="001F4A66">
            <w:pPr>
              <w:pStyle w:val="NoSpacing"/>
              <w:spacing w:before="60" w:after="60"/>
              <w:jc w:val="center"/>
              <w:rPr>
                <w:b/>
                <w:color w:val="FFFFFF" w:themeColor="background1"/>
                <w:sz w:val="16"/>
                <w:szCs w:val="16"/>
              </w:rPr>
            </w:pPr>
          </w:p>
        </w:tc>
      </w:tr>
      <w:tr w:rsidR="001F4A66" w14:paraId="0B8CD525" w14:textId="77777777" w:rsidTr="007F0CC9">
        <w:tc>
          <w:tcPr>
            <w:tcW w:w="851" w:type="dxa"/>
            <w:vAlign w:val="center"/>
          </w:tcPr>
          <w:p w14:paraId="2E853D0F" w14:textId="77777777" w:rsidR="001F4A66" w:rsidRDefault="001F4A66" w:rsidP="001F4A66">
            <w:pPr>
              <w:pStyle w:val="NoSpacing"/>
              <w:spacing w:before="60" w:after="60"/>
              <w:jc w:val="left"/>
              <w:rPr>
                <w:sz w:val="16"/>
                <w:szCs w:val="16"/>
              </w:rPr>
            </w:pPr>
            <w:r>
              <w:rPr>
                <w:sz w:val="16"/>
                <w:szCs w:val="16"/>
              </w:rPr>
              <w:t>Karksi</w:t>
            </w:r>
          </w:p>
        </w:tc>
        <w:tc>
          <w:tcPr>
            <w:tcW w:w="1084" w:type="dxa"/>
            <w:vAlign w:val="center"/>
          </w:tcPr>
          <w:p w14:paraId="4884388C" w14:textId="77777777" w:rsidR="001F4A66" w:rsidRPr="00D231C5" w:rsidRDefault="001F4A66" w:rsidP="001F4A66">
            <w:pPr>
              <w:pStyle w:val="NoSpacing"/>
              <w:spacing w:before="60" w:after="60"/>
              <w:jc w:val="center"/>
              <w:rPr>
                <w:sz w:val="16"/>
                <w:szCs w:val="16"/>
              </w:rPr>
            </w:pPr>
            <w:r>
              <w:rPr>
                <w:sz w:val="16"/>
                <w:szCs w:val="16"/>
              </w:rPr>
              <w:t>7,0</w:t>
            </w:r>
          </w:p>
        </w:tc>
        <w:tc>
          <w:tcPr>
            <w:tcW w:w="796" w:type="dxa"/>
            <w:vAlign w:val="center"/>
          </w:tcPr>
          <w:p w14:paraId="137A335F" w14:textId="4804B2F9" w:rsidR="001F4A66" w:rsidRPr="006D7761" w:rsidRDefault="006D7761" w:rsidP="007F0CC9">
            <w:pPr>
              <w:pStyle w:val="NoSpacing"/>
              <w:spacing w:before="60" w:after="60"/>
              <w:jc w:val="center"/>
              <w:rPr>
                <w:sz w:val="16"/>
                <w:szCs w:val="16"/>
              </w:rPr>
            </w:pPr>
            <w:r w:rsidRPr="006D7761">
              <w:rPr>
                <w:sz w:val="16"/>
                <w:szCs w:val="16"/>
              </w:rPr>
              <w:t>6,56</w:t>
            </w:r>
          </w:p>
        </w:tc>
        <w:tc>
          <w:tcPr>
            <w:tcW w:w="1079" w:type="dxa"/>
            <w:vAlign w:val="center"/>
          </w:tcPr>
          <w:p w14:paraId="0C7B2BA2" w14:textId="77777777" w:rsidR="00A36C4F" w:rsidRDefault="00A36C4F" w:rsidP="00A36C4F">
            <w:pPr>
              <w:pStyle w:val="NoSpacing"/>
              <w:spacing w:before="60"/>
              <w:jc w:val="center"/>
              <w:rPr>
                <w:sz w:val="16"/>
                <w:szCs w:val="16"/>
              </w:rPr>
            </w:pPr>
            <w:r>
              <w:rPr>
                <w:sz w:val="16"/>
                <w:szCs w:val="16"/>
              </w:rPr>
              <w:t>4,97</w:t>
            </w:r>
          </w:p>
          <w:p w14:paraId="52117530" w14:textId="6537105A" w:rsidR="001F4A66" w:rsidRPr="00747C4F" w:rsidRDefault="00A36C4F" w:rsidP="00A36C4F">
            <w:pPr>
              <w:pStyle w:val="NoSpacing"/>
              <w:spacing w:after="60"/>
              <w:jc w:val="center"/>
              <w:rPr>
                <w:sz w:val="16"/>
                <w:szCs w:val="16"/>
              </w:rPr>
            </w:pPr>
            <w:r w:rsidRPr="00A36C4F">
              <w:rPr>
                <w:color w:val="7F7F7F" w:themeColor="text1" w:themeTint="80"/>
                <w:sz w:val="16"/>
                <w:szCs w:val="16"/>
              </w:rPr>
              <w:t>(3,22)</w:t>
            </w:r>
          </w:p>
        </w:tc>
        <w:tc>
          <w:tcPr>
            <w:tcW w:w="863" w:type="dxa"/>
            <w:vAlign w:val="center"/>
          </w:tcPr>
          <w:p w14:paraId="02C99CB1" w14:textId="4E8FC3DD" w:rsidR="001F4A66" w:rsidRPr="00747C4F" w:rsidRDefault="00A36C4F" w:rsidP="007F0CC9">
            <w:pPr>
              <w:pStyle w:val="NoSpacing"/>
              <w:spacing w:before="60" w:after="60"/>
              <w:jc w:val="center"/>
              <w:rPr>
                <w:sz w:val="16"/>
                <w:szCs w:val="16"/>
              </w:rPr>
            </w:pPr>
            <w:r>
              <w:rPr>
                <w:sz w:val="16"/>
                <w:szCs w:val="16"/>
              </w:rPr>
              <w:t xml:space="preserve">330,4 </w:t>
            </w:r>
            <w:r w:rsidRPr="00A36C4F">
              <w:rPr>
                <w:color w:val="7F7F7F" w:themeColor="text1" w:themeTint="80"/>
                <w:sz w:val="16"/>
                <w:szCs w:val="16"/>
              </w:rPr>
              <w:t>(389,0)</w:t>
            </w:r>
          </w:p>
        </w:tc>
      </w:tr>
      <w:tr w:rsidR="001F4A66" w14:paraId="622352E4" w14:textId="77777777" w:rsidTr="007F0CC9">
        <w:tc>
          <w:tcPr>
            <w:tcW w:w="851" w:type="dxa"/>
            <w:vAlign w:val="center"/>
          </w:tcPr>
          <w:p w14:paraId="34D9B1AE" w14:textId="77777777" w:rsidR="001F4A66" w:rsidRPr="00D231C5" w:rsidRDefault="001F4A66" w:rsidP="007F0CC9">
            <w:pPr>
              <w:pStyle w:val="NoSpacing"/>
              <w:spacing w:before="60" w:after="60"/>
              <w:jc w:val="left"/>
              <w:rPr>
                <w:sz w:val="16"/>
                <w:szCs w:val="16"/>
              </w:rPr>
            </w:pPr>
            <w:r>
              <w:rPr>
                <w:sz w:val="16"/>
                <w:szCs w:val="16"/>
              </w:rPr>
              <w:t>Värska</w:t>
            </w:r>
          </w:p>
        </w:tc>
        <w:tc>
          <w:tcPr>
            <w:tcW w:w="1084" w:type="dxa"/>
            <w:vAlign w:val="center"/>
          </w:tcPr>
          <w:p w14:paraId="1E822464" w14:textId="77777777" w:rsidR="001F4A66" w:rsidRPr="00D231C5" w:rsidRDefault="001F4A66" w:rsidP="007F0CC9">
            <w:pPr>
              <w:pStyle w:val="NoSpacing"/>
              <w:spacing w:before="60" w:after="60"/>
              <w:jc w:val="center"/>
              <w:rPr>
                <w:sz w:val="16"/>
                <w:szCs w:val="16"/>
              </w:rPr>
            </w:pPr>
            <w:r>
              <w:rPr>
                <w:sz w:val="16"/>
                <w:szCs w:val="16"/>
              </w:rPr>
              <w:t>4,0</w:t>
            </w:r>
          </w:p>
        </w:tc>
        <w:tc>
          <w:tcPr>
            <w:tcW w:w="796" w:type="dxa"/>
            <w:vAlign w:val="center"/>
          </w:tcPr>
          <w:p w14:paraId="01BABFCD" w14:textId="3B81675B" w:rsidR="001F4A66" w:rsidRPr="006D7761" w:rsidRDefault="001F4A66" w:rsidP="007F0CC9">
            <w:pPr>
              <w:pStyle w:val="NoSpacing"/>
              <w:spacing w:before="60" w:after="60"/>
              <w:jc w:val="center"/>
              <w:rPr>
                <w:sz w:val="16"/>
                <w:szCs w:val="16"/>
              </w:rPr>
            </w:pPr>
            <w:r w:rsidRPr="006D7761">
              <w:rPr>
                <w:sz w:val="16"/>
                <w:szCs w:val="16"/>
              </w:rPr>
              <w:t>2,</w:t>
            </w:r>
            <w:r w:rsidR="006D7761" w:rsidRPr="006D7761">
              <w:rPr>
                <w:sz w:val="16"/>
                <w:szCs w:val="16"/>
              </w:rPr>
              <w:t>82</w:t>
            </w:r>
          </w:p>
        </w:tc>
        <w:tc>
          <w:tcPr>
            <w:tcW w:w="1079" w:type="dxa"/>
            <w:vAlign w:val="center"/>
          </w:tcPr>
          <w:p w14:paraId="0FB0243F" w14:textId="77777777" w:rsidR="00A36C4F" w:rsidRDefault="001F4A66" w:rsidP="00A36C4F">
            <w:pPr>
              <w:pStyle w:val="NoSpacing"/>
              <w:spacing w:before="60"/>
              <w:jc w:val="center"/>
              <w:rPr>
                <w:sz w:val="16"/>
                <w:szCs w:val="16"/>
              </w:rPr>
            </w:pPr>
            <w:r>
              <w:rPr>
                <w:sz w:val="16"/>
                <w:szCs w:val="16"/>
              </w:rPr>
              <w:t>2,</w:t>
            </w:r>
            <w:r w:rsidR="00A36C4F">
              <w:rPr>
                <w:sz w:val="16"/>
                <w:szCs w:val="16"/>
              </w:rPr>
              <w:t>63</w:t>
            </w:r>
          </w:p>
          <w:p w14:paraId="745CBE6D" w14:textId="0986B3E6" w:rsidR="001F4A66" w:rsidRPr="00747C4F" w:rsidRDefault="00A36C4F" w:rsidP="00A36C4F">
            <w:pPr>
              <w:pStyle w:val="NoSpacing"/>
              <w:spacing w:after="60"/>
              <w:jc w:val="center"/>
              <w:rPr>
                <w:sz w:val="16"/>
                <w:szCs w:val="16"/>
              </w:rPr>
            </w:pPr>
            <w:r w:rsidRPr="00A36C4F">
              <w:rPr>
                <w:color w:val="7F7F7F" w:themeColor="text1" w:themeTint="80"/>
                <w:sz w:val="16"/>
                <w:szCs w:val="16"/>
              </w:rPr>
              <w:t>(1,64)</w:t>
            </w:r>
          </w:p>
        </w:tc>
        <w:tc>
          <w:tcPr>
            <w:tcW w:w="863" w:type="dxa"/>
            <w:vAlign w:val="center"/>
          </w:tcPr>
          <w:p w14:paraId="25023E78" w14:textId="5FCC2CAC" w:rsidR="001F4A66" w:rsidRPr="00747C4F" w:rsidRDefault="00A36C4F" w:rsidP="007F0CC9">
            <w:pPr>
              <w:pStyle w:val="NoSpacing"/>
              <w:spacing w:before="60" w:after="60"/>
              <w:jc w:val="center"/>
              <w:rPr>
                <w:sz w:val="16"/>
                <w:szCs w:val="16"/>
              </w:rPr>
            </w:pPr>
            <w:r>
              <w:rPr>
                <w:sz w:val="16"/>
                <w:szCs w:val="16"/>
              </w:rPr>
              <w:t xml:space="preserve">195,1 </w:t>
            </w:r>
            <w:r w:rsidRPr="00A36C4F">
              <w:rPr>
                <w:color w:val="7F7F7F" w:themeColor="text1" w:themeTint="80"/>
                <w:sz w:val="16"/>
                <w:szCs w:val="16"/>
              </w:rPr>
              <w:t>(64,1)</w:t>
            </w:r>
          </w:p>
        </w:tc>
      </w:tr>
      <w:tr w:rsidR="001F4A66" w:rsidRPr="007D3F2C" w14:paraId="55D0DF5B" w14:textId="77777777" w:rsidTr="001F4A66">
        <w:tc>
          <w:tcPr>
            <w:tcW w:w="851" w:type="dxa"/>
            <w:vAlign w:val="center"/>
          </w:tcPr>
          <w:p w14:paraId="002FD1BE" w14:textId="77777777" w:rsidR="001F4A66" w:rsidRPr="00D231C5" w:rsidRDefault="001F4A66" w:rsidP="007F0CC9">
            <w:pPr>
              <w:pStyle w:val="NoSpacing"/>
              <w:spacing w:before="60" w:after="60"/>
              <w:jc w:val="left"/>
              <w:rPr>
                <w:sz w:val="16"/>
                <w:szCs w:val="16"/>
              </w:rPr>
            </w:pPr>
            <w:r>
              <w:rPr>
                <w:sz w:val="16"/>
                <w:szCs w:val="16"/>
              </w:rPr>
              <w:t>Narva</w:t>
            </w:r>
          </w:p>
        </w:tc>
        <w:tc>
          <w:tcPr>
            <w:tcW w:w="1084" w:type="dxa"/>
            <w:vAlign w:val="center"/>
          </w:tcPr>
          <w:p w14:paraId="458E227E" w14:textId="77777777" w:rsidR="001F4A66" w:rsidRPr="00D231C5" w:rsidRDefault="001F4A66" w:rsidP="007F0CC9">
            <w:pPr>
              <w:pStyle w:val="NoSpacing"/>
              <w:spacing w:before="60" w:after="60"/>
              <w:jc w:val="center"/>
              <w:rPr>
                <w:sz w:val="16"/>
                <w:szCs w:val="16"/>
              </w:rPr>
            </w:pPr>
            <w:r>
              <w:rPr>
                <w:sz w:val="16"/>
                <w:szCs w:val="16"/>
              </w:rPr>
              <w:t>3,0</w:t>
            </w:r>
          </w:p>
        </w:tc>
        <w:tc>
          <w:tcPr>
            <w:tcW w:w="796" w:type="dxa"/>
            <w:vAlign w:val="center"/>
          </w:tcPr>
          <w:p w14:paraId="78CE05A7" w14:textId="4ED740F6" w:rsidR="001F4A66" w:rsidRPr="006D7761" w:rsidRDefault="006D7761" w:rsidP="007F0CC9">
            <w:pPr>
              <w:pStyle w:val="NoSpacing"/>
              <w:spacing w:before="60" w:after="60"/>
              <w:jc w:val="center"/>
              <w:rPr>
                <w:sz w:val="16"/>
                <w:szCs w:val="16"/>
              </w:rPr>
            </w:pPr>
            <w:r w:rsidRPr="006D7761">
              <w:rPr>
                <w:sz w:val="16"/>
                <w:szCs w:val="16"/>
              </w:rPr>
              <w:t>1,14</w:t>
            </w:r>
          </w:p>
        </w:tc>
        <w:tc>
          <w:tcPr>
            <w:tcW w:w="1079" w:type="dxa"/>
            <w:vAlign w:val="center"/>
          </w:tcPr>
          <w:p w14:paraId="136D2309" w14:textId="77777777" w:rsidR="00A36C4F" w:rsidRDefault="001F4A66" w:rsidP="00A36C4F">
            <w:pPr>
              <w:pStyle w:val="NoSpacing"/>
              <w:spacing w:before="60"/>
              <w:jc w:val="center"/>
              <w:rPr>
                <w:sz w:val="16"/>
                <w:szCs w:val="16"/>
              </w:rPr>
            </w:pPr>
            <w:r>
              <w:rPr>
                <w:sz w:val="16"/>
                <w:szCs w:val="16"/>
              </w:rPr>
              <w:t>0,00</w:t>
            </w:r>
          </w:p>
          <w:p w14:paraId="12BBC3A5" w14:textId="2EBC9356" w:rsidR="001F4A66" w:rsidRPr="00747C4F" w:rsidRDefault="00A36C4F" w:rsidP="00A36C4F">
            <w:pPr>
              <w:pStyle w:val="NoSpacing"/>
              <w:spacing w:after="60"/>
              <w:jc w:val="center"/>
              <w:rPr>
                <w:sz w:val="16"/>
                <w:szCs w:val="16"/>
              </w:rPr>
            </w:pPr>
            <w:r w:rsidRPr="00A36C4F">
              <w:rPr>
                <w:color w:val="7F7F7F" w:themeColor="text1" w:themeTint="80"/>
                <w:sz w:val="16"/>
                <w:szCs w:val="16"/>
              </w:rPr>
              <w:t>(0,61)</w:t>
            </w:r>
          </w:p>
        </w:tc>
        <w:tc>
          <w:tcPr>
            <w:tcW w:w="863" w:type="dxa"/>
            <w:vAlign w:val="center"/>
          </w:tcPr>
          <w:p w14:paraId="484D3AAD" w14:textId="2366BC5B" w:rsidR="001F4A66" w:rsidRPr="00747C4F" w:rsidRDefault="001F4A66" w:rsidP="001F4A66">
            <w:pPr>
              <w:pStyle w:val="NoSpacing"/>
              <w:spacing w:before="60" w:after="60"/>
              <w:jc w:val="center"/>
              <w:rPr>
                <w:sz w:val="16"/>
                <w:szCs w:val="16"/>
              </w:rPr>
            </w:pPr>
            <w:r>
              <w:rPr>
                <w:sz w:val="16"/>
                <w:szCs w:val="16"/>
              </w:rPr>
              <w:t>0,00</w:t>
            </w:r>
            <w:r w:rsidR="00A36C4F">
              <w:rPr>
                <w:sz w:val="16"/>
                <w:szCs w:val="16"/>
              </w:rPr>
              <w:t xml:space="preserve"> </w:t>
            </w:r>
            <w:r w:rsidR="00A36C4F" w:rsidRPr="00A36C4F">
              <w:rPr>
                <w:color w:val="7F7F7F" w:themeColor="text1" w:themeTint="80"/>
                <w:sz w:val="16"/>
                <w:szCs w:val="16"/>
              </w:rPr>
              <w:t>(31,4)</w:t>
            </w:r>
          </w:p>
        </w:tc>
      </w:tr>
    </w:tbl>
    <w:p w14:paraId="3E1881FF" w14:textId="03C9AABB" w:rsidR="00A36C4F" w:rsidRDefault="00A36C4F" w:rsidP="00A36C4F">
      <w:pPr>
        <w:rPr>
          <w:rStyle w:val="SubtleEmphasis"/>
        </w:rPr>
      </w:pPr>
      <w:r w:rsidRPr="007B2B0F">
        <w:rPr>
          <w:rStyle w:val="SubtleEmphasis"/>
        </w:rPr>
        <w:t xml:space="preserve">* Võrdlus eelmise </w:t>
      </w:r>
      <w:r>
        <w:rPr>
          <w:rStyle w:val="SubtleEmphasis"/>
        </w:rPr>
        <w:t>aasta</w:t>
      </w:r>
      <w:r w:rsidRPr="007B2B0F">
        <w:rPr>
          <w:rStyle w:val="SubtleEmphasis"/>
        </w:rPr>
        <w:t>ga</w:t>
      </w:r>
    </w:p>
    <w:p w14:paraId="712B06DC" w14:textId="109CD349" w:rsidR="006D7761" w:rsidRDefault="006D7761" w:rsidP="00A36C4F">
      <w:pPr>
        <w:rPr>
          <w:rStyle w:val="SubtleEmphasis"/>
        </w:rPr>
      </w:pPr>
      <w:r>
        <w:rPr>
          <w:rStyle w:val="SubtleEmphasis"/>
        </w:rPr>
        <w:t>** Keskmine</w:t>
      </w:r>
    </w:p>
    <w:p w14:paraId="10682D5F" w14:textId="77777777" w:rsidR="00A36C4F" w:rsidRDefault="00A36C4F" w:rsidP="001F4A66"/>
    <w:p w14:paraId="40068E46" w14:textId="0F5D9AC4" w:rsidR="001F4A66" w:rsidRDefault="00A36C4F" w:rsidP="001F4A66">
      <w:r>
        <w:lastRenderedPageBreak/>
        <w:t>2016. aastal</w:t>
      </w:r>
      <w:r w:rsidR="001F4A66" w:rsidRPr="001308DA">
        <w:t xml:space="preserve"> toimus Eesti gaasivarustus</w:t>
      </w:r>
      <w:r w:rsidR="001F4A66">
        <w:t xml:space="preserve"> Värska ja</w:t>
      </w:r>
      <w:r w:rsidR="001F4A66" w:rsidRPr="001308DA">
        <w:t xml:space="preserve"> Karksi gaasimõõtejaama</w:t>
      </w:r>
      <w:r w:rsidR="001F4A66">
        <w:t>de</w:t>
      </w:r>
      <w:r w:rsidR="001F4A66" w:rsidRPr="001308DA">
        <w:t xml:space="preserve"> (GMJ) kaudu</w:t>
      </w:r>
      <w:r w:rsidR="00383238">
        <w:t xml:space="preserve"> (Narvast füüsilist voogu ei olnud)</w:t>
      </w:r>
      <w:r w:rsidR="001F4A66" w:rsidRPr="001308DA">
        <w:t xml:space="preserve">. Kuu lõikes jäi gaasivoog Eesti süsteemi </w:t>
      </w:r>
      <w:r w:rsidR="001F4A66" w:rsidRPr="007369C5">
        <w:t xml:space="preserve">päevas </w:t>
      </w:r>
      <w:r>
        <w:t>0</w:t>
      </w:r>
      <w:r w:rsidR="001F4A66" w:rsidRPr="007369C5">
        <w:t xml:space="preserve"> ja </w:t>
      </w:r>
      <w:r>
        <w:t>4,97</w:t>
      </w:r>
      <w:r w:rsidR="001F4A66" w:rsidRPr="007369C5">
        <w:t xml:space="preserve"> miljoni </w:t>
      </w:r>
      <w:r w:rsidR="001F4A66">
        <w:t>m</w:t>
      </w:r>
      <w:r w:rsidR="001F4A66" w:rsidRPr="008D55D8">
        <w:rPr>
          <w:vertAlign w:val="superscript"/>
        </w:rPr>
        <w:t>3</w:t>
      </w:r>
      <w:r w:rsidR="001F4A66" w:rsidRPr="007369C5">
        <w:t xml:space="preserve"> vahele. </w:t>
      </w:r>
      <w:r w:rsidR="001F4A66">
        <w:t>S</w:t>
      </w:r>
      <w:r w:rsidR="001F4A66" w:rsidRPr="007369C5">
        <w:t>üs</w:t>
      </w:r>
      <w:r w:rsidR="001F4A66">
        <w:softHyphen/>
      </w:r>
      <w:r w:rsidR="001F4A66" w:rsidRPr="007369C5">
        <w:t>teemihaldur</w:t>
      </w:r>
      <w:r w:rsidR="001F4A66" w:rsidRPr="001308DA">
        <w:t xml:space="preserve"> </w:t>
      </w:r>
      <w:r w:rsidR="001F4A66">
        <w:t xml:space="preserve">tagas </w:t>
      </w:r>
      <w:r w:rsidR="001F4A66" w:rsidRPr="001308DA">
        <w:t>kõik turuosaliste soovitud tarned.</w:t>
      </w:r>
    </w:p>
    <w:p w14:paraId="568CF237" w14:textId="77777777" w:rsidR="001F4A66" w:rsidRDefault="001F4A66" w:rsidP="001F4A66"/>
    <w:p w14:paraId="7834F933" w14:textId="53B8E5B4" w:rsidR="001F4A66" w:rsidRDefault="00BB49B4" w:rsidP="001F4A66">
      <w:r>
        <w:rPr>
          <w:noProof/>
        </w:rPr>
        <w:drawing>
          <wp:inline distT="0" distB="0" distL="0" distR="0" wp14:anchorId="22F7F384" wp14:editId="45DD3EA4">
            <wp:extent cx="2968625" cy="178117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234915D6" w14:textId="785A75E2" w:rsidR="001F4A66" w:rsidRPr="007B2B0F" w:rsidRDefault="001F4A66" w:rsidP="001F4A66">
      <w:pPr>
        <w:rPr>
          <w:rStyle w:val="SubtleEmphasis"/>
        </w:rPr>
      </w:pPr>
      <w:r w:rsidRPr="007B2B0F">
        <w:rPr>
          <w:rStyle w:val="SubtleEmphasis"/>
        </w:rPr>
        <w:t>Füüsiline gaasivoog Eesti gaasisüst</w:t>
      </w:r>
      <w:r w:rsidR="00BB49B4">
        <w:rPr>
          <w:rStyle w:val="SubtleEmphasis"/>
        </w:rPr>
        <w:t>eemi piiripunktides 2016. aastal</w:t>
      </w:r>
    </w:p>
    <w:p w14:paraId="45D77368" w14:textId="77777777" w:rsidR="001F4A66" w:rsidRDefault="001F4A66" w:rsidP="001F4A66"/>
    <w:p w14:paraId="1A56B5BA" w14:textId="77777777" w:rsidR="001F4A66" w:rsidRDefault="001F4A66" w:rsidP="0022344D"/>
    <w:p w14:paraId="230D4687" w14:textId="1F01F4F9" w:rsidR="00750CC2" w:rsidRDefault="00871E5A" w:rsidP="00750CC2">
      <w:pPr>
        <w:pStyle w:val="Heading2"/>
      </w:pPr>
      <w:r>
        <w:t>Kogused ja käive</w:t>
      </w:r>
    </w:p>
    <w:tbl>
      <w:tblPr>
        <w:tblStyle w:val="TableGrid"/>
        <w:tblW w:w="0" w:type="auto"/>
        <w:tblLook w:val="04A0" w:firstRow="1" w:lastRow="0" w:firstColumn="1" w:lastColumn="0" w:noHBand="0" w:noVBand="1"/>
      </w:tblPr>
      <w:tblGrid>
        <w:gridCol w:w="587"/>
        <w:gridCol w:w="1373"/>
        <w:gridCol w:w="1358"/>
        <w:gridCol w:w="1350"/>
      </w:tblGrid>
      <w:tr w:rsidR="002C663B" w:rsidRPr="00B753D0" w14:paraId="73E7FA8C" w14:textId="77777777" w:rsidTr="002C663B">
        <w:tc>
          <w:tcPr>
            <w:tcW w:w="1838" w:type="dxa"/>
            <w:gridSpan w:val="2"/>
            <w:shd w:val="clear" w:color="auto" w:fill="006272"/>
          </w:tcPr>
          <w:p w14:paraId="56F5CB54" w14:textId="06F4FF59" w:rsidR="002C663B" w:rsidRPr="00B753D0" w:rsidRDefault="002C663B" w:rsidP="006752C2">
            <w:pPr>
              <w:spacing w:before="20" w:after="20"/>
              <w:rPr>
                <w:b/>
                <w:color w:val="FFFFFF" w:themeColor="background1"/>
                <w:sz w:val="16"/>
              </w:rPr>
            </w:pPr>
            <w:r w:rsidRPr="00B753D0">
              <w:rPr>
                <w:b/>
                <w:color w:val="FFFFFF" w:themeColor="background1"/>
                <w:sz w:val="16"/>
              </w:rPr>
              <w:t>2016</w:t>
            </w:r>
          </w:p>
        </w:tc>
        <w:tc>
          <w:tcPr>
            <w:tcW w:w="1418" w:type="dxa"/>
            <w:shd w:val="clear" w:color="auto" w:fill="006272"/>
          </w:tcPr>
          <w:p w14:paraId="2E864263" w14:textId="4D9E6880" w:rsidR="002C663B" w:rsidRPr="00B753D0" w:rsidRDefault="002C663B" w:rsidP="006752C2">
            <w:pPr>
              <w:spacing w:before="20" w:after="20"/>
              <w:rPr>
                <w:b/>
                <w:color w:val="FFFFFF" w:themeColor="background1"/>
                <w:sz w:val="16"/>
              </w:rPr>
            </w:pPr>
            <w:r w:rsidRPr="00B753D0">
              <w:rPr>
                <w:b/>
                <w:color w:val="FFFFFF" w:themeColor="background1"/>
                <w:sz w:val="16"/>
              </w:rPr>
              <w:t>Kogus, TWh</w:t>
            </w:r>
          </w:p>
        </w:tc>
        <w:tc>
          <w:tcPr>
            <w:tcW w:w="1412" w:type="dxa"/>
            <w:shd w:val="clear" w:color="auto" w:fill="006272"/>
          </w:tcPr>
          <w:p w14:paraId="6FADA6E1" w14:textId="606D4754" w:rsidR="002C663B" w:rsidRPr="00B753D0" w:rsidRDefault="002C663B" w:rsidP="006752C2">
            <w:pPr>
              <w:spacing w:before="20" w:after="20"/>
              <w:rPr>
                <w:b/>
                <w:color w:val="FFFFFF" w:themeColor="background1"/>
                <w:sz w:val="16"/>
              </w:rPr>
            </w:pPr>
            <w:r w:rsidRPr="00B753D0">
              <w:rPr>
                <w:b/>
                <w:color w:val="FFFFFF" w:themeColor="background1"/>
                <w:sz w:val="16"/>
              </w:rPr>
              <w:t>Käive, mln €</w:t>
            </w:r>
          </w:p>
        </w:tc>
      </w:tr>
      <w:tr w:rsidR="002C663B" w:rsidRPr="00B753D0" w14:paraId="5789DEE9" w14:textId="77777777" w:rsidTr="001F1916">
        <w:tc>
          <w:tcPr>
            <w:tcW w:w="432" w:type="dxa"/>
            <w:vMerge w:val="restart"/>
            <w:vAlign w:val="center"/>
          </w:tcPr>
          <w:p w14:paraId="2583D3F5" w14:textId="64AA8A2B" w:rsidR="002C663B" w:rsidRPr="00B753D0" w:rsidRDefault="002C663B" w:rsidP="006752C2">
            <w:pPr>
              <w:spacing w:before="20" w:after="20"/>
              <w:jc w:val="left"/>
              <w:rPr>
                <w:sz w:val="16"/>
              </w:rPr>
            </w:pPr>
            <w:r w:rsidRPr="00B753D0">
              <w:rPr>
                <w:sz w:val="16"/>
              </w:rPr>
              <w:t>Ost</w:t>
            </w:r>
          </w:p>
        </w:tc>
        <w:tc>
          <w:tcPr>
            <w:tcW w:w="1406" w:type="dxa"/>
          </w:tcPr>
          <w:p w14:paraId="4D6724A9" w14:textId="63F103E3" w:rsidR="002C663B" w:rsidRPr="00B753D0" w:rsidRDefault="002C663B" w:rsidP="006752C2">
            <w:pPr>
              <w:spacing w:before="20" w:after="20"/>
              <w:rPr>
                <w:sz w:val="16"/>
              </w:rPr>
            </w:pPr>
            <w:r w:rsidRPr="00B753D0">
              <w:rPr>
                <w:sz w:val="16"/>
              </w:rPr>
              <w:t>Elspot</w:t>
            </w:r>
          </w:p>
        </w:tc>
        <w:tc>
          <w:tcPr>
            <w:tcW w:w="1418" w:type="dxa"/>
          </w:tcPr>
          <w:p w14:paraId="08F64C40" w14:textId="53C5F198" w:rsidR="002C663B" w:rsidRPr="00B753D0" w:rsidRDefault="002C663B" w:rsidP="006752C2">
            <w:pPr>
              <w:spacing w:before="20" w:after="20"/>
              <w:jc w:val="center"/>
              <w:rPr>
                <w:sz w:val="16"/>
              </w:rPr>
            </w:pPr>
            <w:r w:rsidRPr="00B753D0">
              <w:rPr>
                <w:sz w:val="16"/>
              </w:rPr>
              <w:t xml:space="preserve">7,50 </w:t>
            </w:r>
            <w:r w:rsidRPr="00B753D0">
              <w:rPr>
                <w:color w:val="7F7F7F" w:themeColor="text1" w:themeTint="80"/>
                <w:sz w:val="16"/>
              </w:rPr>
              <w:t>(6,98)</w:t>
            </w:r>
          </w:p>
        </w:tc>
        <w:tc>
          <w:tcPr>
            <w:tcW w:w="1412" w:type="dxa"/>
          </w:tcPr>
          <w:p w14:paraId="6BD7F975" w14:textId="6274DAAD" w:rsidR="002C663B" w:rsidRPr="00B753D0" w:rsidRDefault="002C663B" w:rsidP="006752C2">
            <w:pPr>
              <w:spacing w:before="20" w:after="20"/>
              <w:jc w:val="center"/>
              <w:rPr>
                <w:sz w:val="16"/>
              </w:rPr>
            </w:pPr>
            <w:r w:rsidRPr="00B753D0">
              <w:rPr>
                <w:sz w:val="16"/>
              </w:rPr>
              <w:t xml:space="preserve">261 </w:t>
            </w:r>
            <w:r w:rsidRPr="00B753D0">
              <w:rPr>
                <w:color w:val="7F7F7F" w:themeColor="text1" w:themeTint="80"/>
                <w:sz w:val="16"/>
              </w:rPr>
              <w:t>(231)</w:t>
            </w:r>
          </w:p>
        </w:tc>
      </w:tr>
      <w:tr w:rsidR="002C663B" w:rsidRPr="00B753D0" w14:paraId="68455706" w14:textId="77777777" w:rsidTr="001F1916">
        <w:tc>
          <w:tcPr>
            <w:tcW w:w="432" w:type="dxa"/>
            <w:vMerge/>
            <w:vAlign w:val="center"/>
          </w:tcPr>
          <w:p w14:paraId="5F396F94" w14:textId="77777777" w:rsidR="002C663B" w:rsidRPr="00B753D0" w:rsidRDefault="002C663B" w:rsidP="006752C2">
            <w:pPr>
              <w:spacing w:before="20" w:after="20"/>
              <w:jc w:val="left"/>
              <w:rPr>
                <w:sz w:val="16"/>
              </w:rPr>
            </w:pPr>
          </w:p>
        </w:tc>
        <w:tc>
          <w:tcPr>
            <w:tcW w:w="1406" w:type="dxa"/>
          </w:tcPr>
          <w:p w14:paraId="397A5FED" w14:textId="67DB3DA3" w:rsidR="002C663B" w:rsidRPr="00B753D0" w:rsidRDefault="002C663B" w:rsidP="006752C2">
            <w:pPr>
              <w:spacing w:before="20" w:after="20"/>
              <w:rPr>
                <w:sz w:val="16"/>
              </w:rPr>
            </w:pPr>
            <w:r w:rsidRPr="00B753D0">
              <w:rPr>
                <w:sz w:val="16"/>
              </w:rPr>
              <w:t>Elbas</w:t>
            </w:r>
          </w:p>
        </w:tc>
        <w:tc>
          <w:tcPr>
            <w:tcW w:w="1418" w:type="dxa"/>
            <w:vAlign w:val="center"/>
          </w:tcPr>
          <w:p w14:paraId="26BED4CD" w14:textId="6CADC413" w:rsidR="002C663B" w:rsidRPr="00B753D0" w:rsidRDefault="002C663B" w:rsidP="006752C2">
            <w:pPr>
              <w:spacing w:before="20" w:after="20"/>
              <w:jc w:val="center"/>
              <w:rPr>
                <w:sz w:val="16"/>
              </w:rPr>
            </w:pPr>
            <w:r w:rsidRPr="00B753D0">
              <w:rPr>
                <w:sz w:val="16"/>
              </w:rPr>
              <w:t xml:space="preserve">0,14 </w:t>
            </w:r>
            <w:r w:rsidRPr="00B753D0">
              <w:rPr>
                <w:color w:val="7F7F7F" w:themeColor="text1" w:themeTint="80"/>
                <w:sz w:val="16"/>
              </w:rPr>
              <w:t>(0,11)</w:t>
            </w:r>
          </w:p>
        </w:tc>
        <w:tc>
          <w:tcPr>
            <w:tcW w:w="1412" w:type="dxa"/>
          </w:tcPr>
          <w:p w14:paraId="01F67DD0" w14:textId="77777777" w:rsidR="002C663B" w:rsidRPr="00B753D0" w:rsidRDefault="002C663B" w:rsidP="006752C2">
            <w:pPr>
              <w:spacing w:before="20" w:after="20"/>
              <w:jc w:val="center"/>
              <w:rPr>
                <w:sz w:val="16"/>
              </w:rPr>
            </w:pPr>
          </w:p>
        </w:tc>
      </w:tr>
      <w:tr w:rsidR="002C663B" w:rsidRPr="00B753D0" w14:paraId="4B9E51BF" w14:textId="77777777" w:rsidTr="001F1916">
        <w:tc>
          <w:tcPr>
            <w:tcW w:w="432" w:type="dxa"/>
            <w:vMerge/>
            <w:vAlign w:val="center"/>
          </w:tcPr>
          <w:p w14:paraId="47285F71" w14:textId="77777777" w:rsidR="002C663B" w:rsidRPr="00B753D0" w:rsidRDefault="002C663B" w:rsidP="006752C2">
            <w:pPr>
              <w:spacing w:before="20" w:after="20"/>
              <w:jc w:val="left"/>
              <w:rPr>
                <w:sz w:val="16"/>
              </w:rPr>
            </w:pPr>
          </w:p>
        </w:tc>
        <w:tc>
          <w:tcPr>
            <w:tcW w:w="1406" w:type="dxa"/>
          </w:tcPr>
          <w:p w14:paraId="72E24FDC" w14:textId="162F3675" w:rsidR="002C663B" w:rsidRPr="00B753D0" w:rsidRDefault="002C663B" w:rsidP="006752C2">
            <w:pPr>
              <w:spacing w:before="20" w:after="20"/>
              <w:rPr>
                <w:sz w:val="16"/>
              </w:rPr>
            </w:pPr>
            <w:r w:rsidRPr="00B753D0">
              <w:rPr>
                <w:sz w:val="16"/>
              </w:rPr>
              <w:t>% tarbimisest</w:t>
            </w:r>
          </w:p>
        </w:tc>
        <w:tc>
          <w:tcPr>
            <w:tcW w:w="1418" w:type="dxa"/>
          </w:tcPr>
          <w:p w14:paraId="6F1E94A5" w14:textId="0A51D240" w:rsidR="002C663B" w:rsidRPr="00B753D0" w:rsidRDefault="002C663B" w:rsidP="006752C2">
            <w:pPr>
              <w:spacing w:before="20" w:after="20"/>
              <w:jc w:val="center"/>
              <w:rPr>
                <w:sz w:val="16"/>
              </w:rPr>
            </w:pPr>
            <w:r w:rsidRPr="00B753D0">
              <w:rPr>
                <w:sz w:val="16"/>
              </w:rPr>
              <w:t xml:space="preserve">93,5 </w:t>
            </w:r>
            <w:r w:rsidRPr="00B753D0">
              <w:rPr>
                <w:color w:val="7F7F7F" w:themeColor="text1" w:themeTint="80"/>
                <w:sz w:val="16"/>
              </w:rPr>
              <w:t>(87,4)</w:t>
            </w:r>
          </w:p>
        </w:tc>
        <w:tc>
          <w:tcPr>
            <w:tcW w:w="1412" w:type="dxa"/>
          </w:tcPr>
          <w:p w14:paraId="0339632C" w14:textId="77777777" w:rsidR="002C663B" w:rsidRPr="00B753D0" w:rsidRDefault="002C663B" w:rsidP="006752C2">
            <w:pPr>
              <w:spacing w:before="20" w:after="20"/>
              <w:jc w:val="center"/>
              <w:rPr>
                <w:sz w:val="16"/>
              </w:rPr>
            </w:pPr>
          </w:p>
        </w:tc>
      </w:tr>
      <w:tr w:rsidR="002C663B" w:rsidRPr="00B753D0" w14:paraId="4BDEF359" w14:textId="77777777" w:rsidTr="001F1916">
        <w:tc>
          <w:tcPr>
            <w:tcW w:w="432" w:type="dxa"/>
            <w:vMerge w:val="restart"/>
            <w:vAlign w:val="center"/>
          </w:tcPr>
          <w:p w14:paraId="753CCACE" w14:textId="2B6784AD" w:rsidR="002C663B" w:rsidRPr="00B753D0" w:rsidRDefault="002C663B" w:rsidP="006752C2">
            <w:pPr>
              <w:spacing w:before="20" w:after="20"/>
              <w:jc w:val="left"/>
              <w:rPr>
                <w:sz w:val="16"/>
              </w:rPr>
            </w:pPr>
            <w:r w:rsidRPr="00B753D0">
              <w:rPr>
                <w:sz w:val="16"/>
              </w:rPr>
              <w:t>Müük</w:t>
            </w:r>
          </w:p>
        </w:tc>
        <w:tc>
          <w:tcPr>
            <w:tcW w:w="1406" w:type="dxa"/>
          </w:tcPr>
          <w:p w14:paraId="383D3281" w14:textId="7737003D" w:rsidR="002C663B" w:rsidRPr="00B753D0" w:rsidRDefault="002C663B" w:rsidP="006752C2">
            <w:pPr>
              <w:spacing w:before="20" w:after="20"/>
              <w:rPr>
                <w:sz w:val="16"/>
              </w:rPr>
            </w:pPr>
            <w:r w:rsidRPr="00B753D0">
              <w:rPr>
                <w:sz w:val="16"/>
              </w:rPr>
              <w:t>Elspot</w:t>
            </w:r>
          </w:p>
        </w:tc>
        <w:tc>
          <w:tcPr>
            <w:tcW w:w="1418" w:type="dxa"/>
          </w:tcPr>
          <w:p w14:paraId="1EC74779" w14:textId="3D17F8DB" w:rsidR="002C663B" w:rsidRPr="00B753D0" w:rsidRDefault="002C663B" w:rsidP="006752C2">
            <w:pPr>
              <w:spacing w:before="20" w:after="20"/>
              <w:jc w:val="center"/>
              <w:rPr>
                <w:sz w:val="16"/>
              </w:rPr>
            </w:pPr>
            <w:r w:rsidRPr="00B753D0">
              <w:rPr>
                <w:sz w:val="16"/>
              </w:rPr>
              <w:t xml:space="preserve">9,49 </w:t>
            </w:r>
            <w:r w:rsidRPr="00B753D0">
              <w:rPr>
                <w:color w:val="7F7F7F" w:themeColor="text1" w:themeTint="80"/>
                <w:sz w:val="16"/>
              </w:rPr>
              <w:t>(7,80)</w:t>
            </w:r>
          </w:p>
        </w:tc>
        <w:tc>
          <w:tcPr>
            <w:tcW w:w="1412" w:type="dxa"/>
          </w:tcPr>
          <w:p w14:paraId="5E0DA0CE" w14:textId="305D292E" w:rsidR="002C663B" w:rsidRPr="00B753D0" w:rsidRDefault="002C663B" w:rsidP="006752C2">
            <w:pPr>
              <w:spacing w:before="20" w:after="20"/>
              <w:jc w:val="center"/>
              <w:rPr>
                <w:sz w:val="16"/>
              </w:rPr>
            </w:pPr>
            <w:r w:rsidRPr="00B753D0">
              <w:rPr>
                <w:sz w:val="16"/>
              </w:rPr>
              <w:t xml:space="preserve">337 </w:t>
            </w:r>
            <w:r w:rsidRPr="00B753D0">
              <w:rPr>
                <w:color w:val="7F7F7F" w:themeColor="text1" w:themeTint="80"/>
                <w:sz w:val="16"/>
              </w:rPr>
              <w:t>(267)</w:t>
            </w:r>
          </w:p>
        </w:tc>
      </w:tr>
      <w:tr w:rsidR="002C663B" w:rsidRPr="00B753D0" w14:paraId="702EAE46" w14:textId="77777777" w:rsidTr="002C663B">
        <w:tc>
          <w:tcPr>
            <w:tcW w:w="432" w:type="dxa"/>
            <w:vMerge/>
          </w:tcPr>
          <w:p w14:paraId="683FB514" w14:textId="77777777" w:rsidR="002C663B" w:rsidRPr="00B753D0" w:rsidRDefault="002C663B" w:rsidP="006752C2">
            <w:pPr>
              <w:spacing w:before="20" w:after="20"/>
              <w:rPr>
                <w:sz w:val="16"/>
              </w:rPr>
            </w:pPr>
          </w:p>
        </w:tc>
        <w:tc>
          <w:tcPr>
            <w:tcW w:w="1406" w:type="dxa"/>
          </w:tcPr>
          <w:p w14:paraId="6F12BAC5" w14:textId="14110C17" w:rsidR="002C663B" w:rsidRPr="00B753D0" w:rsidRDefault="002C663B" w:rsidP="006752C2">
            <w:pPr>
              <w:spacing w:before="20" w:after="20"/>
              <w:rPr>
                <w:sz w:val="16"/>
              </w:rPr>
            </w:pPr>
            <w:r w:rsidRPr="00B753D0">
              <w:rPr>
                <w:sz w:val="16"/>
              </w:rPr>
              <w:t>Elbas</w:t>
            </w:r>
          </w:p>
        </w:tc>
        <w:tc>
          <w:tcPr>
            <w:tcW w:w="1418" w:type="dxa"/>
          </w:tcPr>
          <w:p w14:paraId="3C941718" w14:textId="600281F5" w:rsidR="002C663B" w:rsidRPr="00B753D0" w:rsidRDefault="002C663B" w:rsidP="006752C2">
            <w:pPr>
              <w:spacing w:before="20" w:after="20"/>
              <w:jc w:val="center"/>
              <w:rPr>
                <w:sz w:val="16"/>
              </w:rPr>
            </w:pPr>
            <w:r w:rsidRPr="00B753D0">
              <w:rPr>
                <w:sz w:val="16"/>
              </w:rPr>
              <w:t xml:space="preserve">0,07 </w:t>
            </w:r>
            <w:r w:rsidRPr="00B753D0">
              <w:rPr>
                <w:color w:val="7F7F7F" w:themeColor="text1" w:themeTint="80"/>
                <w:sz w:val="16"/>
              </w:rPr>
              <w:t>(0,04)</w:t>
            </w:r>
          </w:p>
        </w:tc>
        <w:tc>
          <w:tcPr>
            <w:tcW w:w="1412" w:type="dxa"/>
          </w:tcPr>
          <w:p w14:paraId="1846D38E" w14:textId="77777777" w:rsidR="002C663B" w:rsidRPr="00B753D0" w:rsidRDefault="002C663B" w:rsidP="006752C2">
            <w:pPr>
              <w:spacing w:before="20" w:after="20"/>
              <w:jc w:val="center"/>
              <w:rPr>
                <w:sz w:val="16"/>
              </w:rPr>
            </w:pPr>
          </w:p>
        </w:tc>
      </w:tr>
      <w:tr w:rsidR="002C663B" w:rsidRPr="00B753D0" w14:paraId="05FAEC95" w14:textId="77777777" w:rsidTr="002C663B">
        <w:tc>
          <w:tcPr>
            <w:tcW w:w="432" w:type="dxa"/>
            <w:vMerge/>
          </w:tcPr>
          <w:p w14:paraId="2DB21C31" w14:textId="77777777" w:rsidR="002C663B" w:rsidRPr="00B753D0" w:rsidRDefault="002C663B" w:rsidP="006752C2">
            <w:pPr>
              <w:spacing w:before="20" w:after="20"/>
              <w:rPr>
                <w:sz w:val="16"/>
              </w:rPr>
            </w:pPr>
          </w:p>
        </w:tc>
        <w:tc>
          <w:tcPr>
            <w:tcW w:w="1406" w:type="dxa"/>
          </w:tcPr>
          <w:p w14:paraId="24F0625D" w14:textId="2D0B7752" w:rsidR="002C663B" w:rsidRPr="00B753D0" w:rsidRDefault="002C663B" w:rsidP="006752C2">
            <w:pPr>
              <w:spacing w:before="20" w:after="20"/>
              <w:rPr>
                <w:sz w:val="16"/>
              </w:rPr>
            </w:pPr>
            <w:r w:rsidRPr="00B753D0">
              <w:rPr>
                <w:sz w:val="16"/>
              </w:rPr>
              <w:t>% tootmisest</w:t>
            </w:r>
          </w:p>
        </w:tc>
        <w:tc>
          <w:tcPr>
            <w:tcW w:w="1418" w:type="dxa"/>
          </w:tcPr>
          <w:p w14:paraId="34FA461A" w14:textId="6C16FDD5" w:rsidR="002C663B" w:rsidRPr="00B753D0" w:rsidRDefault="002C663B" w:rsidP="006752C2">
            <w:pPr>
              <w:spacing w:before="20" w:after="20"/>
              <w:jc w:val="center"/>
              <w:rPr>
                <w:sz w:val="16"/>
              </w:rPr>
            </w:pPr>
            <w:r w:rsidRPr="00B753D0">
              <w:rPr>
                <w:sz w:val="16"/>
              </w:rPr>
              <w:t xml:space="preserve">93,1 </w:t>
            </w:r>
            <w:r w:rsidRPr="00B753D0">
              <w:rPr>
                <w:color w:val="7F7F7F" w:themeColor="text1" w:themeTint="80"/>
                <w:sz w:val="16"/>
              </w:rPr>
              <w:t>(86,6)</w:t>
            </w:r>
          </w:p>
        </w:tc>
        <w:tc>
          <w:tcPr>
            <w:tcW w:w="1412" w:type="dxa"/>
          </w:tcPr>
          <w:p w14:paraId="006035C1" w14:textId="77777777" w:rsidR="002C663B" w:rsidRPr="00B753D0" w:rsidRDefault="002C663B" w:rsidP="006752C2">
            <w:pPr>
              <w:spacing w:before="20" w:after="20"/>
              <w:jc w:val="center"/>
              <w:rPr>
                <w:sz w:val="16"/>
              </w:rPr>
            </w:pPr>
          </w:p>
        </w:tc>
      </w:tr>
    </w:tbl>
    <w:p w14:paraId="6C53110A" w14:textId="77777777" w:rsidR="0005369E" w:rsidRDefault="0005369E" w:rsidP="007A6A8C"/>
    <w:p w14:paraId="2644DF1A" w14:textId="02532BA5" w:rsidR="00C879F9" w:rsidRDefault="007F0CC9" w:rsidP="0022344D">
      <w:r>
        <w:rPr>
          <w:noProof/>
        </w:rPr>
        <w:drawing>
          <wp:inline distT="0" distB="0" distL="0" distR="0" wp14:anchorId="78CD35E0" wp14:editId="5E807D48">
            <wp:extent cx="297180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1FDFD4C" w14:textId="3F0E3794" w:rsidR="00C879F9" w:rsidRDefault="00AB1685" w:rsidP="00C879F9">
      <w:r>
        <w:rPr>
          <w:rStyle w:val="SubtleEmphasis"/>
        </w:rPr>
        <w:t>NP</w:t>
      </w:r>
      <w:r w:rsidR="00C879F9" w:rsidRPr="003F5260">
        <w:rPr>
          <w:rStyle w:val="SubtleEmphasis"/>
        </w:rPr>
        <w:t xml:space="preserve"> Eesti </w:t>
      </w:r>
      <w:r w:rsidR="00C879F9">
        <w:rPr>
          <w:rStyle w:val="SubtleEmphasis"/>
        </w:rPr>
        <w:t xml:space="preserve">hinnapiirkonnas </w:t>
      </w:r>
      <w:r w:rsidR="0017450E">
        <w:rPr>
          <w:rStyle w:val="SubtleEmphasis"/>
        </w:rPr>
        <w:t>järgmise päeva</w:t>
      </w:r>
      <w:r w:rsidR="00A50DDB">
        <w:rPr>
          <w:rStyle w:val="SubtleEmphasis"/>
        </w:rPr>
        <w:t xml:space="preserve"> turul </w:t>
      </w:r>
      <w:r w:rsidR="00C879F9">
        <w:rPr>
          <w:rStyle w:val="SubtleEmphasis"/>
        </w:rPr>
        <w:t>ostetud ja müüdud kogused</w:t>
      </w:r>
      <w:r w:rsidR="00C879F9" w:rsidRPr="003F5260">
        <w:rPr>
          <w:rStyle w:val="SubtleEmphasis"/>
        </w:rPr>
        <w:t xml:space="preserve"> 201</w:t>
      </w:r>
      <w:r w:rsidR="007F0CC9">
        <w:rPr>
          <w:rStyle w:val="SubtleEmphasis"/>
        </w:rPr>
        <w:t>6</w:t>
      </w:r>
      <w:r w:rsidR="00C879F9" w:rsidRPr="003F5260">
        <w:rPr>
          <w:rStyle w:val="SubtleEmphasis"/>
        </w:rPr>
        <w:t>. aastal</w:t>
      </w:r>
    </w:p>
    <w:p w14:paraId="501E4303" w14:textId="77777777" w:rsidR="007A6A8C" w:rsidRDefault="007A6A8C" w:rsidP="0022344D"/>
    <w:p w14:paraId="36A45F06" w14:textId="033464AD" w:rsidR="00A50DDB" w:rsidRPr="00A50DDB" w:rsidRDefault="00AB1685" w:rsidP="0022344D">
      <w:r>
        <w:rPr>
          <w:noProof/>
        </w:rPr>
        <w:drawing>
          <wp:inline distT="0" distB="0" distL="0" distR="0" wp14:anchorId="14BA2AA2" wp14:editId="2B3AA0B7">
            <wp:extent cx="2971800" cy="1781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0B733536" w14:textId="7ED0888E" w:rsidR="00A50DDB" w:rsidRPr="00AB1685" w:rsidRDefault="00AB1685" w:rsidP="0022344D">
      <w:r>
        <w:rPr>
          <w:rStyle w:val="SubtleEmphasis"/>
        </w:rPr>
        <w:t>NP</w:t>
      </w:r>
      <w:r w:rsidR="00A50DDB" w:rsidRPr="003F5260">
        <w:rPr>
          <w:rStyle w:val="SubtleEmphasis"/>
        </w:rPr>
        <w:t xml:space="preserve"> Eesti </w:t>
      </w:r>
      <w:r w:rsidR="00A50DDB">
        <w:rPr>
          <w:rStyle w:val="SubtleEmphasis"/>
        </w:rPr>
        <w:t>hinnapiirkonnas päevasisesel turul ostetud ja müüdud kogused</w:t>
      </w:r>
      <w:r w:rsidR="00A50DDB" w:rsidRPr="003F5260">
        <w:rPr>
          <w:rStyle w:val="SubtleEmphasis"/>
        </w:rPr>
        <w:t xml:space="preserve"> 201</w:t>
      </w:r>
      <w:r>
        <w:rPr>
          <w:rStyle w:val="SubtleEmphasis"/>
        </w:rPr>
        <w:t>6</w:t>
      </w:r>
      <w:r w:rsidR="00A50DDB" w:rsidRPr="003F5260">
        <w:rPr>
          <w:rStyle w:val="SubtleEmphasis"/>
        </w:rPr>
        <w:t>. aastal</w:t>
      </w:r>
    </w:p>
    <w:p w14:paraId="6C12E0AC" w14:textId="04FD38A9" w:rsidR="00CA69AD" w:rsidRDefault="00CA69AD" w:rsidP="0022344D"/>
    <w:tbl>
      <w:tblPr>
        <w:tblStyle w:val="TableGrid"/>
        <w:tblW w:w="0" w:type="auto"/>
        <w:tblLook w:val="04A0" w:firstRow="1" w:lastRow="0" w:firstColumn="1" w:lastColumn="0" w:noHBand="0" w:noVBand="1"/>
      </w:tblPr>
      <w:tblGrid>
        <w:gridCol w:w="1129"/>
        <w:gridCol w:w="1134"/>
        <w:gridCol w:w="1276"/>
        <w:gridCol w:w="1129"/>
      </w:tblGrid>
      <w:tr w:rsidR="002C663B" w:rsidRPr="00B753D0" w14:paraId="18772CEB" w14:textId="77777777" w:rsidTr="008C6DDB">
        <w:tc>
          <w:tcPr>
            <w:tcW w:w="2263" w:type="dxa"/>
            <w:gridSpan w:val="2"/>
            <w:shd w:val="clear" w:color="auto" w:fill="006272"/>
          </w:tcPr>
          <w:p w14:paraId="763FA350" w14:textId="77777777" w:rsidR="002C663B" w:rsidRPr="00B753D0" w:rsidRDefault="002C663B" w:rsidP="008C6DDB">
            <w:pPr>
              <w:jc w:val="center"/>
              <w:rPr>
                <w:b/>
                <w:color w:val="FFFFFF" w:themeColor="background1"/>
                <w:sz w:val="16"/>
              </w:rPr>
            </w:pPr>
            <w:r w:rsidRPr="00B753D0">
              <w:rPr>
                <w:b/>
                <w:color w:val="FFFFFF" w:themeColor="background1"/>
                <w:sz w:val="16"/>
              </w:rPr>
              <w:t>Soome suund, TWh</w:t>
            </w:r>
          </w:p>
        </w:tc>
        <w:tc>
          <w:tcPr>
            <w:tcW w:w="2405" w:type="dxa"/>
            <w:gridSpan w:val="2"/>
            <w:shd w:val="clear" w:color="auto" w:fill="006272"/>
          </w:tcPr>
          <w:p w14:paraId="02693086" w14:textId="77777777" w:rsidR="002C663B" w:rsidRPr="00B753D0" w:rsidRDefault="002C663B" w:rsidP="008C6DDB">
            <w:pPr>
              <w:jc w:val="center"/>
              <w:rPr>
                <w:b/>
                <w:color w:val="FFFFFF" w:themeColor="background1"/>
                <w:sz w:val="16"/>
              </w:rPr>
            </w:pPr>
            <w:r w:rsidRPr="00B753D0">
              <w:rPr>
                <w:b/>
                <w:color w:val="FFFFFF" w:themeColor="background1"/>
                <w:sz w:val="16"/>
              </w:rPr>
              <w:t>Läti suund, TWh</w:t>
            </w:r>
          </w:p>
        </w:tc>
      </w:tr>
      <w:tr w:rsidR="002C663B" w:rsidRPr="00B753D0" w14:paraId="6CC14C51" w14:textId="77777777" w:rsidTr="008C6DDB">
        <w:tc>
          <w:tcPr>
            <w:tcW w:w="1129" w:type="dxa"/>
            <w:shd w:val="clear" w:color="auto" w:fill="006272"/>
          </w:tcPr>
          <w:p w14:paraId="2F02FB9B" w14:textId="77777777" w:rsidR="002C663B" w:rsidRPr="00B753D0" w:rsidRDefault="002C663B" w:rsidP="008C6DDB">
            <w:pPr>
              <w:jc w:val="center"/>
              <w:rPr>
                <w:b/>
                <w:color w:val="FFFFFF" w:themeColor="background1"/>
                <w:sz w:val="16"/>
              </w:rPr>
            </w:pPr>
            <w:r w:rsidRPr="00B753D0">
              <w:rPr>
                <w:b/>
                <w:color w:val="FFFFFF" w:themeColor="background1"/>
                <w:sz w:val="16"/>
              </w:rPr>
              <w:t>EE-&gt;FI (TWh)</w:t>
            </w:r>
          </w:p>
        </w:tc>
        <w:tc>
          <w:tcPr>
            <w:tcW w:w="1134" w:type="dxa"/>
            <w:shd w:val="clear" w:color="auto" w:fill="006272"/>
          </w:tcPr>
          <w:p w14:paraId="207B37B0" w14:textId="77777777" w:rsidR="002C663B" w:rsidRPr="00B753D0" w:rsidRDefault="002C663B" w:rsidP="008C6DDB">
            <w:pPr>
              <w:jc w:val="center"/>
              <w:rPr>
                <w:b/>
                <w:color w:val="FFFFFF" w:themeColor="background1"/>
                <w:sz w:val="16"/>
              </w:rPr>
            </w:pPr>
            <w:r w:rsidRPr="00B753D0">
              <w:rPr>
                <w:b/>
                <w:color w:val="FFFFFF" w:themeColor="background1"/>
                <w:sz w:val="16"/>
              </w:rPr>
              <w:t>FI-&gt;EE (TWh)</w:t>
            </w:r>
          </w:p>
        </w:tc>
        <w:tc>
          <w:tcPr>
            <w:tcW w:w="1276" w:type="dxa"/>
            <w:shd w:val="clear" w:color="auto" w:fill="006272"/>
          </w:tcPr>
          <w:p w14:paraId="32140E44" w14:textId="77777777" w:rsidR="002C663B" w:rsidRPr="00B753D0" w:rsidRDefault="002C663B" w:rsidP="008C6DDB">
            <w:pPr>
              <w:jc w:val="center"/>
              <w:rPr>
                <w:b/>
                <w:color w:val="FFFFFF" w:themeColor="background1"/>
                <w:sz w:val="16"/>
              </w:rPr>
            </w:pPr>
            <w:r w:rsidRPr="00B753D0">
              <w:rPr>
                <w:b/>
                <w:color w:val="FFFFFF" w:themeColor="background1"/>
                <w:sz w:val="16"/>
              </w:rPr>
              <w:t>EE-&gt;LV (TWh)</w:t>
            </w:r>
          </w:p>
        </w:tc>
        <w:tc>
          <w:tcPr>
            <w:tcW w:w="1129" w:type="dxa"/>
            <w:shd w:val="clear" w:color="auto" w:fill="006272"/>
          </w:tcPr>
          <w:p w14:paraId="46740A70" w14:textId="77777777" w:rsidR="002C663B" w:rsidRPr="00B753D0" w:rsidRDefault="002C663B" w:rsidP="008C6DDB">
            <w:pPr>
              <w:jc w:val="center"/>
              <w:rPr>
                <w:b/>
                <w:color w:val="FFFFFF" w:themeColor="background1"/>
                <w:sz w:val="16"/>
              </w:rPr>
            </w:pPr>
            <w:r w:rsidRPr="00B753D0">
              <w:rPr>
                <w:b/>
                <w:color w:val="FFFFFF" w:themeColor="background1"/>
                <w:sz w:val="16"/>
              </w:rPr>
              <w:t>LV-&gt;EE (TWh)</w:t>
            </w:r>
          </w:p>
        </w:tc>
      </w:tr>
      <w:tr w:rsidR="002C663B" w:rsidRPr="00B753D0" w14:paraId="2770E3B3" w14:textId="77777777" w:rsidTr="008C6DDB">
        <w:tc>
          <w:tcPr>
            <w:tcW w:w="1129" w:type="dxa"/>
          </w:tcPr>
          <w:p w14:paraId="4E99B344" w14:textId="77777777" w:rsidR="002C663B" w:rsidRPr="00B753D0" w:rsidRDefault="002C663B" w:rsidP="008C6DDB">
            <w:pPr>
              <w:jc w:val="center"/>
              <w:rPr>
                <w:sz w:val="16"/>
              </w:rPr>
            </w:pPr>
            <w:r w:rsidRPr="00B753D0">
              <w:rPr>
                <w:sz w:val="16"/>
              </w:rPr>
              <w:t>0,62</w:t>
            </w:r>
          </w:p>
          <w:p w14:paraId="797F0AA5" w14:textId="77777777" w:rsidR="002C663B" w:rsidRPr="00B753D0" w:rsidRDefault="002C663B" w:rsidP="008C6DDB">
            <w:pPr>
              <w:jc w:val="center"/>
              <w:rPr>
                <w:sz w:val="16"/>
              </w:rPr>
            </w:pPr>
            <w:r w:rsidRPr="00B753D0">
              <w:rPr>
                <w:color w:val="7F7F7F" w:themeColor="text1" w:themeTint="80"/>
                <w:sz w:val="16"/>
              </w:rPr>
              <w:t>0,02</w:t>
            </w:r>
          </w:p>
        </w:tc>
        <w:tc>
          <w:tcPr>
            <w:tcW w:w="1134" w:type="dxa"/>
            <w:vAlign w:val="center"/>
          </w:tcPr>
          <w:p w14:paraId="19C85F12" w14:textId="77777777" w:rsidR="002C663B" w:rsidRPr="00B753D0" w:rsidRDefault="002C663B" w:rsidP="008C6DDB">
            <w:pPr>
              <w:jc w:val="center"/>
              <w:rPr>
                <w:sz w:val="16"/>
              </w:rPr>
            </w:pPr>
            <w:r w:rsidRPr="00B753D0">
              <w:rPr>
                <w:sz w:val="16"/>
              </w:rPr>
              <w:t>3,0</w:t>
            </w:r>
          </w:p>
          <w:p w14:paraId="36F3E438" w14:textId="77777777" w:rsidR="002C663B" w:rsidRPr="00B753D0" w:rsidRDefault="002C663B" w:rsidP="008C6DDB">
            <w:pPr>
              <w:jc w:val="center"/>
              <w:rPr>
                <w:sz w:val="16"/>
              </w:rPr>
            </w:pPr>
            <w:r w:rsidRPr="00B753D0">
              <w:rPr>
                <w:color w:val="7F7F7F" w:themeColor="text1" w:themeTint="80"/>
                <w:sz w:val="16"/>
              </w:rPr>
              <w:t>5,1</w:t>
            </w:r>
          </w:p>
        </w:tc>
        <w:tc>
          <w:tcPr>
            <w:tcW w:w="1276" w:type="dxa"/>
          </w:tcPr>
          <w:p w14:paraId="45871867" w14:textId="77777777" w:rsidR="002C663B" w:rsidRPr="00B753D0" w:rsidRDefault="002C663B" w:rsidP="008C6DDB">
            <w:pPr>
              <w:jc w:val="center"/>
              <w:rPr>
                <w:sz w:val="16"/>
              </w:rPr>
            </w:pPr>
            <w:r w:rsidRPr="00B753D0">
              <w:rPr>
                <w:sz w:val="16"/>
              </w:rPr>
              <w:t>4,5</w:t>
            </w:r>
          </w:p>
          <w:p w14:paraId="6ABFFC02" w14:textId="77777777" w:rsidR="002C663B" w:rsidRPr="00B753D0" w:rsidRDefault="002C663B" w:rsidP="008C6DDB">
            <w:pPr>
              <w:jc w:val="center"/>
              <w:rPr>
                <w:sz w:val="16"/>
              </w:rPr>
            </w:pPr>
            <w:r w:rsidRPr="00B753D0">
              <w:rPr>
                <w:color w:val="7F7F7F" w:themeColor="text1" w:themeTint="80"/>
                <w:sz w:val="16"/>
              </w:rPr>
              <w:t>5,9</w:t>
            </w:r>
          </w:p>
        </w:tc>
        <w:tc>
          <w:tcPr>
            <w:tcW w:w="1129" w:type="dxa"/>
          </w:tcPr>
          <w:p w14:paraId="6233DBB3" w14:textId="77777777" w:rsidR="002C663B" w:rsidRPr="00B753D0" w:rsidRDefault="002C663B" w:rsidP="008C6DDB">
            <w:pPr>
              <w:jc w:val="center"/>
              <w:rPr>
                <w:sz w:val="16"/>
              </w:rPr>
            </w:pPr>
            <w:r w:rsidRPr="00B753D0">
              <w:rPr>
                <w:sz w:val="16"/>
              </w:rPr>
              <w:t>0,09</w:t>
            </w:r>
          </w:p>
          <w:p w14:paraId="7A804F58" w14:textId="77777777" w:rsidR="002C663B" w:rsidRPr="00B753D0" w:rsidRDefault="002C663B" w:rsidP="008C6DDB">
            <w:pPr>
              <w:jc w:val="center"/>
              <w:rPr>
                <w:sz w:val="16"/>
              </w:rPr>
            </w:pPr>
            <w:r w:rsidRPr="00B753D0">
              <w:rPr>
                <w:color w:val="7F7F7F" w:themeColor="text1" w:themeTint="80"/>
                <w:sz w:val="16"/>
              </w:rPr>
              <w:t>0,002</w:t>
            </w:r>
          </w:p>
        </w:tc>
      </w:tr>
    </w:tbl>
    <w:p w14:paraId="017361F2" w14:textId="77777777" w:rsidR="002C663B" w:rsidRDefault="002C663B" w:rsidP="0022344D"/>
    <w:p w14:paraId="3D1CDACF" w14:textId="5B40BE99" w:rsidR="00327732" w:rsidRDefault="00AB1685" w:rsidP="0022344D">
      <w:r>
        <w:rPr>
          <w:noProof/>
        </w:rPr>
        <w:drawing>
          <wp:inline distT="0" distB="0" distL="0" distR="0" wp14:anchorId="1316B227" wp14:editId="25B992C8">
            <wp:extent cx="2971800" cy="1781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2CE4C2F3" w14:textId="068FA3D1" w:rsidR="00327732" w:rsidRDefault="00327732" w:rsidP="00327732">
      <w:r w:rsidRPr="003F5260">
        <w:rPr>
          <w:rStyle w:val="SubtleEmphasis"/>
        </w:rPr>
        <w:t xml:space="preserve">NP Eesti </w:t>
      </w:r>
      <w:r>
        <w:rPr>
          <w:rStyle w:val="SubtleEmphasis"/>
        </w:rPr>
        <w:t xml:space="preserve">ja NP Läti hinnapiirkondades </w:t>
      </w:r>
      <w:r w:rsidR="0017450E">
        <w:rPr>
          <w:rStyle w:val="SubtleEmphasis"/>
        </w:rPr>
        <w:t xml:space="preserve">järgmise </w:t>
      </w:r>
      <w:r>
        <w:rPr>
          <w:rStyle w:val="SubtleEmphasis"/>
        </w:rPr>
        <w:t>päev</w:t>
      </w:r>
      <w:r w:rsidR="0017450E">
        <w:rPr>
          <w:rStyle w:val="SubtleEmphasis"/>
        </w:rPr>
        <w:t>a</w:t>
      </w:r>
      <w:r>
        <w:rPr>
          <w:rStyle w:val="SubtleEmphasis"/>
        </w:rPr>
        <w:t xml:space="preserve"> turul ostetud ja müüdud koguste</w:t>
      </w:r>
      <w:r w:rsidRPr="003F5260">
        <w:rPr>
          <w:rStyle w:val="SubtleEmphasis"/>
        </w:rPr>
        <w:t xml:space="preserve"> </w:t>
      </w:r>
      <w:r>
        <w:rPr>
          <w:rStyle w:val="SubtleEmphasis"/>
        </w:rPr>
        <w:t xml:space="preserve">käive </w:t>
      </w:r>
      <w:r w:rsidRPr="003F5260">
        <w:rPr>
          <w:rStyle w:val="SubtleEmphasis"/>
        </w:rPr>
        <w:t>201</w:t>
      </w:r>
      <w:r w:rsidR="00AB1685">
        <w:rPr>
          <w:rStyle w:val="SubtleEmphasis"/>
        </w:rPr>
        <w:t>6</w:t>
      </w:r>
      <w:r w:rsidRPr="003F5260">
        <w:rPr>
          <w:rStyle w:val="SubtleEmphasis"/>
        </w:rPr>
        <w:t>. aastal</w:t>
      </w:r>
    </w:p>
    <w:p w14:paraId="7D2CE8B4" w14:textId="71C7E5ED" w:rsidR="00742226" w:rsidRDefault="00742226" w:rsidP="0022344D"/>
    <w:p w14:paraId="1CCCA1AC" w14:textId="77777777" w:rsidR="006752C2" w:rsidRDefault="006752C2" w:rsidP="0022344D"/>
    <w:p w14:paraId="22F81C90" w14:textId="3CC30FFB" w:rsidR="00871E5A" w:rsidRDefault="00871E5A" w:rsidP="00871E5A">
      <w:pPr>
        <w:pStyle w:val="Heading2"/>
      </w:pPr>
      <w:r>
        <w:t>Tulevikutehingud</w:t>
      </w:r>
    </w:p>
    <w:p w14:paraId="6D64001B" w14:textId="6D663A99" w:rsidR="0014088F" w:rsidRDefault="00FB3CEA" w:rsidP="00871E5A">
      <w:r w:rsidRPr="00FB3CEA">
        <w:t xml:space="preserve">Nasdaq OMX Commodities </w:t>
      </w:r>
      <w:r w:rsidR="0014088F" w:rsidRPr="0014088F">
        <w:t>201</w:t>
      </w:r>
      <w:r w:rsidR="003A2E58">
        <w:t>7</w:t>
      </w:r>
      <w:r w:rsidR="0014088F" w:rsidRPr="0014088F">
        <w:t>. aasta toote viimase kaup</w:t>
      </w:r>
      <w:r w:rsidR="006B15E2">
        <w:softHyphen/>
      </w:r>
      <w:r w:rsidR="0014088F" w:rsidRPr="0014088F">
        <w:t>lemispäeva (28.12.201</w:t>
      </w:r>
      <w:r w:rsidR="003A2E58">
        <w:t>6</w:t>
      </w:r>
      <w:r w:rsidR="0014088F" w:rsidRPr="0014088F">
        <w:t xml:space="preserve">) hindade põhjal võib oodata </w:t>
      </w:r>
      <w:r w:rsidR="0014088F">
        <w:t>süs</w:t>
      </w:r>
      <w:r w:rsidR="006B15E2">
        <w:softHyphen/>
      </w:r>
      <w:r w:rsidR="0014088F">
        <w:t>teemihinnaks 201</w:t>
      </w:r>
      <w:r w:rsidR="003A2E58">
        <w:t>7</w:t>
      </w:r>
      <w:r w:rsidR="0014088F">
        <w:t xml:space="preserve">. aastal </w:t>
      </w:r>
      <w:r w:rsidR="003A2E58">
        <w:t>28,40</w:t>
      </w:r>
      <w:r w:rsidR="0014088F">
        <w:t xml:space="preserve"> €/MWh. </w:t>
      </w:r>
      <w:r w:rsidRPr="00FB3CEA">
        <w:t xml:space="preserve">EPAD lepingute hindade põhjal võib oodata </w:t>
      </w:r>
      <w:r w:rsidR="001F1916" w:rsidRPr="00FB3CEA">
        <w:t>201</w:t>
      </w:r>
      <w:r w:rsidR="001F1916">
        <w:t>7</w:t>
      </w:r>
      <w:r w:rsidR="001F1916" w:rsidRPr="00FB3CEA">
        <w:t>. aasta kesk</w:t>
      </w:r>
      <w:r w:rsidR="001F1916">
        <w:softHyphen/>
      </w:r>
      <w:r w:rsidR="001F1916" w:rsidRPr="00FB3CEA">
        <w:t xml:space="preserve">miseks hinnaks </w:t>
      </w:r>
      <w:r w:rsidRPr="00FB3CEA">
        <w:t>NP Eesti hinnapiirkonna</w:t>
      </w:r>
      <w:r w:rsidR="001F1916">
        <w:t>s</w:t>
      </w:r>
      <w:r w:rsidRPr="00FB3CEA">
        <w:t xml:space="preserve"> </w:t>
      </w:r>
      <w:r w:rsidR="003A2E58">
        <w:t>36,10</w:t>
      </w:r>
      <w:r w:rsidRPr="00FB3CEA">
        <w:t xml:space="preserve"> </w:t>
      </w:r>
      <w:r w:rsidR="0014088F">
        <w:t>€</w:t>
      </w:r>
      <w:r w:rsidRPr="00FB3CEA">
        <w:t>/MWh</w:t>
      </w:r>
      <w:r w:rsidR="0014088F">
        <w:t xml:space="preserve"> ning </w:t>
      </w:r>
      <w:r w:rsidRPr="00FB3CEA">
        <w:t>Läti hinnapiirkonna</w:t>
      </w:r>
      <w:r w:rsidR="0014088F">
        <w:t>s 37,</w:t>
      </w:r>
      <w:r w:rsidR="003A2E58">
        <w:t>7</w:t>
      </w:r>
      <w:r w:rsidR="001F1916">
        <w:t>0</w:t>
      </w:r>
      <w:r w:rsidR="0014088F">
        <w:t xml:space="preserve"> €/MWh.</w:t>
      </w:r>
    </w:p>
    <w:p w14:paraId="2FFABBDE" w14:textId="77777777" w:rsidR="0014088F" w:rsidRDefault="0014088F" w:rsidP="00871E5A"/>
    <w:p w14:paraId="236C76A3" w14:textId="1C7290EB" w:rsidR="00871E5A" w:rsidRDefault="00FB3CEA" w:rsidP="00871E5A">
      <w:r w:rsidRPr="00FB3CEA">
        <w:t>Saksamaa tulevikutehingute põhjal</w:t>
      </w:r>
      <w:r w:rsidR="0014088F">
        <w:t xml:space="preserve"> (kauplemispäeval 28.12.201</w:t>
      </w:r>
      <w:r w:rsidR="00CE43E0">
        <w:t>6</w:t>
      </w:r>
      <w:r w:rsidR="0014088F">
        <w:t>)</w:t>
      </w:r>
      <w:r w:rsidRPr="00FB3CEA">
        <w:t xml:space="preserve"> kujuneb elektrienergia keskmiseks baas</w:t>
      </w:r>
      <w:r w:rsidR="0014088F">
        <w:softHyphen/>
      </w:r>
      <w:r w:rsidR="001F1916">
        <w:t xml:space="preserve">koormuse </w:t>
      </w:r>
      <w:r w:rsidRPr="00FB3CEA">
        <w:t>hinnaks 201</w:t>
      </w:r>
      <w:r w:rsidR="00CE43E0">
        <w:t>7</w:t>
      </w:r>
      <w:r w:rsidRPr="00FB3CEA">
        <w:t xml:space="preserve">. aastal </w:t>
      </w:r>
      <w:r w:rsidR="00CE43E0">
        <w:t>34,34</w:t>
      </w:r>
      <w:r w:rsidRPr="00FB3CEA">
        <w:t xml:space="preserve"> </w:t>
      </w:r>
      <w:r w:rsidR="0014088F">
        <w:t>€</w:t>
      </w:r>
      <w:r w:rsidRPr="00FB3CEA">
        <w:t>/MWh ja tiputundide kesk</w:t>
      </w:r>
      <w:r w:rsidR="0014088F">
        <w:softHyphen/>
      </w:r>
      <w:r w:rsidRPr="00FB3CEA">
        <w:t xml:space="preserve">miseks hinnaks </w:t>
      </w:r>
      <w:r w:rsidR="00CE43E0">
        <w:t>42,08</w:t>
      </w:r>
      <w:r w:rsidRPr="00FB3CEA">
        <w:t xml:space="preserve"> </w:t>
      </w:r>
      <w:r w:rsidR="0014088F">
        <w:t>€</w:t>
      </w:r>
      <w:r w:rsidRPr="00FB3CEA">
        <w:t xml:space="preserve">/MWh. </w:t>
      </w:r>
      <w:r w:rsidR="00CE43E0">
        <w:t>F</w:t>
      </w:r>
      <w:r w:rsidRPr="00FB3CEA">
        <w:t>inants</w:t>
      </w:r>
      <w:r w:rsidR="001F1916">
        <w:softHyphen/>
      </w:r>
      <w:r w:rsidRPr="00FB3CEA">
        <w:t xml:space="preserve">tehingute alusel prognoositakse </w:t>
      </w:r>
      <w:r w:rsidR="00CE43E0" w:rsidRPr="00FB3CEA">
        <w:t xml:space="preserve">Prantsusmaa </w:t>
      </w:r>
      <w:r w:rsidRPr="00FB3CEA">
        <w:t>baasenergia hin</w:t>
      </w:r>
      <w:r w:rsidR="0014088F">
        <w:softHyphen/>
      </w:r>
      <w:r w:rsidRPr="00FB3CEA">
        <w:t>naks 201</w:t>
      </w:r>
      <w:r w:rsidR="00CE43E0">
        <w:t>7</w:t>
      </w:r>
      <w:r w:rsidRPr="00FB3CEA">
        <w:t xml:space="preserve">. aastal </w:t>
      </w:r>
      <w:r w:rsidR="00CE43E0">
        <w:t>40,32</w:t>
      </w:r>
      <w:r w:rsidRPr="00FB3CEA">
        <w:t xml:space="preserve"> </w:t>
      </w:r>
      <w:r w:rsidR="0014088F">
        <w:t>€</w:t>
      </w:r>
      <w:r w:rsidRPr="00FB3CEA">
        <w:t xml:space="preserve">/MWh ja tiputundide hinnaks </w:t>
      </w:r>
      <w:r w:rsidR="00CE43E0">
        <w:t>51,00</w:t>
      </w:r>
      <w:r w:rsidRPr="00FB3CEA">
        <w:t xml:space="preserve"> </w:t>
      </w:r>
      <w:r w:rsidR="0014088F">
        <w:t>€</w:t>
      </w:r>
      <w:r w:rsidRPr="00FB3CEA">
        <w:t>/MWh.</w:t>
      </w:r>
    </w:p>
    <w:p w14:paraId="722E384C" w14:textId="77777777" w:rsidR="00AD08C7" w:rsidRDefault="00AD08C7" w:rsidP="00871E5A"/>
    <w:p w14:paraId="3EE84471" w14:textId="77777777" w:rsidR="00742226" w:rsidRDefault="00742226" w:rsidP="0022344D"/>
    <w:p w14:paraId="177F4D69" w14:textId="41FE69A8" w:rsidR="00871E5A" w:rsidRDefault="00871E5A" w:rsidP="00871E5A">
      <w:pPr>
        <w:pStyle w:val="Heading2"/>
      </w:pPr>
      <w:r>
        <w:t>Limiteeritud PTR-ide oksjon</w:t>
      </w:r>
    </w:p>
    <w:p w14:paraId="6643ECEC" w14:textId="213227F6" w:rsidR="00B82C56" w:rsidRDefault="00B75EC9" w:rsidP="0022344D">
      <w:r w:rsidRPr="00B75EC9">
        <w:t>Eesti ja Läti süsteemihaldurite Elering ja Augstsprieguma tīkls kokkuleppe kohaselt rakendatakse Eesti ja Läti vahe</w:t>
      </w:r>
      <w:r w:rsidR="000F51CF">
        <w:softHyphen/>
      </w:r>
      <w:r w:rsidRPr="00B75EC9">
        <w:t>lisel piiril osaliselt võimsuste limiteeritud otsest jaotus</w:t>
      </w:r>
      <w:r w:rsidR="000F51CF">
        <w:softHyphen/>
      </w:r>
      <w:r w:rsidRPr="00B75EC9">
        <w:t>mehhanismi</w:t>
      </w:r>
      <w:r>
        <w:t>.</w:t>
      </w:r>
      <w:r w:rsidRPr="00B75EC9">
        <w:t xml:space="preserve"> PTR-ide müük toimub võimsuse kohustusliku tagasimüügi tingimustel. Süsteemihaldurid maksavad turuosalisele tagasi ostetud ülekandevõimsuse eest tasu, mille suurus on võrdne elektri börsihinna er</w:t>
      </w:r>
      <w:r w:rsidR="004F7B8E">
        <w:t>inevusega vastaval perioodil NP</w:t>
      </w:r>
      <w:r w:rsidRPr="00B75EC9">
        <w:t xml:space="preserve"> Eesti ja Läti hinnapiirkonna vahel. Süsteemihaldurid annavad turuosalistelt tagasi ostetud ülekandevõimsuse NP</w:t>
      </w:r>
      <w:r w:rsidR="004F7B8E">
        <w:t>-</w:t>
      </w:r>
      <w:r w:rsidRPr="00B75EC9">
        <w:t xml:space="preserve">le jaotamiseks </w:t>
      </w:r>
      <w:r w:rsidR="004F7B8E">
        <w:t>järgmise päeva</w:t>
      </w:r>
      <w:r w:rsidRPr="00B75EC9">
        <w:t xml:space="preserve"> turul. Seega ei vähenda </w:t>
      </w:r>
      <w:r>
        <w:t xml:space="preserve">see </w:t>
      </w:r>
      <w:r w:rsidR="004F7B8E">
        <w:t>jaotusmehhanism NP</w:t>
      </w:r>
      <w:r w:rsidRPr="00B75EC9">
        <w:t xml:space="preserve"> poolt jaotatud ülekandevõimsuste kogumahtu.</w:t>
      </w:r>
    </w:p>
    <w:p w14:paraId="343503E7" w14:textId="77777777" w:rsidR="000F51CF" w:rsidRDefault="000F51CF" w:rsidP="000F51CF"/>
    <w:p w14:paraId="7A0AC37A" w14:textId="6B377300" w:rsidR="006752C2" w:rsidRDefault="000F51CF" w:rsidP="000F51CF">
      <w:r w:rsidRPr="00B75EC9">
        <w:t>Limiteeritud PTR-e ostnud turuosalis</w:t>
      </w:r>
      <w:r w:rsidR="00B753D0">
        <w:t>ed</w:t>
      </w:r>
      <w:r w:rsidRPr="00B75EC9">
        <w:t xml:space="preserve"> maksid süsteemi</w:t>
      </w:r>
      <w:r>
        <w:softHyphen/>
      </w:r>
      <w:r w:rsidRPr="00B75EC9">
        <w:t>halduri</w:t>
      </w:r>
      <w:r w:rsidR="00B753D0">
        <w:t>tele</w:t>
      </w:r>
      <w:r w:rsidRPr="00B75EC9">
        <w:t xml:space="preserve"> tegeliku hinnaerinevuse alusel </w:t>
      </w:r>
      <w:r w:rsidR="001F1916">
        <w:t xml:space="preserve">kokku </w:t>
      </w:r>
      <w:r w:rsidR="00B753D0">
        <w:t>3,36</w:t>
      </w:r>
      <w:r>
        <w:t xml:space="preserve"> mln eurot (</w:t>
      </w:r>
      <w:r w:rsidR="001F1916">
        <w:t xml:space="preserve">turuosalised maksid süsteemihalduritele </w:t>
      </w:r>
      <w:r w:rsidR="00B753D0">
        <w:t>3,9</w:t>
      </w:r>
      <w:r>
        <w:t xml:space="preserve"> mln </w:t>
      </w:r>
      <w:r w:rsidR="00B753D0">
        <w:t>€</w:t>
      </w:r>
      <w:r>
        <w:t xml:space="preserve"> aasta toote eest</w:t>
      </w:r>
      <w:r w:rsidR="00B753D0">
        <w:t xml:space="preserve"> ja</w:t>
      </w:r>
      <w:r>
        <w:t xml:space="preserve"> </w:t>
      </w:r>
      <w:r w:rsidR="00B753D0">
        <w:t>8 766</w:t>
      </w:r>
      <w:r>
        <w:t xml:space="preserve"> </w:t>
      </w:r>
      <w:r w:rsidR="00B753D0">
        <w:t>€</w:t>
      </w:r>
      <w:r>
        <w:t xml:space="preserve"> kvartali toodete eest</w:t>
      </w:r>
      <w:r w:rsidR="001F1916">
        <w:t>, süsteemi</w:t>
      </w:r>
      <w:r w:rsidR="001F1916">
        <w:softHyphen/>
        <w:t>haldurid maksid kuu toodete eest turuosalistele</w:t>
      </w:r>
      <w:r>
        <w:t xml:space="preserve"> </w:t>
      </w:r>
      <w:r w:rsidR="001F1916">
        <w:t>0,58</w:t>
      </w:r>
      <w:r>
        <w:t xml:space="preserve"> mln </w:t>
      </w:r>
      <w:r w:rsidR="001F1916">
        <w:t>€</w:t>
      </w:r>
      <w:r>
        <w:t>)</w:t>
      </w:r>
      <w:r w:rsidRPr="00B75EC9">
        <w:t>.</w:t>
      </w:r>
    </w:p>
    <w:p w14:paraId="2E10495E" w14:textId="77777777" w:rsidR="006752C2" w:rsidRDefault="006752C2" w:rsidP="000F51CF"/>
    <w:p w14:paraId="52524ADE" w14:textId="77777777" w:rsidR="00B75EC9" w:rsidRDefault="00B75EC9" w:rsidP="0022344D"/>
    <w:tbl>
      <w:tblPr>
        <w:tblStyle w:val="TableGrid"/>
        <w:tblW w:w="4683" w:type="dxa"/>
        <w:tblLayout w:type="fixed"/>
        <w:tblLook w:val="04A0" w:firstRow="1" w:lastRow="0" w:firstColumn="1" w:lastColumn="0" w:noHBand="0" w:noVBand="1"/>
      </w:tblPr>
      <w:tblGrid>
        <w:gridCol w:w="988"/>
        <w:gridCol w:w="692"/>
        <w:gridCol w:w="851"/>
        <w:gridCol w:w="867"/>
        <w:gridCol w:w="1285"/>
      </w:tblGrid>
      <w:tr w:rsidR="00E00B69" w:rsidRPr="00D231C5" w14:paraId="28557BA7" w14:textId="7A8E18A2" w:rsidTr="00B753D0">
        <w:tc>
          <w:tcPr>
            <w:tcW w:w="988" w:type="dxa"/>
            <w:vMerge w:val="restart"/>
            <w:shd w:val="clear" w:color="auto" w:fill="007087"/>
            <w:vAlign w:val="center"/>
          </w:tcPr>
          <w:p w14:paraId="0CE3AB45" w14:textId="2FE31C42" w:rsidR="00E00B69" w:rsidRPr="00D231C5" w:rsidRDefault="00E00B69" w:rsidP="001F4A66">
            <w:pPr>
              <w:pStyle w:val="NoSpacing"/>
              <w:spacing w:before="60" w:after="60"/>
              <w:jc w:val="left"/>
              <w:rPr>
                <w:b/>
                <w:color w:val="FFFFFF" w:themeColor="background1"/>
                <w:sz w:val="16"/>
                <w:szCs w:val="16"/>
              </w:rPr>
            </w:pPr>
            <w:r>
              <w:rPr>
                <w:b/>
                <w:color w:val="FFFFFF" w:themeColor="background1"/>
                <w:sz w:val="16"/>
                <w:szCs w:val="16"/>
              </w:rPr>
              <w:lastRenderedPageBreak/>
              <w:t>Limitee</w:t>
            </w:r>
            <w:r>
              <w:rPr>
                <w:b/>
                <w:color w:val="FFFFFF" w:themeColor="background1"/>
                <w:sz w:val="16"/>
                <w:szCs w:val="16"/>
              </w:rPr>
              <w:softHyphen/>
              <w:t>ritud PTR-201</w:t>
            </w:r>
            <w:r w:rsidR="0017450E">
              <w:rPr>
                <w:b/>
                <w:color w:val="FFFFFF" w:themeColor="background1"/>
                <w:sz w:val="16"/>
                <w:szCs w:val="16"/>
              </w:rPr>
              <w:t>6</w:t>
            </w:r>
          </w:p>
        </w:tc>
        <w:tc>
          <w:tcPr>
            <w:tcW w:w="3695" w:type="dxa"/>
            <w:gridSpan w:val="4"/>
            <w:shd w:val="clear" w:color="auto" w:fill="007087"/>
            <w:vAlign w:val="center"/>
          </w:tcPr>
          <w:p w14:paraId="3853F337" w14:textId="5032D890" w:rsidR="00E00B69" w:rsidRDefault="00E00B69" w:rsidP="001F4A66">
            <w:pPr>
              <w:pStyle w:val="NoSpacing"/>
              <w:spacing w:before="60" w:after="60"/>
              <w:jc w:val="center"/>
              <w:rPr>
                <w:b/>
                <w:color w:val="FFFFFF" w:themeColor="background1"/>
                <w:sz w:val="16"/>
                <w:szCs w:val="16"/>
              </w:rPr>
            </w:pPr>
            <w:r>
              <w:rPr>
                <w:b/>
                <w:color w:val="FFFFFF" w:themeColor="background1"/>
                <w:sz w:val="16"/>
                <w:szCs w:val="16"/>
              </w:rPr>
              <w:t>Tulemused</w:t>
            </w:r>
          </w:p>
        </w:tc>
      </w:tr>
      <w:tr w:rsidR="00E00B69" w:rsidRPr="00D231C5" w14:paraId="5703DB76" w14:textId="07A66245" w:rsidTr="009757D4">
        <w:tc>
          <w:tcPr>
            <w:tcW w:w="988" w:type="dxa"/>
            <w:vMerge/>
            <w:shd w:val="clear" w:color="auto" w:fill="007087"/>
            <w:vAlign w:val="center"/>
          </w:tcPr>
          <w:p w14:paraId="72756CE3" w14:textId="77777777" w:rsidR="00E00B69" w:rsidRPr="00D231C5" w:rsidRDefault="00E00B69" w:rsidP="001F4A66">
            <w:pPr>
              <w:pStyle w:val="NoSpacing"/>
              <w:spacing w:before="60" w:after="60"/>
              <w:jc w:val="center"/>
              <w:rPr>
                <w:b/>
                <w:color w:val="FFFFFF" w:themeColor="background1"/>
                <w:sz w:val="16"/>
                <w:szCs w:val="16"/>
              </w:rPr>
            </w:pPr>
          </w:p>
        </w:tc>
        <w:tc>
          <w:tcPr>
            <w:tcW w:w="692" w:type="dxa"/>
            <w:shd w:val="clear" w:color="auto" w:fill="007087"/>
            <w:vAlign w:val="center"/>
          </w:tcPr>
          <w:p w14:paraId="1DDF3BA6" w14:textId="2AB4C1B2" w:rsidR="00E00B69" w:rsidRPr="00D231C5" w:rsidRDefault="00E00B69" w:rsidP="001F4A66">
            <w:pPr>
              <w:pStyle w:val="NoSpacing"/>
              <w:spacing w:before="60" w:after="60"/>
              <w:jc w:val="center"/>
              <w:rPr>
                <w:b/>
                <w:color w:val="FFFFFF" w:themeColor="background1"/>
                <w:sz w:val="16"/>
                <w:szCs w:val="16"/>
              </w:rPr>
            </w:pPr>
            <w:r>
              <w:rPr>
                <w:b/>
                <w:color w:val="FFFFFF" w:themeColor="background1"/>
                <w:sz w:val="16"/>
                <w:szCs w:val="16"/>
              </w:rPr>
              <w:t>Kogus (MW)</w:t>
            </w:r>
          </w:p>
        </w:tc>
        <w:tc>
          <w:tcPr>
            <w:tcW w:w="851" w:type="dxa"/>
            <w:shd w:val="clear" w:color="auto" w:fill="007087"/>
            <w:vAlign w:val="center"/>
          </w:tcPr>
          <w:p w14:paraId="18001A76" w14:textId="78A0639B" w:rsidR="00E00B69" w:rsidRPr="00D231C5" w:rsidRDefault="00E00B69" w:rsidP="001F4A66">
            <w:pPr>
              <w:pStyle w:val="NoSpacing"/>
              <w:spacing w:before="60" w:after="60"/>
              <w:jc w:val="center"/>
              <w:rPr>
                <w:b/>
                <w:color w:val="FFFFFF" w:themeColor="background1"/>
                <w:sz w:val="16"/>
                <w:szCs w:val="16"/>
              </w:rPr>
            </w:pPr>
            <w:r>
              <w:rPr>
                <w:b/>
                <w:color w:val="FFFFFF" w:themeColor="background1"/>
                <w:sz w:val="16"/>
                <w:szCs w:val="16"/>
              </w:rPr>
              <w:t>Oksjoni hind (€/MWh)</w:t>
            </w:r>
          </w:p>
        </w:tc>
        <w:tc>
          <w:tcPr>
            <w:tcW w:w="867" w:type="dxa"/>
            <w:shd w:val="clear" w:color="auto" w:fill="007087"/>
          </w:tcPr>
          <w:p w14:paraId="544D8F18" w14:textId="4EA83503" w:rsidR="00E00B69" w:rsidRDefault="009757D4" w:rsidP="009757D4">
            <w:pPr>
              <w:pStyle w:val="NoSpacing"/>
              <w:spacing w:before="60" w:after="60"/>
              <w:jc w:val="center"/>
              <w:rPr>
                <w:b/>
                <w:color w:val="FFFFFF" w:themeColor="background1"/>
                <w:sz w:val="16"/>
                <w:szCs w:val="16"/>
              </w:rPr>
            </w:pPr>
            <w:r>
              <w:rPr>
                <w:b/>
                <w:color w:val="FFFFFF" w:themeColor="background1"/>
                <w:sz w:val="16"/>
                <w:szCs w:val="16"/>
              </w:rPr>
              <w:t>Tegelik hinna</w:t>
            </w:r>
            <w:r>
              <w:rPr>
                <w:b/>
                <w:color w:val="FFFFFF" w:themeColor="background1"/>
                <w:sz w:val="16"/>
                <w:szCs w:val="16"/>
              </w:rPr>
              <w:softHyphen/>
              <w:t>erinevus</w:t>
            </w:r>
          </w:p>
        </w:tc>
        <w:tc>
          <w:tcPr>
            <w:tcW w:w="1285" w:type="dxa"/>
            <w:shd w:val="clear" w:color="auto" w:fill="007087"/>
          </w:tcPr>
          <w:p w14:paraId="1514AA04" w14:textId="1F200434" w:rsidR="00E00B69" w:rsidRDefault="00E00B69" w:rsidP="001F4A66">
            <w:pPr>
              <w:pStyle w:val="NoSpacing"/>
              <w:spacing w:before="60" w:after="60"/>
              <w:jc w:val="center"/>
              <w:rPr>
                <w:b/>
                <w:color w:val="FFFFFF" w:themeColor="background1"/>
                <w:sz w:val="16"/>
                <w:szCs w:val="16"/>
              </w:rPr>
            </w:pPr>
            <w:r>
              <w:rPr>
                <w:b/>
                <w:color w:val="FFFFFF" w:themeColor="background1"/>
                <w:sz w:val="16"/>
                <w:szCs w:val="16"/>
              </w:rPr>
              <w:t>Süsteemi</w:t>
            </w:r>
            <w:r>
              <w:rPr>
                <w:b/>
                <w:color w:val="FFFFFF" w:themeColor="background1"/>
                <w:sz w:val="16"/>
                <w:szCs w:val="16"/>
              </w:rPr>
              <w:softHyphen/>
              <w:t>haldurite kulu/tulu (€)</w:t>
            </w:r>
          </w:p>
        </w:tc>
      </w:tr>
      <w:tr w:rsidR="00E00B69" w:rsidRPr="00D231C5" w14:paraId="2193FE99" w14:textId="54CB10BA" w:rsidTr="009757D4">
        <w:tc>
          <w:tcPr>
            <w:tcW w:w="988" w:type="dxa"/>
            <w:vAlign w:val="center"/>
          </w:tcPr>
          <w:p w14:paraId="4A07195B" w14:textId="7563FD3E" w:rsidR="00E00B69" w:rsidRPr="005D3A6D" w:rsidRDefault="00E00B69" w:rsidP="00E00B69">
            <w:pPr>
              <w:pStyle w:val="NoSpacing"/>
              <w:spacing w:before="60" w:after="60"/>
              <w:jc w:val="left"/>
              <w:rPr>
                <w:sz w:val="16"/>
                <w:szCs w:val="16"/>
                <w:lang w:val="en-GB"/>
              </w:rPr>
            </w:pPr>
            <w:r>
              <w:rPr>
                <w:sz w:val="16"/>
                <w:szCs w:val="16"/>
                <w:lang w:val="en-GB"/>
              </w:rPr>
              <w:t>Y-</w:t>
            </w:r>
            <w:r w:rsidR="0017450E">
              <w:rPr>
                <w:sz w:val="16"/>
                <w:szCs w:val="16"/>
                <w:lang w:val="en-GB"/>
              </w:rPr>
              <w:t>2016</w:t>
            </w:r>
          </w:p>
        </w:tc>
        <w:tc>
          <w:tcPr>
            <w:tcW w:w="692" w:type="dxa"/>
            <w:vAlign w:val="center"/>
          </w:tcPr>
          <w:p w14:paraId="0D648996" w14:textId="3C5309DB" w:rsidR="00E00B69" w:rsidRPr="00D231C5" w:rsidRDefault="0017450E" w:rsidP="001F4A66">
            <w:pPr>
              <w:pStyle w:val="NoSpacing"/>
              <w:spacing w:before="60" w:after="60"/>
              <w:jc w:val="center"/>
              <w:rPr>
                <w:sz w:val="16"/>
                <w:szCs w:val="16"/>
              </w:rPr>
            </w:pPr>
            <w:r>
              <w:rPr>
                <w:sz w:val="16"/>
                <w:szCs w:val="16"/>
              </w:rPr>
              <w:t>300</w:t>
            </w:r>
          </w:p>
        </w:tc>
        <w:tc>
          <w:tcPr>
            <w:tcW w:w="851" w:type="dxa"/>
            <w:vAlign w:val="center"/>
          </w:tcPr>
          <w:p w14:paraId="64FEE494" w14:textId="017F8694" w:rsidR="00E00B69" w:rsidRPr="00D231C5" w:rsidRDefault="00B753D0" w:rsidP="001F4A66">
            <w:pPr>
              <w:pStyle w:val="NoSpacing"/>
              <w:spacing w:before="60" w:after="60"/>
              <w:jc w:val="center"/>
              <w:rPr>
                <w:sz w:val="16"/>
                <w:szCs w:val="16"/>
              </w:rPr>
            </w:pPr>
            <w:r>
              <w:rPr>
                <w:sz w:val="16"/>
                <w:szCs w:val="16"/>
              </w:rPr>
              <w:t>4,55</w:t>
            </w:r>
          </w:p>
        </w:tc>
        <w:tc>
          <w:tcPr>
            <w:tcW w:w="867" w:type="dxa"/>
          </w:tcPr>
          <w:p w14:paraId="0454FE13" w14:textId="0075B62D" w:rsidR="00E00B69" w:rsidRDefault="006752C2" w:rsidP="001F4A66">
            <w:pPr>
              <w:pStyle w:val="NoSpacing"/>
              <w:spacing w:before="60" w:after="60"/>
              <w:jc w:val="center"/>
              <w:rPr>
                <w:sz w:val="16"/>
                <w:szCs w:val="16"/>
              </w:rPr>
            </w:pPr>
            <w:r>
              <w:rPr>
                <w:sz w:val="16"/>
                <w:szCs w:val="16"/>
              </w:rPr>
              <w:t>3,03</w:t>
            </w:r>
            <w:r w:rsidR="009346D0">
              <w:rPr>
                <w:sz w:val="16"/>
                <w:szCs w:val="16"/>
              </w:rPr>
              <w:t>*</w:t>
            </w:r>
          </w:p>
        </w:tc>
        <w:tc>
          <w:tcPr>
            <w:tcW w:w="1285" w:type="dxa"/>
          </w:tcPr>
          <w:p w14:paraId="0D4D8F08" w14:textId="68ACBDBC" w:rsidR="00E00B69" w:rsidRDefault="00B753D0" w:rsidP="00B753D0">
            <w:pPr>
              <w:pStyle w:val="NoSpacing"/>
              <w:spacing w:before="60" w:after="60"/>
              <w:jc w:val="center"/>
              <w:rPr>
                <w:sz w:val="16"/>
                <w:szCs w:val="16"/>
              </w:rPr>
            </w:pPr>
            <w:r w:rsidRPr="00B753D0">
              <w:rPr>
                <w:sz w:val="16"/>
                <w:szCs w:val="16"/>
              </w:rPr>
              <w:t>3 934 017,00</w:t>
            </w:r>
          </w:p>
        </w:tc>
      </w:tr>
      <w:tr w:rsidR="00E00B69" w:rsidRPr="00D231C5" w14:paraId="67AED68F" w14:textId="7374E91D" w:rsidTr="009757D4">
        <w:tc>
          <w:tcPr>
            <w:tcW w:w="988" w:type="dxa"/>
            <w:vAlign w:val="center"/>
          </w:tcPr>
          <w:p w14:paraId="459AFE96" w14:textId="0A80F15C" w:rsidR="00E00B69" w:rsidRPr="005D3A6D" w:rsidRDefault="00E00B69" w:rsidP="001F4A66">
            <w:pPr>
              <w:pStyle w:val="NoSpacing"/>
              <w:spacing w:before="60" w:after="60"/>
              <w:jc w:val="left"/>
              <w:rPr>
                <w:sz w:val="16"/>
                <w:szCs w:val="16"/>
                <w:lang w:val="en-GB"/>
              </w:rPr>
            </w:pPr>
            <w:r>
              <w:rPr>
                <w:sz w:val="16"/>
                <w:szCs w:val="16"/>
                <w:lang w:val="en-GB"/>
              </w:rPr>
              <w:t>Q1-</w:t>
            </w:r>
            <w:r w:rsidR="0017450E">
              <w:rPr>
                <w:sz w:val="16"/>
                <w:szCs w:val="16"/>
                <w:lang w:val="en-GB"/>
              </w:rPr>
              <w:t>2016</w:t>
            </w:r>
          </w:p>
        </w:tc>
        <w:tc>
          <w:tcPr>
            <w:tcW w:w="692" w:type="dxa"/>
            <w:vAlign w:val="center"/>
          </w:tcPr>
          <w:p w14:paraId="66259383" w14:textId="086D579D" w:rsidR="00E00B69" w:rsidRPr="00D231C5" w:rsidRDefault="0017450E" w:rsidP="001F4A66">
            <w:pPr>
              <w:pStyle w:val="NoSpacing"/>
              <w:spacing w:before="60" w:after="60"/>
              <w:jc w:val="center"/>
              <w:rPr>
                <w:sz w:val="16"/>
                <w:szCs w:val="16"/>
              </w:rPr>
            </w:pPr>
            <w:r>
              <w:rPr>
                <w:sz w:val="16"/>
                <w:szCs w:val="16"/>
              </w:rPr>
              <w:t>100</w:t>
            </w:r>
          </w:p>
        </w:tc>
        <w:tc>
          <w:tcPr>
            <w:tcW w:w="851" w:type="dxa"/>
            <w:vAlign w:val="center"/>
          </w:tcPr>
          <w:p w14:paraId="4A98EC52" w14:textId="5BD891BC" w:rsidR="00E00B69" w:rsidRPr="00D231C5" w:rsidRDefault="00B753D0" w:rsidP="001F4A66">
            <w:pPr>
              <w:pStyle w:val="NoSpacing"/>
              <w:spacing w:before="60" w:after="60"/>
              <w:jc w:val="center"/>
              <w:rPr>
                <w:sz w:val="16"/>
                <w:szCs w:val="16"/>
              </w:rPr>
            </w:pPr>
            <w:r>
              <w:rPr>
                <w:sz w:val="16"/>
                <w:szCs w:val="16"/>
              </w:rPr>
              <w:t>2,42</w:t>
            </w:r>
          </w:p>
        </w:tc>
        <w:tc>
          <w:tcPr>
            <w:tcW w:w="867" w:type="dxa"/>
          </w:tcPr>
          <w:p w14:paraId="67B65A4E" w14:textId="5E7AD037" w:rsidR="00E00B69" w:rsidRPr="006A4ABC" w:rsidRDefault="00B753D0" w:rsidP="001F4A66">
            <w:pPr>
              <w:pStyle w:val="NoSpacing"/>
              <w:spacing w:before="60" w:after="60"/>
              <w:jc w:val="center"/>
              <w:rPr>
                <w:sz w:val="16"/>
                <w:szCs w:val="16"/>
              </w:rPr>
            </w:pPr>
            <w:r>
              <w:rPr>
                <w:sz w:val="16"/>
                <w:szCs w:val="16"/>
              </w:rPr>
              <w:t>4,81</w:t>
            </w:r>
            <w:r w:rsidR="009346D0">
              <w:rPr>
                <w:sz w:val="16"/>
                <w:szCs w:val="16"/>
              </w:rPr>
              <w:t>*</w:t>
            </w:r>
          </w:p>
        </w:tc>
        <w:tc>
          <w:tcPr>
            <w:tcW w:w="1285" w:type="dxa"/>
          </w:tcPr>
          <w:p w14:paraId="671FFB1D" w14:textId="02F290D1" w:rsidR="00E00B69" w:rsidRPr="006A4ABC" w:rsidRDefault="00B753D0" w:rsidP="001F4A66">
            <w:pPr>
              <w:pStyle w:val="NoSpacing"/>
              <w:spacing w:before="60" w:after="60"/>
              <w:jc w:val="center"/>
              <w:rPr>
                <w:sz w:val="16"/>
                <w:szCs w:val="16"/>
              </w:rPr>
            </w:pPr>
            <w:r w:rsidRPr="00B753D0">
              <w:rPr>
                <w:sz w:val="16"/>
                <w:szCs w:val="16"/>
              </w:rPr>
              <w:t>-523 037,00</w:t>
            </w:r>
          </w:p>
        </w:tc>
      </w:tr>
      <w:tr w:rsidR="00E00B69" w:rsidRPr="00D231C5" w14:paraId="5CACDC7D" w14:textId="50F171DC" w:rsidTr="009757D4">
        <w:tc>
          <w:tcPr>
            <w:tcW w:w="988" w:type="dxa"/>
            <w:vAlign w:val="center"/>
          </w:tcPr>
          <w:p w14:paraId="396A24CF" w14:textId="4BCDFA80" w:rsidR="00E00B69" w:rsidRPr="005D3A6D" w:rsidRDefault="00E00B69" w:rsidP="00E00B69">
            <w:pPr>
              <w:pStyle w:val="NoSpacing"/>
              <w:spacing w:before="60" w:after="60"/>
              <w:jc w:val="left"/>
              <w:rPr>
                <w:sz w:val="16"/>
                <w:szCs w:val="16"/>
                <w:lang w:val="en-GB"/>
              </w:rPr>
            </w:pPr>
            <w:r>
              <w:rPr>
                <w:sz w:val="16"/>
                <w:szCs w:val="16"/>
                <w:lang w:val="en-GB"/>
              </w:rPr>
              <w:t>Q2-</w:t>
            </w:r>
            <w:r w:rsidR="0017450E">
              <w:rPr>
                <w:sz w:val="16"/>
                <w:szCs w:val="16"/>
                <w:lang w:val="en-GB"/>
              </w:rPr>
              <w:t>2016</w:t>
            </w:r>
          </w:p>
        </w:tc>
        <w:tc>
          <w:tcPr>
            <w:tcW w:w="692" w:type="dxa"/>
            <w:vAlign w:val="center"/>
          </w:tcPr>
          <w:p w14:paraId="3812F284" w14:textId="529AADDB" w:rsidR="00E00B69" w:rsidRDefault="0017450E" w:rsidP="001F4A66">
            <w:pPr>
              <w:pStyle w:val="NoSpacing"/>
              <w:spacing w:before="60" w:after="60"/>
              <w:jc w:val="center"/>
              <w:rPr>
                <w:sz w:val="16"/>
                <w:szCs w:val="16"/>
              </w:rPr>
            </w:pPr>
            <w:r>
              <w:rPr>
                <w:sz w:val="16"/>
                <w:szCs w:val="16"/>
              </w:rPr>
              <w:t>50</w:t>
            </w:r>
          </w:p>
        </w:tc>
        <w:tc>
          <w:tcPr>
            <w:tcW w:w="851" w:type="dxa"/>
            <w:vAlign w:val="center"/>
          </w:tcPr>
          <w:p w14:paraId="49EE7936" w14:textId="55CC2964" w:rsidR="00E00B69" w:rsidRDefault="00B753D0" w:rsidP="001F4A66">
            <w:pPr>
              <w:pStyle w:val="NoSpacing"/>
              <w:spacing w:before="60" w:after="60"/>
              <w:jc w:val="center"/>
              <w:rPr>
                <w:sz w:val="16"/>
                <w:szCs w:val="16"/>
              </w:rPr>
            </w:pPr>
            <w:r>
              <w:rPr>
                <w:sz w:val="16"/>
                <w:szCs w:val="16"/>
              </w:rPr>
              <w:t>4,54</w:t>
            </w:r>
          </w:p>
        </w:tc>
        <w:tc>
          <w:tcPr>
            <w:tcW w:w="867" w:type="dxa"/>
          </w:tcPr>
          <w:p w14:paraId="4D20D01F" w14:textId="7F82FBAD" w:rsidR="00E00B69" w:rsidRPr="006A4ABC" w:rsidRDefault="00B753D0" w:rsidP="001F4A66">
            <w:pPr>
              <w:pStyle w:val="NoSpacing"/>
              <w:spacing w:before="60" w:after="60"/>
              <w:jc w:val="center"/>
              <w:rPr>
                <w:sz w:val="16"/>
                <w:szCs w:val="16"/>
              </w:rPr>
            </w:pPr>
            <w:r>
              <w:rPr>
                <w:sz w:val="16"/>
                <w:szCs w:val="16"/>
              </w:rPr>
              <w:t>3,25</w:t>
            </w:r>
            <w:r w:rsidR="009346D0">
              <w:rPr>
                <w:sz w:val="16"/>
                <w:szCs w:val="16"/>
              </w:rPr>
              <w:t>*</w:t>
            </w:r>
          </w:p>
        </w:tc>
        <w:tc>
          <w:tcPr>
            <w:tcW w:w="1285" w:type="dxa"/>
          </w:tcPr>
          <w:p w14:paraId="59A9D518" w14:textId="601EEF00" w:rsidR="00E00B69" w:rsidRPr="006A4ABC" w:rsidRDefault="00B753D0" w:rsidP="001F4A66">
            <w:pPr>
              <w:pStyle w:val="NoSpacing"/>
              <w:spacing w:before="60" w:after="60"/>
              <w:jc w:val="center"/>
              <w:rPr>
                <w:sz w:val="16"/>
                <w:szCs w:val="16"/>
              </w:rPr>
            </w:pPr>
            <w:r w:rsidRPr="00B753D0">
              <w:rPr>
                <w:sz w:val="16"/>
                <w:szCs w:val="16"/>
              </w:rPr>
              <w:t>140 974,50</w:t>
            </w:r>
          </w:p>
        </w:tc>
      </w:tr>
      <w:tr w:rsidR="00E00B69" w:rsidRPr="00D231C5" w14:paraId="69C5A324" w14:textId="6360E131" w:rsidTr="009757D4">
        <w:tc>
          <w:tcPr>
            <w:tcW w:w="988" w:type="dxa"/>
            <w:vAlign w:val="center"/>
          </w:tcPr>
          <w:p w14:paraId="6E939960" w14:textId="2A325AAC" w:rsidR="00E00B69" w:rsidRPr="006A4ABC" w:rsidRDefault="00E00B69" w:rsidP="001F4A66">
            <w:pPr>
              <w:pStyle w:val="NoSpacing"/>
              <w:spacing w:before="60" w:after="60"/>
              <w:jc w:val="left"/>
              <w:rPr>
                <w:sz w:val="16"/>
                <w:szCs w:val="16"/>
                <w:lang w:val="en-GB"/>
              </w:rPr>
            </w:pPr>
            <w:r>
              <w:rPr>
                <w:sz w:val="16"/>
                <w:szCs w:val="16"/>
                <w:lang w:val="en-GB"/>
              </w:rPr>
              <w:t>Q3-</w:t>
            </w:r>
            <w:r w:rsidR="0017450E">
              <w:rPr>
                <w:sz w:val="16"/>
                <w:szCs w:val="16"/>
                <w:lang w:val="en-GB"/>
              </w:rPr>
              <w:t>2016</w:t>
            </w:r>
          </w:p>
        </w:tc>
        <w:tc>
          <w:tcPr>
            <w:tcW w:w="692" w:type="dxa"/>
            <w:vAlign w:val="center"/>
          </w:tcPr>
          <w:p w14:paraId="2F6FDC48" w14:textId="26E9D7EE" w:rsidR="00E00B69" w:rsidRDefault="0017450E" w:rsidP="001F4A66">
            <w:pPr>
              <w:pStyle w:val="NoSpacing"/>
              <w:spacing w:before="60" w:after="60"/>
              <w:jc w:val="center"/>
              <w:rPr>
                <w:sz w:val="16"/>
                <w:szCs w:val="16"/>
              </w:rPr>
            </w:pPr>
            <w:r>
              <w:rPr>
                <w:sz w:val="16"/>
                <w:szCs w:val="16"/>
              </w:rPr>
              <w:t>50</w:t>
            </w:r>
          </w:p>
        </w:tc>
        <w:tc>
          <w:tcPr>
            <w:tcW w:w="851" w:type="dxa"/>
            <w:vAlign w:val="center"/>
          </w:tcPr>
          <w:p w14:paraId="716278EA" w14:textId="71C91AB8" w:rsidR="00E00B69" w:rsidRPr="006A4ABC" w:rsidRDefault="00B753D0" w:rsidP="001F4A66">
            <w:pPr>
              <w:pStyle w:val="NoSpacing"/>
              <w:spacing w:before="60" w:after="60"/>
              <w:jc w:val="center"/>
              <w:rPr>
                <w:sz w:val="16"/>
                <w:szCs w:val="16"/>
              </w:rPr>
            </w:pPr>
            <w:r>
              <w:rPr>
                <w:sz w:val="16"/>
                <w:szCs w:val="16"/>
              </w:rPr>
              <w:t>3,74</w:t>
            </w:r>
          </w:p>
        </w:tc>
        <w:tc>
          <w:tcPr>
            <w:tcW w:w="867" w:type="dxa"/>
          </w:tcPr>
          <w:p w14:paraId="02346323" w14:textId="42829ED7" w:rsidR="00E00B69" w:rsidRDefault="00B753D0" w:rsidP="001F4A66">
            <w:pPr>
              <w:pStyle w:val="NoSpacing"/>
              <w:spacing w:before="60" w:after="60"/>
              <w:jc w:val="center"/>
              <w:rPr>
                <w:sz w:val="16"/>
                <w:szCs w:val="16"/>
              </w:rPr>
            </w:pPr>
            <w:r>
              <w:rPr>
                <w:sz w:val="16"/>
                <w:szCs w:val="16"/>
              </w:rPr>
              <w:t>3,81</w:t>
            </w:r>
            <w:r w:rsidR="009346D0">
              <w:rPr>
                <w:sz w:val="16"/>
                <w:szCs w:val="16"/>
              </w:rPr>
              <w:t>*</w:t>
            </w:r>
          </w:p>
        </w:tc>
        <w:tc>
          <w:tcPr>
            <w:tcW w:w="1285" w:type="dxa"/>
          </w:tcPr>
          <w:p w14:paraId="16AC0F16" w14:textId="759F897F" w:rsidR="00E00B69" w:rsidRDefault="00B753D0" w:rsidP="001F4A66">
            <w:pPr>
              <w:pStyle w:val="NoSpacing"/>
              <w:spacing w:before="60" w:after="60"/>
              <w:jc w:val="center"/>
              <w:rPr>
                <w:sz w:val="16"/>
                <w:szCs w:val="16"/>
              </w:rPr>
            </w:pPr>
            <w:r w:rsidRPr="00B753D0">
              <w:rPr>
                <w:sz w:val="16"/>
                <w:szCs w:val="16"/>
              </w:rPr>
              <w:t>-7 945,50</w:t>
            </w:r>
          </w:p>
        </w:tc>
      </w:tr>
      <w:tr w:rsidR="00E00B69" w:rsidRPr="00D231C5" w14:paraId="2FB51596" w14:textId="77777777" w:rsidTr="009757D4">
        <w:tc>
          <w:tcPr>
            <w:tcW w:w="988" w:type="dxa"/>
            <w:vAlign w:val="center"/>
          </w:tcPr>
          <w:p w14:paraId="79743639" w14:textId="503F58FC" w:rsidR="00E00B69" w:rsidRDefault="00E00B69" w:rsidP="001F4A66">
            <w:pPr>
              <w:pStyle w:val="NoSpacing"/>
              <w:spacing w:before="60" w:after="60"/>
              <w:jc w:val="left"/>
              <w:rPr>
                <w:sz w:val="16"/>
                <w:szCs w:val="16"/>
                <w:lang w:val="en-GB"/>
              </w:rPr>
            </w:pPr>
            <w:r>
              <w:rPr>
                <w:sz w:val="16"/>
                <w:szCs w:val="16"/>
                <w:lang w:val="en-GB"/>
              </w:rPr>
              <w:t>Q4-</w:t>
            </w:r>
            <w:r w:rsidR="0017450E">
              <w:rPr>
                <w:sz w:val="16"/>
                <w:szCs w:val="16"/>
                <w:lang w:val="en-GB"/>
              </w:rPr>
              <w:t>2016</w:t>
            </w:r>
          </w:p>
        </w:tc>
        <w:tc>
          <w:tcPr>
            <w:tcW w:w="692" w:type="dxa"/>
            <w:vAlign w:val="center"/>
          </w:tcPr>
          <w:p w14:paraId="7A512802" w14:textId="58790372" w:rsidR="00E00B69" w:rsidRDefault="0017450E" w:rsidP="001F4A66">
            <w:pPr>
              <w:pStyle w:val="NoSpacing"/>
              <w:spacing w:before="60" w:after="60"/>
              <w:jc w:val="center"/>
              <w:rPr>
                <w:sz w:val="16"/>
                <w:szCs w:val="16"/>
              </w:rPr>
            </w:pPr>
            <w:r>
              <w:rPr>
                <w:sz w:val="16"/>
                <w:szCs w:val="16"/>
              </w:rPr>
              <w:t>100</w:t>
            </w:r>
          </w:p>
        </w:tc>
        <w:tc>
          <w:tcPr>
            <w:tcW w:w="851" w:type="dxa"/>
            <w:vAlign w:val="center"/>
          </w:tcPr>
          <w:p w14:paraId="1678C5F2" w14:textId="03FA0E3F" w:rsidR="00E00B69" w:rsidRPr="006A4ABC" w:rsidRDefault="00B753D0" w:rsidP="001F4A66">
            <w:pPr>
              <w:pStyle w:val="NoSpacing"/>
              <w:spacing w:before="60" w:after="60"/>
              <w:jc w:val="center"/>
              <w:rPr>
                <w:sz w:val="16"/>
                <w:szCs w:val="16"/>
              </w:rPr>
            </w:pPr>
            <w:r>
              <w:rPr>
                <w:sz w:val="16"/>
                <w:szCs w:val="16"/>
              </w:rPr>
              <w:t>2,18</w:t>
            </w:r>
          </w:p>
        </w:tc>
        <w:tc>
          <w:tcPr>
            <w:tcW w:w="867" w:type="dxa"/>
          </w:tcPr>
          <w:p w14:paraId="324E9A13" w14:textId="14FA4688" w:rsidR="00E00B69" w:rsidRDefault="00B753D0" w:rsidP="001F4A66">
            <w:pPr>
              <w:pStyle w:val="NoSpacing"/>
              <w:spacing w:before="60" w:after="60"/>
              <w:jc w:val="center"/>
              <w:rPr>
                <w:sz w:val="16"/>
                <w:szCs w:val="16"/>
              </w:rPr>
            </w:pPr>
            <w:r>
              <w:rPr>
                <w:sz w:val="16"/>
                <w:szCs w:val="16"/>
              </w:rPr>
              <w:t>0,25</w:t>
            </w:r>
            <w:r w:rsidR="009346D0">
              <w:rPr>
                <w:sz w:val="16"/>
                <w:szCs w:val="16"/>
              </w:rPr>
              <w:t>*</w:t>
            </w:r>
          </w:p>
        </w:tc>
        <w:tc>
          <w:tcPr>
            <w:tcW w:w="1285" w:type="dxa"/>
          </w:tcPr>
          <w:p w14:paraId="0C79977C" w14:textId="7ABE7B51" w:rsidR="00E00B69" w:rsidRDefault="00B753D0" w:rsidP="001F4A66">
            <w:pPr>
              <w:pStyle w:val="NoSpacing"/>
              <w:spacing w:before="60" w:after="60"/>
              <w:jc w:val="center"/>
              <w:rPr>
                <w:sz w:val="16"/>
                <w:szCs w:val="16"/>
              </w:rPr>
            </w:pPr>
            <w:r w:rsidRPr="00B753D0">
              <w:rPr>
                <w:sz w:val="16"/>
                <w:szCs w:val="16"/>
              </w:rPr>
              <w:t>398 774,00</w:t>
            </w:r>
          </w:p>
        </w:tc>
      </w:tr>
      <w:tr w:rsidR="00E00B69" w:rsidRPr="00D231C5" w14:paraId="0E159DB4" w14:textId="77777777" w:rsidTr="009757D4">
        <w:tc>
          <w:tcPr>
            <w:tcW w:w="988" w:type="dxa"/>
            <w:vAlign w:val="center"/>
          </w:tcPr>
          <w:p w14:paraId="45A94614" w14:textId="19308B06" w:rsidR="00E00B69" w:rsidRDefault="00E00B69" w:rsidP="001F4A66">
            <w:pPr>
              <w:pStyle w:val="NoSpacing"/>
              <w:spacing w:before="60" w:after="60"/>
              <w:jc w:val="left"/>
              <w:rPr>
                <w:sz w:val="16"/>
                <w:szCs w:val="16"/>
                <w:lang w:val="en-GB"/>
              </w:rPr>
            </w:pPr>
            <w:r>
              <w:rPr>
                <w:sz w:val="16"/>
                <w:szCs w:val="16"/>
                <w:lang w:val="en-GB"/>
              </w:rPr>
              <w:t>Jan-</w:t>
            </w:r>
            <w:r w:rsidR="0017450E">
              <w:rPr>
                <w:sz w:val="16"/>
                <w:szCs w:val="16"/>
                <w:lang w:val="en-GB"/>
              </w:rPr>
              <w:t>2016</w:t>
            </w:r>
          </w:p>
        </w:tc>
        <w:tc>
          <w:tcPr>
            <w:tcW w:w="692" w:type="dxa"/>
            <w:vAlign w:val="center"/>
          </w:tcPr>
          <w:p w14:paraId="09F23B1F" w14:textId="3B413D6F" w:rsidR="00E00B69" w:rsidRDefault="0017450E" w:rsidP="001F4A66">
            <w:pPr>
              <w:pStyle w:val="NoSpacing"/>
              <w:spacing w:before="60" w:after="60"/>
              <w:jc w:val="center"/>
              <w:rPr>
                <w:sz w:val="16"/>
                <w:szCs w:val="16"/>
              </w:rPr>
            </w:pPr>
            <w:r>
              <w:rPr>
                <w:sz w:val="16"/>
                <w:szCs w:val="16"/>
              </w:rPr>
              <w:t>100</w:t>
            </w:r>
          </w:p>
        </w:tc>
        <w:tc>
          <w:tcPr>
            <w:tcW w:w="851" w:type="dxa"/>
            <w:vAlign w:val="center"/>
          </w:tcPr>
          <w:p w14:paraId="2CD2BD2D" w14:textId="25F93651" w:rsidR="00E00B69" w:rsidRPr="006A4ABC" w:rsidRDefault="00B753D0" w:rsidP="001F4A66">
            <w:pPr>
              <w:pStyle w:val="NoSpacing"/>
              <w:spacing w:before="60" w:after="60"/>
              <w:jc w:val="center"/>
              <w:rPr>
                <w:sz w:val="16"/>
                <w:szCs w:val="16"/>
              </w:rPr>
            </w:pPr>
            <w:r>
              <w:rPr>
                <w:sz w:val="16"/>
                <w:szCs w:val="16"/>
              </w:rPr>
              <w:t>3,40</w:t>
            </w:r>
          </w:p>
        </w:tc>
        <w:tc>
          <w:tcPr>
            <w:tcW w:w="867" w:type="dxa"/>
          </w:tcPr>
          <w:p w14:paraId="2BB02192" w14:textId="0BA1D141" w:rsidR="00E00B69" w:rsidRDefault="00B753D0" w:rsidP="00B753D0">
            <w:pPr>
              <w:pStyle w:val="NoSpacing"/>
              <w:spacing w:before="60" w:after="60"/>
              <w:jc w:val="center"/>
              <w:rPr>
                <w:sz w:val="16"/>
                <w:szCs w:val="16"/>
              </w:rPr>
            </w:pPr>
            <w:r w:rsidRPr="00B753D0">
              <w:rPr>
                <w:sz w:val="16"/>
                <w:szCs w:val="16"/>
              </w:rPr>
              <w:t>12,38</w:t>
            </w:r>
          </w:p>
        </w:tc>
        <w:tc>
          <w:tcPr>
            <w:tcW w:w="1285" w:type="dxa"/>
          </w:tcPr>
          <w:p w14:paraId="1F0496B0" w14:textId="7CC25B12" w:rsidR="00E00B69" w:rsidRDefault="00B753D0" w:rsidP="000F51CF">
            <w:pPr>
              <w:pStyle w:val="NoSpacing"/>
              <w:spacing w:before="60" w:after="60"/>
              <w:jc w:val="center"/>
              <w:rPr>
                <w:sz w:val="16"/>
                <w:szCs w:val="16"/>
              </w:rPr>
            </w:pPr>
            <w:r w:rsidRPr="00B753D0">
              <w:rPr>
                <w:sz w:val="16"/>
                <w:szCs w:val="16"/>
              </w:rPr>
              <w:t>-668 387,00</w:t>
            </w:r>
          </w:p>
        </w:tc>
      </w:tr>
      <w:tr w:rsidR="00E00B69" w:rsidRPr="00D231C5" w14:paraId="28E1CD99" w14:textId="77777777" w:rsidTr="009757D4">
        <w:tc>
          <w:tcPr>
            <w:tcW w:w="988" w:type="dxa"/>
            <w:vAlign w:val="center"/>
          </w:tcPr>
          <w:p w14:paraId="72BDC521" w14:textId="587E6A6A" w:rsidR="00E00B69" w:rsidRDefault="00E00B69" w:rsidP="001F4A66">
            <w:pPr>
              <w:pStyle w:val="NoSpacing"/>
              <w:spacing w:before="60" w:after="60"/>
              <w:jc w:val="left"/>
              <w:rPr>
                <w:sz w:val="16"/>
                <w:szCs w:val="16"/>
                <w:lang w:val="en-GB"/>
              </w:rPr>
            </w:pPr>
            <w:r>
              <w:rPr>
                <w:sz w:val="16"/>
                <w:szCs w:val="16"/>
                <w:lang w:val="en-GB"/>
              </w:rPr>
              <w:t>Feb-</w:t>
            </w:r>
            <w:r w:rsidR="0017450E">
              <w:rPr>
                <w:sz w:val="16"/>
                <w:szCs w:val="16"/>
                <w:lang w:val="en-GB"/>
              </w:rPr>
              <w:t>2016</w:t>
            </w:r>
          </w:p>
        </w:tc>
        <w:tc>
          <w:tcPr>
            <w:tcW w:w="692" w:type="dxa"/>
            <w:vAlign w:val="center"/>
          </w:tcPr>
          <w:p w14:paraId="75406FDB" w14:textId="32E6D1E3" w:rsidR="00E00B69" w:rsidRDefault="0017450E" w:rsidP="001F4A66">
            <w:pPr>
              <w:pStyle w:val="NoSpacing"/>
              <w:spacing w:before="60" w:after="60"/>
              <w:jc w:val="center"/>
              <w:rPr>
                <w:sz w:val="16"/>
                <w:szCs w:val="16"/>
              </w:rPr>
            </w:pPr>
            <w:r>
              <w:rPr>
                <w:sz w:val="16"/>
                <w:szCs w:val="16"/>
              </w:rPr>
              <w:t>150</w:t>
            </w:r>
          </w:p>
        </w:tc>
        <w:tc>
          <w:tcPr>
            <w:tcW w:w="851" w:type="dxa"/>
            <w:vAlign w:val="center"/>
          </w:tcPr>
          <w:p w14:paraId="441021EA" w14:textId="33133A13" w:rsidR="00E00B69" w:rsidRPr="006A4ABC" w:rsidRDefault="00B753D0" w:rsidP="001F4A66">
            <w:pPr>
              <w:pStyle w:val="NoSpacing"/>
              <w:spacing w:before="60" w:after="60"/>
              <w:jc w:val="center"/>
              <w:rPr>
                <w:sz w:val="16"/>
                <w:szCs w:val="16"/>
              </w:rPr>
            </w:pPr>
            <w:r>
              <w:rPr>
                <w:sz w:val="16"/>
                <w:szCs w:val="16"/>
              </w:rPr>
              <w:t>3,03</w:t>
            </w:r>
          </w:p>
        </w:tc>
        <w:tc>
          <w:tcPr>
            <w:tcW w:w="867" w:type="dxa"/>
          </w:tcPr>
          <w:p w14:paraId="39F1E380" w14:textId="44497F62" w:rsidR="00E00B69" w:rsidRDefault="00B753D0" w:rsidP="001F4A66">
            <w:pPr>
              <w:pStyle w:val="NoSpacing"/>
              <w:spacing w:before="60" w:after="60"/>
              <w:jc w:val="center"/>
              <w:rPr>
                <w:sz w:val="16"/>
                <w:szCs w:val="16"/>
              </w:rPr>
            </w:pPr>
            <w:r w:rsidRPr="00B753D0">
              <w:rPr>
                <w:sz w:val="16"/>
                <w:szCs w:val="16"/>
              </w:rPr>
              <w:t>1,38</w:t>
            </w:r>
          </w:p>
        </w:tc>
        <w:tc>
          <w:tcPr>
            <w:tcW w:w="1285" w:type="dxa"/>
          </w:tcPr>
          <w:p w14:paraId="0FB18902" w14:textId="5A58E6FB" w:rsidR="00E00B69" w:rsidRDefault="00B753D0" w:rsidP="001F4A66">
            <w:pPr>
              <w:pStyle w:val="NoSpacing"/>
              <w:spacing w:before="60" w:after="60"/>
              <w:jc w:val="center"/>
              <w:rPr>
                <w:sz w:val="16"/>
                <w:szCs w:val="16"/>
              </w:rPr>
            </w:pPr>
            <w:r w:rsidRPr="00B753D0">
              <w:rPr>
                <w:sz w:val="16"/>
                <w:szCs w:val="16"/>
              </w:rPr>
              <w:t>172 570,50</w:t>
            </w:r>
          </w:p>
        </w:tc>
      </w:tr>
      <w:tr w:rsidR="00E00B69" w:rsidRPr="00D231C5" w14:paraId="31D798C6" w14:textId="77777777" w:rsidTr="009757D4">
        <w:tc>
          <w:tcPr>
            <w:tcW w:w="988" w:type="dxa"/>
            <w:vAlign w:val="center"/>
          </w:tcPr>
          <w:p w14:paraId="5DF343FE" w14:textId="2FBD5DB4" w:rsidR="00E00B69" w:rsidRDefault="00E00B69" w:rsidP="001F4A66">
            <w:pPr>
              <w:pStyle w:val="NoSpacing"/>
              <w:spacing w:before="60" w:after="60"/>
              <w:jc w:val="left"/>
              <w:rPr>
                <w:sz w:val="16"/>
                <w:szCs w:val="16"/>
                <w:lang w:val="en-GB"/>
              </w:rPr>
            </w:pPr>
            <w:r>
              <w:rPr>
                <w:sz w:val="16"/>
                <w:szCs w:val="16"/>
                <w:lang w:val="en-GB"/>
              </w:rPr>
              <w:t>Mar-</w:t>
            </w:r>
            <w:r w:rsidR="0017450E">
              <w:rPr>
                <w:sz w:val="16"/>
                <w:szCs w:val="16"/>
                <w:lang w:val="en-GB"/>
              </w:rPr>
              <w:t>2016</w:t>
            </w:r>
          </w:p>
        </w:tc>
        <w:tc>
          <w:tcPr>
            <w:tcW w:w="692" w:type="dxa"/>
            <w:vAlign w:val="center"/>
          </w:tcPr>
          <w:p w14:paraId="58844BC0" w14:textId="1EB1A3B0" w:rsidR="00E00B69" w:rsidRDefault="0017450E" w:rsidP="001F4A66">
            <w:pPr>
              <w:pStyle w:val="NoSpacing"/>
              <w:spacing w:before="60" w:after="60"/>
              <w:jc w:val="center"/>
              <w:rPr>
                <w:sz w:val="16"/>
                <w:szCs w:val="16"/>
              </w:rPr>
            </w:pPr>
            <w:r>
              <w:rPr>
                <w:sz w:val="16"/>
                <w:szCs w:val="16"/>
              </w:rPr>
              <w:t>150</w:t>
            </w:r>
          </w:p>
        </w:tc>
        <w:tc>
          <w:tcPr>
            <w:tcW w:w="851" w:type="dxa"/>
            <w:vAlign w:val="center"/>
          </w:tcPr>
          <w:p w14:paraId="665AF4D7" w14:textId="12D5E36F" w:rsidR="00E00B69" w:rsidRPr="006A4ABC" w:rsidRDefault="00B753D0" w:rsidP="001F4A66">
            <w:pPr>
              <w:pStyle w:val="NoSpacing"/>
              <w:spacing w:before="60" w:after="60"/>
              <w:jc w:val="center"/>
              <w:rPr>
                <w:sz w:val="16"/>
                <w:szCs w:val="16"/>
              </w:rPr>
            </w:pPr>
            <w:r>
              <w:rPr>
                <w:sz w:val="16"/>
                <w:szCs w:val="16"/>
              </w:rPr>
              <w:t>2,11</w:t>
            </w:r>
          </w:p>
        </w:tc>
        <w:tc>
          <w:tcPr>
            <w:tcW w:w="867" w:type="dxa"/>
          </w:tcPr>
          <w:p w14:paraId="4A6FD21E" w14:textId="269C06B5" w:rsidR="00E00B69" w:rsidRDefault="00B753D0" w:rsidP="001F4A66">
            <w:pPr>
              <w:pStyle w:val="NoSpacing"/>
              <w:spacing w:before="60" w:after="60"/>
              <w:jc w:val="center"/>
              <w:rPr>
                <w:sz w:val="16"/>
                <w:szCs w:val="16"/>
              </w:rPr>
            </w:pPr>
            <w:r w:rsidRPr="00B753D0">
              <w:rPr>
                <w:sz w:val="16"/>
                <w:szCs w:val="16"/>
              </w:rPr>
              <w:t>0,46</w:t>
            </w:r>
          </w:p>
        </w:tc>
        <w:tc>
          <w:tcPr>
            <w:tcW w:w="1285" w:type="dxa"/>
          </w:tcPr>
          <w:p w14:paraId="3EDCA5F6" w14:textId="29414F4D" w:rsidR="00E00B69" w:rsidRDefault="00B753D0" w:rsidP="001F4A66">
            <w:pPr>
              <w:pStyle w:val="NoSpacing"/>
              <w:spacing w:before="60" w:after="60"/>
              <w:jc w:val="center"/>
              <w:rPr>
                <w:sz w:val="16"/>
                <w:szCs w:val="16"/>
              </w:rPr>
            </w:pPr>
            <w:r w:rsidRPr="00B753D0">
              <w:rPr>
                <w:sz w:val="16"/>
                <w:szCs w:val="16"/>
              </w:rPr>
              <w:t>183 957,00</w:t>
            </w:r>
          </w:p>
        </w:tc>
      </w:tr>
      <w:tr w:rsidR="00E00B69" w:rsidRPr="00D231C5" w14:paraId="294D2C94" w14:textId="77777777" w:rsidTr="009757D4">
        <w:tc>
          <w:tcPr>
            <w:tcW w:w="988" w:type="dxa"/>
            <w:vAlign w:val="center"/>
          </w:tcPr>
          <w:p w14:paraId="33F0B963" w14:textId="27104379" w:rsidR="00E00B69" w:rsidRDefault="00E00B69" w:rsidP="001F4A66">
            <w:pPr>
              <w:pStyle w:val="NoSpacing"/>
              <w:spacing w:before="60" w:after="60"/>
              <w:jc w:val="left"/>
              <w:rPr>
                <w:sz w:val="16"/>
                <w:szCs w:val="16"/>
                <w:lang w:val="en-GB"/>
              </w:rPr>
            </w:pPr>
            <w:r>
              <w:rPr>
                <w:sz w:val="16"/>
                <w:szCs w:val="16"/>
                <w:lang w:val="en-GB"/>
              </w:rPr>
              <w:t>Apr-</w:t>
            </w:r>
            <w:r w:rsidR="0017450E">
              <w:rPr>
                <w:sz w:val="16"/>
                <w:szCs w:val="16"/>
                <w:lang w:val="en-GB"/>
              </w:rPr>
              <w:t>2016</w:t>
            </w:r>
          </w:p>
        </w:tc>
        <w:tc>
          <w:tcPr>
            <w:tcW w:w="692" w:type="dxa"/>
            <w:vAlign w:val="center"/>
          </w:tcPr>
          <w:p w14:paraId="3504CF00" w14:textId="342B24A2" w:rsidR="00E00B69" w:rsidRDefault="0017450E" w:rsidP="001F4A66">
            <w:pPr>
              <w:pStyle w:val="NoSpacing"/>
              <w:spacing w:before="60" w:after="60"/>
              <w:jc w:val="center"/>
              <w:rPr>
                <w:sz w:val="16"/>
                <w:szCs w:val="16"/>
              </w:rPr>
            </w:pPr>
            <w:r>
              <w:rPr>
                <w:sz w:val="16"/>
                <w:szCs w:val="16"/>
              </w:rPr>
              <w:t>150</w:t>
            </w:r>
          </w:p>
        </w:tc>
        <w:tc>
          <w:tcPr>
            <w:tcW w:w="851" w:type="dxa"/>
            <w:vAlign w:val="center"/>
          </w:tcPr>
          <w:p w14:paraId="14860A25" w14:textId="13677E20" w:rsidR="00E00B69" w:rsidRPr="006A4ABC" w:rsidRDefault="00B753D0" w:rsidP="001F4A66">
            <w:pPr>
              <w:pStyle w:val="NoSpacing"/>
              <w:spacing w:before="60" w:after="60"/>
              <w:jc w:val="center"/>
              <w:rPr>
                <w:sz w:val="16"/>
                <w:szCs w:val="16"/>
              </w:rPr>
            </w:pPr>
            <w:r>
              <w:rPr>
                <w:sz w:val="16"/>
                <w:szCs w:val="16"/>
              </w:rPr>
              <w:t>0,59</w:t>
            </w:r>
          </w:p>
        </w:tc>
        <w:tc>
          <w:tcPr>
            <w:tcW w:w="867" w:type="dxa"/>
          </w:tcPr>
          <w:p w14:paraId="753FEA6E" w14:textId="6C92BFFF" w:rsidR="00E00B69" w:rsidRDefault="00B753D0" w:rsidP="001F4A66">
            <w:pPr>
              <w:pStyle w:val="NoSpacing"/>
              <w:spacing w:before="60" w:after="60"/>
              <w:jc w:val="center"/>
              <w:rPr>
                <w:sz w:val="16"/>
                <w:szCs w:val="16"/>
              </w:rPr>
            </w:pPr>
            <w:r w:rsidRPr="00B753D0">
              <w:rPr>
                <w:sz w:val="16"/>
                <w:szCs w:val="16"/>
              </w:rPr>
              <w:t>0,98</w:t>
            </w:r>
          </w:p>
        </w:tc>
        <w:tc>
          <w:tcPr>
            <w:tcW w:w="1285" w:type="dxa"/>
          </w:tcPr>
          <w:p w14:paraId="3011789F" w14:textId="5A577727" w:rsidR="00E00B69" w:rsidRDefault="00B753D0" w:rsidP="001F4A66">
            <w:pPr>
              <w:pStyle w:val="NoSpacing"/>
              <w:spacing w:before="60" w:after="60"/>
              <w:jc w:val="center"/>
              <w:rPr>
                <w:sz w:val="16"/>
                <w:szCs w:val="16"/>
              </w:rPr>
            </w:pPr>
            <w:r w:rsidRPr="00B753D0">
              <w:rPr>
                <w:sz w:val="16"/>
                <w:szCs w:val="16"/>
              </w:rPr>
              <w:t>-42 525,00</w:t>
            </w:r>
          </w:p>
        </w:tc>
      </w:tr>
      <w:tr w:rsidR="00E00B69" w:rsidRPr="00D231C5" w14:paraId="777718B6" w14:textId="77777777" w:rsidTr="009757D4">
        <w:tc>
          <w:tcPr>
            <w:tcW w:w="988" w:type="dxa"/>
            <w:vAlign w:val="center"/>
          </w:tcPr>
          <w:p w14:paraId="48DB40B2" w14:textId="20C963CA" w:rsidR="00E00B69" w:rsidRDefault="00E00B69" w:rsidP="001F4A66">
            <w:pPr>
              <w:pStyle w:val="NoSpacing"/>
              <w:spacing w:before="60" w:after="60"/>
              <w:jc w:val="left"/>
              <w:rPr>
                <w:sz w:val="16"/>
                <w:szCs w:val="16"/>
                <w:lang w:val="en-GB"/>
              </w:rPr>
            </w:pPr>
            <w:r>
              <w:rPr>
                <w:sz w:val="16"/>
                <w:szCs w:val="16"/>
                <w:lang w:val="en-GB"/>
              </w:rPr>
              <w:t>May-</w:t>
            </w:r>
            <w:r w:rsidR="0017450E">
              <w:rPr>
                <w:sz w:val="16"/>
                <w:szCs w:val="16"/>
                <w:lang w:val="en-GB"/>
              </w:rPr>
              <w:t>2016</w:t>
            </w:r>
          </w:p>
        </w:tc>
        <w:tc>
          <w:tcPr>
            <w:tcW w:w="692" w:type="dxa"/>
            <w:vAlign w:val="center"/>
          </w:tcPr>
          <w:p w14:paraId="1E4DCCB9" w14:textId="2C0FECDB" w:rsidR="00E00B69" w:rsidRDefault="00B753D0" w:rsidP="001F4A66">
            <w:pPr>
              <w:pStyle w:val="NoSpacing"/>
              <w:spacing w:before="60" w:after="60"/>
              <w:jc w:val="center"/>
              <w:rPr>
                <w:sz w:val="16"/>
                <w:szCs w:val="16"/>
              </w:rPr>
            </w:pPr>
            <w:r>
              <w:rPr>
                <w:sz w:val="16"/>
                <w:szCs w:val="16"/>
              </w:rPr>
              <w:t>100</w:t>
            </w:r>
          </w:p>
        </w:tc>
        <w:tc>
          <w:tcPr>
            <w:tcW w:w="851" w:type="dxa"/>
            <w:vAlign w:val="center"/>
          </w:tcPr>
          <w:p w14:paraId="29B3A9CE" w14:textId="6A9FEAFD" w:rsidR="00E00B69" w:rsidRPr="006A4ABC" w:rsidRDefault="00B753D0" w:rsidP="001F4A66">
            <w:pPr>
              <w:pStyle w:val="NoSpacing"/>
              <w:spacing w:before="60" w:after="60"/>
              <w:jc w:val="center"/>
              <w:rPr>
                <w:sz w:val="16"/>
                <w:szCs w:val="16"/>
              </w:rPr>
            </w:pPr>
            <w:r>
              <w:rPr>
                <w:sz w:val="16"/>
                <w:szCs w:val="16"/>
              </w:rPr>
              <w:t>1,16</w:t>
            </w:r>
          </w:p>
        </w:tc>
        <w:tc>
          <w:tcPr>
            <w:tcW w:w="867" w:type="dxa"/>
          </w:tcPr>
          <w:p w14:paraId="6C85FA15" w14:textId="28D66340" w:rsidR="00E00B69" w:rsidRDefault="00B753D0" w:rsidP="001F4A66">
            <w:pPr>
              <w:pStyle w:val="NoSpacing"/>
              <w:spacing w:before="60" w:after="60"/>
              <w:jc w:val="center"/>
              <w:rPr>
                <w:sz w:val="16"/>
                <w:szCs w:val="16"/>
              </w:rPr>
            </w:pPr>
            <w:r w:rsidRPr="00B753D0">
              <w:rPr>
                <w:sz w:val="16"/>
                <w:szCs w:val="16"/>
              </w:rPr>
              <w:t>4,42</w:t>
            </w:r>
          </w:p>
        </w:tc>
        <w:tc>
          <w:tcPr>
            <w:tcW w:w="1285" w:type="dxa"/>
          </w:tcPr>
          <w:p w14:paraId="6AD7E4F2" w14:textId="59D462B4" w:rsidR="00E00B69" w:rsidRDefault="00B753D0" w:rsidP="001F4A66">
            <w:pPr>
              <w:pStyle w:val="NoSpacing"/>
              <w:spacing w:before="60" w:after="60"/>
              <w:jc w:val="center"/>
              <w:rPr>
                <w:sz w:val="16"/>
                <w:szCs w:val="16"/>
              </w:rPr>
            </w:pPr>
            <w:r w:rsidRPr="00B753D0">
              <w:rPr>
                <w:sz w:val="16"/>
                <w:szCs w:val="16"/>
              </w:rPr>
              <w:t>-242 314,00</w:t>
            </w:r>
          </w:p>
        </w:tc>
      </w:tr>
      <w:tr w:rsidR="00B753D0" w:rsidRPr="00D231C5" w14:paraId="13D159B6" w14:textId="77777777" w:rsidTr="009757D4">
        <w:tc>
          <w:tcPr>
            <w:tcW w:w="988" w:type="dxa"/>
            <w:vAlign w:val="center"/>
          </w:tcPr>
          <w:p w14:paraId="314FDEB0" w14:textId="2AD624C8" w:rsidR="00B753D0" w:rsidRDefault="00B753D0" w:rsidP="00B753D0">
            <w:pPr>
              <w:pStyle w:val="NoSpacing"/>
              <w:spacing w:before="60" w:after="60"/>
              <w:jc w:val="left"/>
              <w:rPr>
                <w:sz w:val="16"/>
                <w:szCs w:val="16"/>
                <w:lang w:val="en-GB"/>
              </w:rPr>
            </w:pPr>
            <w:r>
              <w:rPr>
                <w:sz w:val="16"/>
                <w:szCs w:val="16"/>
                <w:lang w:val="en-GB"/>
              </w:rPr>
              <w:t>Jun-2016</w:t>
            </w:r>
          </w:p>
        </w:tc>
        <w:tc>
          <w:tcPr>
            <w:tcW w:w="692" w:type="dxa"/>
            <w:vAlign w:val="center"/>
          </w:tcPr>
          <w:p w14:paraId="601ED450" w14:textId="1B67E570" w:rsidR="00B753D0" w:rsidRDefault="00B753D0" w:rsidP="00B753D0">
            <w:pPr>
              <w:pStyle w:val="NoSpacing"/>
              <w:spacing w:before="60" w:after="60"/>
              <w:jc w:val="center"/>
              <w:rPr>
                <w:sz w:val="16"/>
                <w:szCs w:val="16"/>
              </w:rPr>
            </w:pPr>
            <w:r>
              <w:rPr>
                <w:sz w:val="16"/>
                <w:szCs w:val="16"/>
              </w:rPr>
              <w:t>150</w:t>
            </w:r>
          </w:p>
        </w:tc>
        <w:tc>
          <w:tcPr>
            <w:tcW w:w="851" w:type="dxa"/>
            <w:vAlign w:val="center"/>
          </w:tcPr>
          <w:p w14:paraId="19C3DAC1" w14:textId="607F3E86" w:rsidR="00B753D0" w:rsidRPr="006A4ABC" w:rsidRDefault="00B753D0" w:rsidP="00B753D0">
            <w:pPr>
              <w:pStyle w:val="NoSpacing"/>
              <w:spacing w:before="60" w:after="60"/>
              <w:jc w:val="center"/>
              <w:rPr>
                <w:sz w:val="16"/>
                <w:szCs w:val="16"/>
              </w:rPr>
            </w:pPr>
            <w:r>
              <w:rPr>
                <w:sz w:val="16"/>
                <w:szCs w:val="16"/>
              </w:rPr>
              <w:t>3,22</w:t>
            </w:r>
          </w:p>
        </w:tc>
        <w:tc>
          <w:tcPr>
            <w:tcW w:w="867" w:type="dxa"/>
          </w:tcPr>
          <w:p w14:paraId="09ABE1DA" w14:textId="0DE43887" w:rsidR="00B753D0" w:rsidRDefault="00B753D0" w:rsidP="00B753D0">
            <w:pPr>
              <w:pStyle w:val="NoSpacing"/>
              <w:spacing w:before="60" w:after="60"/>
              <w:jc w:val="center"/>
              <w:rPr>
                <w:sz w:val="16"/>
                <w:szCs w:val="16"/>
              </w:rPr>
            </w:pPr>
            <w:r w:rsidRPr="00B753D0">
              <w:rPr>
                <w:sz w:val="16"/>
                <w:szCs w:val="16"/>
              </w:rPr>
              <w:t>4,31</w:t>
            </w:r>
          </w:p>
        </w:tc>
        <w:tc>
          <w:tcPr>
            <w:tcW w:w="1285" w:type="dxa"/>
          </w:tcPr>
          <w:p w14:paraId="22042377" w14:textId="1816CABA" w:rsidR="00B753D0" w:rsidRDefault="00B753D0" w:rsidP="00B753D0">
            <w:pPr>
              <w:pStyle w:val="NoSpacing"/>
              <w:spacing w:before="60" w:after="60"/>
              <w:jc w:val="center"/>
              <w:rPr>
                <w:sz w:val="16"/>
                <w:szCs w:val="16"/>
              </w:rPr>
            </w:pPr>
            <w:r w:rsidRPr="00B753D0">
              <w:rPr>
                <w:sz w:val="16"/>
                <w:szCs w:val="16"/>
              </w:rPr>
              <w:t>-117 448,50</w:t>
            </w:r>
          </w:p>
        </w:tc>
      </w:tr>
      <w:tr w:rsidR="00B753D0" w:rsidRPr="00D231C5" w14:paraId="65B5CD86" w14:textId="77777777" w:rsidTr="009757D4">
        <w:tc>
          <w:tcPr>
            <w:tcW w:w="988" w:type="dxa"/>
            <w:vAlign w:val="center"/>
          </w:tcPr>
          <w:p w14:paraId="37753069" w14:textId="336E5531" w:rsidR="00B753D0" w:rsidRDefault="00B753D0" w:rsidP="00B753D0">
            <w:pPr>
              <w:pStyle w:val="NoSpacing"/>
              <w:spacing w:before="60" w:after="60"/>
              <w:jc w:val="left"/>
              <w:rPr>
                <w:sz w:val="16"/>
                <w:szCs w:val="16"/>
                <w:lang w:val="en-GB"/>
              </w:rPr>
            </w:pPr>
            <w:r>
              <w:rPr>
                <w:sz w:val="16"/>
                <w:szCs w:val="16"/>
                <w:lang w:val="en-GB"/>
              </w:rPr>
              <w:t>Jul-2016</w:t>
            </w:r>
          </w:p>
        </w:tc>
        <w:tc>
          <w:tcPr>
            <w:tcW w:w="692" w:type="dxa"/>
            <w:vAlign w:val="center"/>
          </w:tcPr>
          <w:p w14:paraId="25CEF6C6" w14:textId="7BD9AA2A" w:rsidR="00B753D0" w:rsidRDefault="00B753D0" w:rsidP="00B753D0">
            <w:pPr>
              <w:pStyle w:val="NoSpacing"/>
              <w:spacing w:before="60" w:after="60"/>
              <w:jc w:val="center"/>
              <w:rPr>
                <w:sz w:val="16"/>
                <w:szCs w:val="16"/>
              </w:rPr>
            </w:pPr>
            <w:r>
              <w:rPr>
                <w:sz w:val="16"/>
                <w:szCs w:val="16"/>
              </w:rPr>
              <w:t>150</w:t>
            </w:r>
          </w:p>
        </w:tc>
        <w:tc>
          <w:tcPr>
            <w:tcW w:w="851" w:type="dxa"/>
            <w:vAlign w:val="center"/>
          </w:tcPr>
          <w:p w14:paraId="0FDDE07A" w14:textId="3CCD2B3D" w:rsidR="00B753D0" w:rsidRPr="006A4ABC" w:rsidRDefault="00B753D0" w:rsidP="00B753D0">
            <w:pPr>
              <w:pStyle w:val="NoSpacing"/>
              <w:spacing w:before="60" w:after="60"/>
              <w:jc w:val="center"/>
              <w:rPr>
                <w:sz w:val="16"/>
                <w:szCs w:val="16"/>
              </w:rPr>
            </w:pPr>
            <w:r>
              <w:rPr>
                <w:sz w:val="16"/>
                <w:szCs w:val="16"/>
              </w:rPr>
              <w:t>3,10</w:t>
            </w:r>
          </w:p>
        </w:tc>
        <w:tc>
          <w:tcPr>
            <w:tcW w:w="867" w:type="dxa"/>
          </w:tcPr>
          <w:p w14:paraId="4DF953EE" w14:textId="6632B2B0" w:rsidR="00B753D0" w:rsidRDefault="00B753D0" w:rsidP="00B753D0">
            <w:pPr>
              <w:pStyle w:val="NoSpacing"/>
              <w:spacing w:before="60" w:after="60"/>
              <w:jc w:val="center"/>
              <w:rPr>
                <w:sz w:val="16"/>
                <w:szCs w:val="16"/>
              </w:rPr>
            </w:pPr>
            <w:r w:rsidRPr="00B753D0">
              <w:rPr>
                <w:sz w:val="16"/>
                <w:szCs w:val="16"/>
              </w:rPr>
              <w:t>7,35</w:t>
            </w:r>
          </w:p>
        </w:tc>
        <w:tc>
          <w:tcPr>
            <w:tcW w:w="1285" w:type="dxa"/>
          </w:tcPr>
          <w:p w14:paraId="7115A05C" w14:textId="02362597" w:rsidR="00B753D0" w:rsidRDefault="00B753D0" w:rsidP="00B753D0">
            <w:pPr>
              <w:pStyle w:val="NoSpacing"/>
              <w:spacing w:before="60" w:after="60"/>
              <w:jc w:val="center"/>
              <w:rPr>
                <w:sz w:val="16"/>
                <w:szCs w:val="16"/>
              </w:rPr>
            </w:pPr>
            <w:r w:rsidRPr="00B753D0">
              <w:rPr>
                <w:sz w:val="16"/>
                <w:szCs w:val="16"/>
              </w:rPr>
              <w:t>-474 139,50</w:t>
            </w:r>
          </w:p>
        </w:tc>
      </w:tr>
      <w:tr w:rsidR="00B753D0" w:rsidRPr="00D231C5" w14:paraId="0DC09872" w14:textId="77777777" w:rsidTr="009757D4">
        <w:tc>
          <w:tcPr>
            <w:tcW w:w="988" w:type="dxa"/>
            <w:vAlign w:val="center"/>
          </w:tcPr>
          <w:p w14:paraId="7D235EF2" w14:textId="74778786" w:rsidR="00B753D0" w:rsidRDefault="00B753D0" w:rsidP="00B753D0">
            <w:pPr>
              <w:pStyle w:val="NoSpacing"/>
              <w:spacing w:before="60" w:after="60"/>
              <w:jc w:val="left"/>
              <w:rPr>
                <w:sz w:val="16"/>
                <w:szCs w:val="16"/>
                <w:lang w:val="en-GB"/>
              </w:rPr>
            </w:pPr>
            <w:r>
              <w:rPr>
                <w:sz w:val="16"/>
                <w:szCs w:val="16"/>
                <w:lang w:val="en-GB"/>
              </w:rPr>
              <w:t>Aug-2016</w:t>
            </w:r>
          </w:p>
        </w:tc>
        <w:tc>
          <w:tcPr>
            <w:tcW w:w="692" w:type="dxa"/>
            <w:vAlign w:val="center"/>
          </w:tcPr>
          <w:p w14:paraId="50FE6984" w14:textId="6861FB1A" w:rsidR="00B753D0" w:rsidRDefault="00B753D0" w:rsidP="00B753D0">
            <w:pPr>
              <w:pStyle w:val="NoSpacing"/>
              <w:spacing w:before="60" w:after="60"/>
              <w:jc w:val="center"/>
              <w:rPr>
                <w:sz w:val="16"/>
                <w:szCs w:val="16"/>
              </w:rPr>
            </w:pPr>
            <w:r>
              <w:rPr>
                <w:sz w:val="16"/>
                <w:szCs w:val="16"/>
              </w:rPr>
              <w:t>150</w:t>
            </w:r>
          </w:p>
        </w:tc>
        <w:tc>
          <w:tcPr>
            <w:tcW w:w="851" w:type="dxa"/>
            <w:vAlign w:val="center"/>
          </w:tcPr>
          <w:p w14:paraId="4B22D3AE" w14:textId="1542A03F" w:rsidR="00B753D0" w:rsidRPr="006A4ABC" w:rsidRDefault="00B753D0" w:rsidP="00B753D0">
            <w:pPr>
              <w:pStyle w:val="NoSpacing"/>
              <w:spacing w:before="60" w:after="60"/>
              <w:jc w:val="center"/>
              <w:rPr>
                <w:sz w:val="16"/>
                <w:szCs w:val="16"/>
              </w:rPr>
            </w:pPr>
            <w:r>
              <w:rPr>
                <w:sz w:val="16"/>
                <w:szCs w:val="16"/>
              </w:rPr>
              <w:t>3,66</w:t>
            </w:r>
          </w:p>
        </w:tc>
        <w:tc>
          <w:tcPr>
            <w:tcW w:w="867" w:type="dxa"/>
          </w:tcPr>
          <w:p w14:paraId="121F952D" w14:textId="1093A932" w:rsidR="00B753D0" w:rsidRDefault="00B753D0" w:rsidP="00B753D0">
            <w:pPr>
              <w:pStyle w:val="NoSpacing"/>
              <w:spacing w:before="60" w:after="60"/>
              <w:jc w:val="center"/>
              <w:rPr>
                <w:sz w:val="16"/>
                <w:szCs w:val="16"/>
              </w:rPr>
            </w:pPr>
            <w:r w:rsidRPr="00B753D0">
              <w:rPr>
                <w:sz w:val="16"/>
                <w:szCs w:val="16"/>
              </w:rPr>
              <w:t>2,39</w:t>
            </w:r>
          </w:p>
        </w:tc>
        <w:tc>
          <w:tcPr>
            <w:tcW w:w="1285" w:type="dxa"/>
          </w:tcPr>
          <w:p w14:paraId="60AAA674" w14:textId="4A0E8884" w:rsidR="00B753D0" w:rsidRDefault="00B753D0" w:rsidP="00B753D0">
            <w:pPr>
              <w:pStyle w:val="NoSpacing"/>
              <w:spacing w:before="60" w:after="60"/>
              <w:jc w:val="center"/>
              <w:rPr>
                <w:sz w:val="16"/>
                <w:szCs w:val="16"/>
              </w:rPr>
            </w:pPr>
            <w:r w:rsidRPr="00B753D0">
              <w:rPr>
                <w:sz w:val="16"/>
                <w:szCs w:val="16"/>
              </w:rPr>
              <w:t>142 218,00</w:t>
            </w:r>
          </w:p>
        </w:tc>
      </w:tr>
      <w:tr w:rsidR="00B753D0" w:rsidRPr="00D231C5" w14:paraId="61C0DA4D" w14:textId="77777777" w:rsidTr="009757D4">
        <w:tc>
          <w:tcPr>
            <w:tcW w:w="988" w:type="dxa"/>
            <w:vAlign w:val="center"/>
          </w:tcPr>
          <w:p w14:paraId="71C85B11" w14:textId="6841FF65" w:rsidR="00B753D0" w:rsidRDefault="00B753D0" w:rsidP="00B753D0">
            <w:pPr>
              <w:pStyle w:val="NoSpacing"/>
              <w:spacing w:before="60" w:after="60"/>
              <w:jc w:val="left"/>
              <w:rPr>
                <w:sz w:val="16"/>
                <w:szCs w:val="16"/>
                <w:lang w:val="en-GB"/>
              </w:rPr>
            </w:pPr>
            <w:r>
              <w:rPr>
                <w:sz w:val="16"/>
                <w:szCs w:val="16"/>
                <w:lang w:val="en-GB"/>
              </w:rPr>
              <w:t>Sept-2016</w:t>
            </w:r>
          </w:p>
        </w:tc>
        <w:tc>
          <w:tcPr>
            <w:tcW w:w="692" w:type="dxa"/>
            <w:vAlign w:val="center"/>
          </w:tcPr>
          <w:p w14:paraId="2E5A8E4E" w14:textId="530705FA" w:rsidR="00B753D0" w:rsidRDefault="00B753D0" w:rsidP="00B753D0">
            <w:pPr>
              <w:pStyle w:val="NoSpacing"/>
              <w:spacing w:before="60" w:after="60"/>
              <w:jc w:val="center"/>
              <w:rPr>
                <w:sz w:val="16"/>
                <w:szCs w:val="16"/>
              </w:rPr>
            </w:pPr>
            <w:r>
              <w:rPr>
                <w:sz w:val="16"/>
                <w:szCs w:val="16"/>
              </w:rPr>
              <w:t>150</w:t>
            </w:r>
          </w:p>
        </w:tc>
        <w:tc>
          <w:tcPr>
            <w:tcW w:w="851" w:type="dxa"/>
            <w:vAlign w:val="center"/>
          </w:tcPr>
          <w:p w14:paraId="63121097" w14:textId="22A935A0" w:rsidR="00B753D0" w:rsidRPr="006A4ABC" w:rsidRDefault="00B753D0" w:rsidP="00B753D0">
            <w:pPr>
              <w:pStyle w:val="NoSpacing"/>
              <w:spacing w:before="60" w:after="60"/>
              <w:jc w:val="center"/>
              <w:rPr>
                <w:sz w:val="16"/>
                <w:szCs w:val="16"/>
              </w:rPr>
            </w:pPr>
            <w:r>
              <w:rPr>
                <w:sz w:val="16"/>
                <w:szCs w:val="16"/>
              </w:rPr>
              <w:t>1,89</w:t>
            </w:r>
          </w:p>
        </w:tc>
        <w:tc>
          <w:tcPr>
            <w:tcW w:w="867" w:type="dxa"/>
          </w:tcPr>
          <w:p w14:paraId="47134AEB" w14:textId="742BDC3B" w:rsidR="00B753D0" w:rsidRDefault="00B753D0" w:rsidP="00B753D0">
            <w:pPr>
              <w:pStyle w:val="NoSpacing"/>
              <w:spacing w:before="60" w:after="60"/>
              <w:jc w:val="center"/>
              <w:rPr>
                <w:sz w:val="16"/>
                <w:szCs w:val="16"/>
              </w:rPr>
            </w:pPr>
            <w:r w:rsidRPr="00B753D0">
              <w:rPr>
                <w:sz w:val="16"/>
                <w:szCs w:val="16"/>
              </w:rPr>
              <w:t>1,63</w:t>
            </w:r>
          </w:p>
        </w:tc>
        <w:tc>
          <w:tcPr>
            <w:tcW w:w="1285" w:type="dxa"/>
          </w:tcPr>
          <w:p w14:paraId="4A2DFFF3" w14:textId="4022FF36" w:rsidR="00B753D0" w:rsidRDefault="00B753D0" w:rsidP="00B753D0">
            <w:pPr>
              <w:pStyle w:val="NoSpacing"/>
              <w:spacing w:before="60" w:after="60"/>
              <w:jc w:val="center"/>
              <w:rPr>
                <w:sz w:val="16"/>
                <w:szCs w:val="16"/>
              </w:rPr>
            </w:pPr>
            <w:r w:rsidRPr="00B753D0">
              <w:rPr>
                <w:sz w:val="16"/>
                <w:szCs w:val="16"/>
              </w:rPr>
              <w:t>27 933,00</w:t>
            </w:r>
          </w:p>
        </w:tc>
      </w:tr>
      <w:tr w:rsidR="00B753D0" w:rsidRPr="00D231C5" w14:paraId="01ED8396" w14:textId="77777777" w:rsidTr="009757D4">
        <w:tc>
          <w:tcPr>
            <w:tcW w:w="988" w:type="dxa"/>
            <w:vAlign w:val="center"/>
          </w:tcPr>
          <w:p w14:paraId="372B9FC4" w14:textId="388AEF81" w:rsidR="00B753D0" w:rsidRDefault="00B753D0" w:rsidP="00B753D0">
            <w:pPr>
              <w:pStyle w:val="NoSpacing"/>
              <w:spacing w:before="60" w:after="60"/>
              <w:jc w:val="left"/>
              <w:rPr>
                <w:sz w:val="16"/>
                <w:szCs w:val="16"/>
                <w:lang w:val="en-GB"/>
              </w:rPr>
            </w:pPr>
            <w:r>
              <w:rPr>
                <w:sz w:val="16"/>
                <w:szCs w:val="16"/>
                <w:lang w:val="en-GB"/>
              </w:rPr>
              <w:t>Oct-2016</w:t>
            </w:r>
          </w:p>
        </w:tc>
        <w:tc>
          <w:tcPr>
            <w:tcW w:w="692" w:type="dxa"/>
            <w:vAlign w:val="center"/>
          </w:tcPr>
          <w:p w14:paraId="1F9CE305" w14:textId="4F7D21F5" w:rsidR="00B753D0" w:rsidRDefault="00B753D0" w:rsidP="00B753D0">
            <w:pPr>
              <w:pStyle w:val="NoSpacing"/>
              <w:spacing w:before="60" w:after="60"/>
              <w:jc w:val="center"/>
              <w:rPr>
                <w:sz w:val="16"/>
                <w:szCs w:val="16"/>
              </w:rPr>
            </w:pPr>
            <w:r>
              <w:rPr>
                <w:sz w:val="16"/>
                <w:szCs w:val="16"/>
              </w:rPr>
              <w:t>150</w:t>
            </w:r>
          </w:p>
        </w:tc>
        <w:tc>
          <w:tcPr>
            <w:tcW w:w="851" w:type="dxa"/>
            <w:vAlign w:val="center"/>
          </w:tcPr>
          <w:p w14:paraId="60BDEEDC" w14:textId="10279981" w:rsidR="00B753D0" w:rsidRPr="006A4ABC" w:rsidRDefault="00B753D0" w:rsidP="00B753D0">
            <w:pPr>
              <w:pStyle w:val="NoSpacing"/>
              <w:spacing w:before="60" w:after="60"/>
              <w:jc w:val="center"/>
              <w:rPr>
                <w:sz w:val="16"/>
                <w:szCs w:val="16"/>
              </w:rPr>
            </w:pPr>
            <w:r>
              <w:rPr>
                <w:sz w:val="16"/>
                <w:szCs w:val="16"/>
              </w:rPr>
              <w:t>2,03</w:t>
            </w:r>
          </w:p>
        </w:tc>
        <w:tc>
          <w:tcPr>
            <w:tcW w:w="867" w:type="dxa"/>
          </w:tcPr>
          <w:p w14:paraId="71816907" w14:textId="4BC111EE" w:rsidR="00B753D0" w:rsidRDefault="00B753D0" w:rsidP="00B753D0">
            <w:pPr>
              <w:pStyle w:val="NoSpacing"/>
              <w:spacing w:before="60" w:after="60"/>
              <w:jc w:val="center"/>
              <w:rPr>
                <w:sz w:val="16"/>
                <w:szCs w:val="16"/>
              </w:rPr>
            </w:pPr>
            <w:r w:rsidRPr="00B753D0">
              <w:rPr>
                <w:sz w:val="16"/>
                <w:szCs w:val="16"/>
              </w:rPr>
              <w:t>0,93</w:t>
            </w:r>
          </w:p>
        </w:tc>
        <w:tc>
          <w:tcPr>
            <w:tcW w:w="1285" w:type="dxa"/>
          </w:tcPr>
          <w:p w14:paraId="0CA71C18" w14:textId="2C302482" w:rsidR="00B753D0" w:rsidRDefault="00B753D0" w:rsidP="00B753D0">
            <w:pPr>
              <w:pStyle w:val="NoSpacing"/>
              <w:spacing w:before="60" w:after="60"/>
              <w:jc w:val="center"/>
              <w:rPr>
                <w:sz w:val="16"/>
                <w:szCs w:val="16"/>
              </w:rPr>
            </w:pPr>
            <w:r w:rsidRPr="00B753D0">
              <w:rPr>
                <w:sz w:val="16"/>
                <w:szCs w:val="16"/>
              </w:rPr>
              <w:t>122 625,00</w:t>
            </w:r>
          </w:p>
        </w:tc>
      </w:tr>
      <w:tr w:rsidR="00B753D0" w:rsidRPr="00D231C5" w14:paraId="2B3D92EF" w14:textId="77777777" w:rsidTr="009757D4">
        <w:tc>
          <w:tcPr>
            <w:tcW w:w="988" w:type="dxa"/>
            <w:vAlign w:val="center"/>
          </w:tcPr>
          <w:p w14:paraId="207CAADC" w14:textId="09FDA907" w:rsidR="00B753D0" w:rsidRDefault="00B753D0" w:rsidP="00B753D0">
            <w:pPr>
              <w:pStyle w:val="NoSpacing"/>
              <w:spacing w:before="60" w:after="60"/>
              <w:jc w:val="left"/>
              <w:rPr>
                <w:sz w:val="16"/>
                <w:szCs w:val="16"/>
                <w:lang w:val="en-GB"/>
              </w:rPr>
            </w:pPr>
            <w:r>
              <w:rPr>
                <w:sz w:val="16"/>
                <w:szCs w:val="16"/>
                <w:lang w:val="en-GB"/>
              </w:rPr>
              <w:t>Nov-2016</w:t>
            </w:r>
          </w:p>
        </w:tc>
        <w:tc>
          <w:tcPr>
            <w:tcW w:w="692" w:type="dxa"/>
            <w:vAlign w:val="center"/>
          </w:tcPr>
          <w:p w14:paraId="69B3759A" w14:textId="0E8CA18D" w:rsidR="00B753D0" w:rsidRDefault="00B753D0" w:rsidP="00B753D0">
            <w:pPr>
              <w:pStyle w:val="NoSpacing"/>
              <w:spacing w:before="60" w:after="60"/>
              <w:jc w:val="center"/>
              <w:rPr>
                <w:sz w:val="16"/>
                <w:szCs w:val="16"/>
              </w:rPr>
            </w:pPr>
            <w:r>
              <w:rPr>
                <w:sz w:val="16"/>
                <w:szCs w:val="16"/>
              </w:rPr>
              <w:t>150</w:t>
            </w:r>
          </w:p>
        </w:tc>
        <w:tc>
          <w:tcPr>
            <w:tcW w:w="851" w:type="dxa"/>
            <w:vAlign w:val="center"/>
          </w:tcPr>
          <w:p w14:paraId="24B37591" w14:textId="49FC625B" w:rsidR="00B753D0" w:rsidRPr="006A4ABC" w:rsidRDefault="00B753D0" w:rsidP="00B753D0">
            <w:pPr>
              <w:pStyle w:val="NoSpacing"/>
              <w:spacing w:before="60" w:after="60"/>
              <w:jc w:val="center"/>
              <w:rPr>
                <w:sz w:val="16"/>
                <w:szCs w:val="16"/>
              </w:rPr>
            </w:pPr>
            <w:r>
              <w:rPr>
                <w:sz w:val="16"/>
                <w:szCs w:val="16"/>
              </w:rPr>
              <w:t>2,70</w:t>
            </w:r>
          </w:p>
        </w:tc>
        <w:tc>
          <w:tcPr>
            <w:tcW w:w="867" w:type="dxa"/>
          </w:tcPr>
          <w:p w14:paraId="13B20AF4" w14:textId="368F0090" w:rsidR="00B753D0" w:rsidRDefault="00B753D0" w:rsidP="00B753D0">
            <w:pPr>
              <w:pStyle w:val="NoSpacing"/>
              <w:spacing w:before="60" w:after="60"/>
              <w:jc w:val="center"/>
              <w:rPr>
                <w:sz w:val="16"/>
                <w:szCs w:val="16"/>
              </w:rPr>
            </w:pPr>
            <w:r w:rsidRPr="00B753D0">
              <w:rPr>
                <w:sz w:val="16"/>
                <w:szCs w:val="16"/>
              </w:rPr>
              <w:t>-0,39*</w:t>
            </w:r>
            <w:r>
              <w:rPr>
                <w:sz w:val="16"/>
                <w:szCs w:val="16"/>
              </w:rPr>
              <w:t>*</w:t>
            </w:r>
          </w:p>
        </w:tc>
        <w:tc>
          <w:tcPr>
            <w:tcW w:w="1285" w:type="dxa"/>
          </w:tcPr>
          <w:p w14:paraId="305AECDC" w14:textId="55B73934" w:rsidR="00B753D0" w:rsidRDefault="00B753D0" w:rsidP="00B753D0">
            <w:pPr>
              <w:pStyle w:val="NoSpacing"/>
              <w:spacing w:before="60" w:after="60"/>
              <w:jc w:val="center"/>
              <w:rPr>
                <w:sz w:val="16"/>
                <w:szCs w:val="16"/>
              </w:rPr>
            </w:pPr>
            <w:r w:rsidRPr="00B753D0">
              <w:rPr>
                <w:sz w:val="16"/>
                <w:szCs w:val="16"/>
              </w:rPr>
              <w:t>291 600,00</w:t>
            </w:r>
          </w:p>
        </w:tc>
      </w:tr>
      <w:tr w:rsidR="00B753D0" w:rsidRPr="00D231C5" w14:paraId="74119005" w14:textId="77777777" w:rsidTr="009757D4">
        <w:tc>
          <w:tcPr>
            <w:tcW w:w="988" w:type="dxa"/>
            <w:vAlign w:val="center"/>
          </w:tcPr>
          <w:p w14:paraId="2583BB5B" w14:textId="5844000C" w:rsidR="00B753D0" w:rsidRDefault="00B753D0" w:rsidP="00B753D0">
            <w:pPr>
              <w:pStyle w:val="NoSpacing"/>
              <w:spacing w:before="60" w:after="60"/>
              <w:jc w:val="left"/>
              <w:rPr>
                <w:sz w:val="16"/>
                <w:szCs w:val="16"/>
                <w:lang w:val="en-GB"/>
              </w:rPr>
            </w:pPr>
            <w:r>
              <w:rPr>
                <w:sz w:val="16"/>
                <w:szCs w:val="16"/>
                <w:lang w:val="en-GB"/>
              </w:rPr>
              <w:t>Dec-2016</w:t>
            </w:r>
          </w:p>
        </w:tc>
        <w:tc>
          <w:tcPr>
            <w:tcW w:w="692" w:type="dxa"/>
            <w:vAlign w:val="center"/>
          </w:tcPr>
          <w:p w14:paraId="49B745D5" w14:textId="0A7522B0" w:rsidR="00B753D0" w:rsidRDefault="00B753D0" w:rsidP="00B753D0">
            <w:pPr>
              <w:pStyle w:val="NoSpacing"/>
              <w:spacing w:before="60" w:after="60"/>
              <w:jc w:val="center"/>
              <w:rPr>
                <w:sz w:val="16"/>
                <w:szCs w:val="16"/>
              </w:rPr>
            </w:pPr>
            <w:r>
              <w:rPr>
                <w:sz w:val="16"/>
                <w:szCs w:val="16"/>
              </w:rPr>
              <w:t>150</w:t>
            </w:r>
          </w:p>
        </w:tc>
        <w:tc>
          <w:tcPr>
            <w:tcW w:w="851" w:type="dxa"/>
            <w:vAlign w:val="center"/>
          </w:tcPr>
          <w:p w14:paraId="16FEE9ED" w14:textId="68795661" w:rsidR="00B753D0" w:rsidRPr="006A4ABC" w:rsidRDefault="00B753D0" w:rsidP="00B753D0">
            <w:pPr>
              <w:pStyle w:val="NoSpacing"/>
              <w:spacing w:before="60" w:after="60"/>
              <w:jc w:val="center"/>
              <w:rPr>
                <w:sz w:val="16"/>
                <w:szCs w:val="16"/>
              </w:rPr>
            </w:pPr>
            <w:r>
              <w:rPr>
                <w:sz w:val="16"/>
                <w:szCs w:val="16"/>
              </w:rPr>
              <w:t>0,36</w:t>
            </w:r>
          </w:p>
        </w:tc>
        <w:tc>
          <w:tcPr>
            <w:tcW w:w="867" w:type="dxa"/>
          </w:tcPr>
          <w:p w14:paraId="4C60F201" w14:textId="3D85F99A" w:rsidR="00B753D0" w:rsidRDefault="00B753D0" w:rsidP="00B753D0">
            <w:pPr>
              <w:pStyle w:val="NoSpacing"/>
              <w:spacing w:before="60" w:after="60"/>
              <w:jc w:val="center"/>
              <w:rPr>
                <w:sz w:val="16"/>
                <w:szCs w:val="16"/>
              </w:rPr>
            </w:pPr>
            <w:r w:rsidRPr="00B753D0">
              <w:rPr>
                <w:sz w:val="16"/>
                <w:szCs w:val="16"/>
              </w:rPr>
              <w:t>0,17</w:t>
            </w:r>
          </w:p>
        </w:tc>
        <w:tc>
          <w:tcPr>
            <w:tcW w:w="1285" w:type="dxa"/>
          </w:tcPr>
          <w:p w14:paraId="3E30E016" w14:textId="02C7AD49" w:rsidR="00B753D0" w:rsidRDefault="00B753D0" w:rsidP="00B753D0">
            <w:pPr>
              <w:pStyle w:val="NoSpacing"/>
              <w:spacing w:before="60" w:after="60"/>
              <w:jc w:val="center"/>
              <w:rPr>
                <w:sz w:val="16"/>
                <w:szCs w:val="16"/>
              </w:rPr>
            </w:pPr>
            <w:r w:rsidRPr="00B753D0">
              <w:rPr>
                <w:sz w:val="16"/>
                <w:szCs w:val="16"/>
              </w:rPr>
              <w:t>20 221,50</w:t>
            </w:r>
          </w:p>
        </w:tc>
      </w:tr>
      <w:tr w:rsidR="006752C2" w:rsidRPr="00D231C5" w14:paraId="5B059739" w14:textId="77777777" w:rsidTr="009757D4">
        <w:tc>
          <w:tcPr>
            <w:tcW w:w="988" w:type="dxa"/>
            <w:vAlign w:val="center"/>
          </w:tcPr>
          <w:p w14:paraId="4A1E36DB" w14:textId="5B243A5B" w:rsidR="006752C2" w:rsidRDefault="006752C2" w:rsidP="00B753D0">
            <w:pPr>
              <w:pStyle w:val="NoSpacing"/>
              <w:spacing w:before="60" w:after="60"/>
              <w:jc w:val="left"/>
              <w:rPr>
                <w:sz w:val="16"/>
                <w:szCs w:val="16"/>
                <w:lang w:val="en-GB"/>
              </w:rPr>
            </w:pPr>
            <w:r>
              <w:rPr>
                <w:sz w:val="16"/>
                <w:szCs w:val="16"/>
                <w:lang w:val="en-GB"/>
              </w:rPr>
              <w:t>KOKKU</w:t>
            </w:r>
          </w:p>
        </w:tc>
        <w:tc>
          <w:tcPr>
            <w:tcW w:w="692" w:type="dxa"/>
            <w:vAlign w:val="center"/>
          </w:tcPr>
          <w:p w14:paraId="042B5C22" w14:textId="77777777" w:rsidR="006752C2" w:rsidRDefault="006752C2" w:rsidP="00B753D0">
            <w:pPr>
              <w:pStyle w:val="NoSpacing"/>
              <w:spacing w:before="60" w:after="60"/>
              <w:jc w:val="center"/>
              <w:rPr>
                <w:sz w:val="16"/>
                <w:szCs w:val="16"/>
              </w:rPr>
            </w:pPr>
          </w:p>
        </w:tc>
        <w:tc>
          <w:tcPr>
            <w:tcW w:w="851" w:type="dxa"/>
            <w:vAlign w:val="center"/>
          </w:tcPr>
          <w:p w14:paraId="0E7A3F66" w14:textId="77777777" w:rsidR="006752C2" w:rsidRDefault="006752C2" w:rsidP="00B753D0">
            <w:pPr>
              <w:pStyle w:val="NoSpacing"/>
              <w:spacing w:before="60" w:after="60"/>
              <w:jc w:val="center"/>
              <w:rPr>
                <w:sz w:val="16"/>
                <w:szCs w:val="16"/>
              </w:rPr>
            </w:pPr>
          </w:p>
        </w:tc>
        <w:tc>
          <w:tcPr>
            <w:tcW w:w="867" w:type="dxa"/>
          </w:tcPr>
          <w:p w14:paraId="02DEE4A1" w14:textId="1419FACB" w:rsidR="006752C2" w:rsidRPr="00B753D0" w:rsidRDefault="006752C2" w:rsidP="00B753D0">
            <w:pPr>
              <w:pStyle w:val="NoSpacing"/>
              <w:spacing w:before="60" w:after="60"/>
              <w:jc w:val="center"/>
              <w:rPr>
                <w:sz w:val="16"/>
                <w:szCs w:val="16"/>
              </w:rPr>
            </w:pPr>
          </w:p>
        </w:tc>
        <w:tc>
          <w:tcPr>
            <w:tcW w:w="1285" w:type="dxa"/>
          </w:tcPr>
          <w:p w14:paraId="3BF5AD49" w14:textId="1D6D409A" w:rsidR="006752C2" w:rsidRPr="00B753D0" w:rsidRDefault="006752C2" w:rsidP="00B753D0">
            <w:pPr>
              <w:pStyle w:val="NoSpacing"/>
              <w:spacing w:before="60" w:after="60"/>
              <w:jc w:val="center"/>
              <w:rPr>
                <w:sz w:val="16"/>
                <w:szCs w:val="16"/>
              </w:rPr>
            </w:pPr>
            <w:r>
              <w:rPr>
                <w:sz w:val="16"/>
                <w:szCs w:val="16"/>
              </w:rPr>
              <w:t>3 359 094,00</w:t>
            </w:r>
          </w:p>
        </w:tc>
      </w:tr>
    </w:tbl>
    <w:p w14:paraId="0861DCCB" w14:textId="63D921BA" w:rsidR="00B82C56" w:rsidRPr="00B753D0" w:rsidRDefault="009346D0" w:rsidP="0022344D">
      <w:pPr>
        <w:rPr>
          <w:rStyle w:val="SubtleEmphasis"/>
        </w:rPr>
      </w:pPr>
      <w:r w:rsidRPr="00B753D0">
        <w:rPr>
          <w:rStyle w:val="SubtleEmphasis"/>
        </w:rPr>
        <w:t xml:space="preserve">* Arvutuslik keskmine – PTR-L aasta </w:t>
      </w:r>
      <w:r w:rsidR="00B753D0">
        <w:rPr>
          <w:rStyle w:val="SubtleEmphasis"/>
        </w:rPr>
        <w:t>j</w:t>
      </w:r>
      <w:r w:rsidRPr="00B753D0">
        <w:rPr>
          <w:rStyle w:val="SubtleEmphasis"/>
        </w:rPr>
        <w:t xml:space="preserve">a kvartali toodete arvelduse aluseks on NP Eesti ja </w:t>
      </w:r>
      <w:r w:rsidR="00B753D0">
        <w:rPr>
          <w:rStyle w:val="SubtleEmphasis"/>
        </w:rPr>
        <w:t>L</w:t>
      </w:r>
      <w:r w:rsidRPr="00B753D0">
        <w:rPr>
          <w:rStyle w:val="SubtleEmphasis"/>
        </w:rPr>
        <w:t>äti piirkondade kuine hinnaerinevus</w:t>
      </w:r>
    </w:p>
    <w:p w14:paraId="6590FF59" w14:textId="18301BB8" w:rsidR="00B753D0" w:rsidRPr="00B753D0" w:rsidRDefault="00B753D0" w:rsidP="0022344D">
      <w:pPr>
        <w:rPr>
          <w:rStyle w:val="SubtleEmphasis"/>
        </w:rPr>
      </w:pPr>
      <w:r w:rsidRPr="00B753D0">
        <w:rPr>
          <w:rStyle w:val="SubtleEmphasis"/>
        </w:rPr>
        <w:t xml:space="preserve">** Hind NP LV hinnapiirkonnas oli madalam </w:t>
      </w:r>
      <w:r>
        <w:rPr>
          <w:rStyle w:val="SubtleEmphasis"/>
        </w:rPr>
        <w:t xml:space="preserve">kui </w:t>
      </w:r>
      <w:r w:rsidRPr="00B753D0">
        <w:rPr>
          <w:rStyle w:val="SubtleEmphasis"/>
        </w:rPr>
        <w:t>NP EE hinnapiirkonnas. Kuna Limiteeritud PTR puhul on tegemist optsiooniga suunal Eestist Lätti võeti ar</w:t>
      </w:r>
      <w:r>
        <w:rPr>
          <w:rStyle w:val="SubtleEmphasis"/>
        </w:rPr>
        <w:t>vutuslikult hinnavaheks 0,00 €</w:t>
      </w:r>
      <w:r w:rsidRPr="00B753D0">
        <w:rPr>
          <w:rStyle w:val="SubtleEmphasis"/>
        </w:rPr>
        <w:t>/MWh</w:t>
      </w:r>
      <w:r>
        <w:rPr>
          <w:rStyle w:val="SubtleEmphasis"/>
        </w:rPr>
        <w:t>.</w:t>
      </w:r>
    </w:p>
    <w:p w14:paraId="63063677" w14:textId="77777777" w:rsidR="009346D0" w:rsidRDefault="009346D0" w:rsidP="0022344D"/>
    <w:p w14:paraId="5FEFCCCA" w14:textId="30006724" w:rsidR="00024469" w:rsidRDefault="000F51CF" w:rsidP="00340A89">
      <w:r w:rsidRPr="000F51CF">
        <w:t xml:space="preserve">Elering ja Augstsprieguma tīkls </w:t>
      </w:r>
      <w:r w:rsidR="0017450E">
        <w:t xml:space="preserve">(AST) </w:t>
      </w:r>
      <w:r w:rsidRPr="000F51CF">
        <w:t>jätkavad vastavalt kokku lepitud reeglitele limiteeritud PTR-ide oksjoneid ka 201</w:t>
      </w:r>
      <w:r w:rsidR="0017450E">
        <w:t>7</w:t>
      </w:r>
      <w:r w:rsidRPr="000F51CF">
        <w:t xml:space="preserve">. aastal. Täiendav teave oksjoni tingimuste, kalendri ja registreerimisvormi kohta on kättesaadav </w:t>
      </w:r>
      <w:r w:rsidR="0017450E">
        <w:t>AST</w:t>
      </w:r>
      <w:r w:rsidRPr="000F51CF">
        <w:t xml:space="preserve"> </w:t>
      </w:r>
      <w:hyperlink r:id="rId26" w:history="1">
        <w:r w:rsidRPr="0017450E">
          <w:rPr>
            <w:rStyle w:val="Hyperlink"/>
          </w:rPr>
          <w:t>veebilehel</w:t>
        </w:r>
      </w:hyperlink>
      <w:r>
        <w:t>.</w:t>
      </w:r>
    </w:p>
    <w:p w14:paraId="2B0E8FA2" w14:textId="77777777" w:rsidR="006A4ABC" w:rsidRDefault="006A4ABC" w:rsidP="00340A89"/>
    <w:p w14:paraId="68A8F3C5" w14:textId="77777777" w:rsidR="006A4ABC" w:rsidRDefault="006A4ABC" w:rsidP="00340A89"/>
    <w:p w14:paraId="349CB611" w14:textId="77777777" w:rsidR="006A4ABC" w:rsidRDefault="006A4ABC" w:rsidP="00340A89"/>
    <w:p w14:paraId="1645795F" w14:textId="77777777" w:rsidR="005D3A6D" w:rsidRDefault="005D3A6D" w:rsidP="00340A89"/>
    <w:p w14:paraId="024DF4F4" w14:textId="77777777" w:rsidR="005D3A6D" w:rsidRDefault="005D3A6D" w:rsidP="00340A89"/>
    <w:p w14:paraId="77491AFB" w14:textId="0416D54D" w:rsidR="005D3A6D" w:rsidRPr="005D3A6D" w:rsidRDefault="005D3A6D" w:rsidP="005D3A6D">
      <w:pPr>
        <w:rPr>
          <w:rStyle w:val="SubtleEmphasis"/>
        </w:rPr>
      </w:pPr>
      <w:r w:rsidRPr="005D3A6D">
        <w:rPr>
          <w:rStyle w:val="SubtleEmphasis"/>
        </w:rPr>
        <w:t>Allikad</w:t>
      </w:r>
      <w:r>
        <w:rPr>
          <w:rStyle w:val="SubtleEmphasis"/>
        </w:rPr>
        <w:t>:</w:t>
      </w:r>
    </w:p>
    <w:p w14:paraId="3D5A95F1" w14:textId="215DB9A1" w:rsidR="005D3A6D" w:rsidRPr="005D3A6D" w:rsidRDefault="005D3A6D" w:rsidP="005D3A6D">
      <w:pPr>
        <w:rPr>
          <w:rStyle w:val="SubtleEmphasis"/>
        </w:rPr>
      </w:pPr>
      <w:r w:rsidRPr="005D3A6D">
        <w:rPr>
          <w:rStyle w:val="SubtleEmphasis"/>
        </w:rPr>
        <w:t>Nord Pool, Elering, Augstsprieguma tīkls, Litgrid, Fingrid, European Energy Exchange, Nasdaq OMX</w:t>
      </w:r>
    </w:p>
    <w:p w14:paraId="7B01ACC2" w14:textId="77777777" w:rsidR="005D3A6D" w:rsidRDefault="005D3A6D" w:rsidP="005D3A6D">
      <w:pPr>
        <w:rPr>
          <w:rStyle w:val="SubtleEmphasis"/>
        </w:rPr>
      </w:pPr>
    </w:p>
    <w:p w14:paraId="3A4C0495" w14:textId="09AC9812" w:rsidR="005D3A6D" w:rsidRPr="005D3A6D" w:rsidRDefault="005D3A6D" w:rsidP="005D3A6D">
      <w:pPr>
        <w:rPr>
          <w:rStyle w:val="SubtleEmphasis"/>
        </w:rPr>
      </w:pPr>
      <w:r w:rsidRPr="005D3A6D">
        <w:rPr>
          <w:rStyle w:val="SubtleEmphasis"/>
        </w:rPr>
        <w:t>* Käesolevat raportit ja selle lisasid ei saa käsitleda juriidilise, finantsalase või muu nõuandena ega ettepanekuna osta või müüa elektrienergiat või finantsinstrumente. Elering ei vastuta kulude või kahjude eest, mis raportis ja selle lisades toodud informat</w:t>
      </w:r>
      <w:r w:rsidR="00B753D0">
        <w:rPr>
          <w:rStyle w:val="SubtleEmphasis"/>
        </w:rPr>
        <w:softHyphen/>
      </w:r>
      <w:r w:rsidRPr="005D3A6D">
        <w:rPr>
          <w:rStyle w:val="SubtleEmphasis"/>
        </w:rPr>
        <w:t>siooni kasutamisega seoses võivad tekkida.</w:t>
      </w:r>
    </w:p>
    <w:sectPr w:rsidR="005D3A6D" w:rsidRPr="005D3A6D" w:rsidSect="00586362">
      <w:headerReference w:type="even" r:id="rId27"/>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8DBE" w14:textId="77777777" w:rsidR="00C15D4D" w:rsidRDefault="00C15D4D" w:rsidP="0022344D">
      <w:r>
        <w:separator/>
      </w:r>
    </w:p>
    <w:p w14:paraId="3134AABC" w14:textId="77777777" w:rsidR="00C15D4D" w:rsidRDefault="00C15D4D" w:rsidP="0022344D"/>
    <w:p w14:paraId="4C86B9AD" w14:textId="77777777" w:rsidR="00C15D4D" w:rsidRDefault="00C15D4D" w:rsidP="0022344D"/>
    <w:p w14:paraId="678DF158" w14:textId="77777777" w:rsidR="00C15D4D" w:rsidRDefault="00C15D4D" w:rsidP="0022344D"/>
    <w:p w14:paraId="4B70B275" w14:textId="77777777" w:rsidR="00C15D4D" w:rsidRDefault="00C15D4D" w:rsidP="0022344D"/>
    <w:p w14:paraId="3D7B0526" w14:textId="77777777" w:rsidR="00C15D4D" w:rsidRDefault="00C15D4D" w:rsidP="0022344D"/>
    <w:p w14:paraId="33816A0F" w14:textId="77777777" w:rsidR="00C15D4D" w:rsidRDefault="00C15D4D" w:rsidP="0022344D"/>
    <w:p w14:paraId="06CE8078" w14:textId="77777777" w:rsidR="00C15D4D" w:rsidRDefault="00C15D4D" w:rsidP="0022344D"/>
    <w:p w14:paraId="3B2325DB" w14:textId="77777777" w:rsidR="00C15D4D" w:rsidRDefault="00C15D4D" w:rsidP="0022344D"/>
    <w:p w14:paraId="4E70071E" w14:textId="77777777" w:rsidR="00C15D4D" w:rsidRDefault="00C15D4D" w:rsidP="0022344D"/>
    <w:p w14:paraId="3ACDEB75" w14:textId="77777777" w:rsidR="00C15D4D" w:rsidRDefault="00C15D4D" w:rsidP="0022344D"/>
    <w:p w14:paraId="08CEAE04" w14:textId="77777777" w:rsidR="00C15D4D" w:rsidRDefault="00C15D4D" w:rsidP="0022344D"/>
    <w:p w14:paraId="7BF68001" w14:textId="77777777" w:rsidR="00C15D4D" w:rsidRDefault="00C15D4D" w:rsidP="0022344D"/>
    <w:p w14:paraId="3A999B2D" w14:textId="77777777" w:rsidR="00C15D4D" w:rsidRDefault="00C15D4D" w:rsidP="0022344D"/>
    <w:p w14:paraId="31E2EE15" w14:textId="77777777" w:rsidR="00C15D4D" w:rsidRDefault="00C15D4D" w:rsidP="0022344D"/>
    <w:p w14:paraId="69D46236" w14:textId="77777777" w:rsidR="00C15D4D" w:rsidRDefault="00C15D4D" w:rsidP="0022344D"/>
    <w:p w14:paraId="13C88F81" w14:textId="77777777" w:rsidR="00C15D4D" w:rsidRDefault="00C15D4D" w:rsidP="0022344D"/>
    <w:p w14:paraId="10361232" w14:textId="77777777" w:rsidR="00C15D4D" w:rsidRDefault="00C15D4D" w:rsidP="0022344D"/>
    <w:p w14:paraId="0564C2D6" w14:textId="77777777" w:rsidR="00C15D4D" w:rsidRDefault="00C15D4D" w:rsidP="0022344D"/>
    <w:p w14:paraId="059347D7" w14:textId="77777777" w:rsidR="00C15D4D" w:rsidRDefault="00C15D4D" w:rsidP="0022344D"/>
    <w:p w14:paraId="7E37AA24" w14:textId="77777777" w:rsidR="00C15D4D" w:rsidRDefault="00C15D4D" w:rsidP="0022344D"/>
    <w:p w14:paraId="38871945" w14:textId="77777777" w:rsidR="00C15D4D" w:rsidRDefault="00C15D4D" w:rsidP="0022344D"/>
    <w:p w14:paraId="31E13F03" w14:textId="77777777" w:rsidR="00C15D4D" w:rsidRDefault="00C15D4D" w:rsidP="0022344D"/>
    <w:p w14:paraId="293B32DA" w14:textId="77777777" w:rsidR="00C15D4D" w:rsidRDefault="00C15D4D" w:rsidP="0022344D"/>
    <w:p w14:paraId="5F1AAA16" w14:textId="77777777" w:rsidR="00C15D4D" w:rsidRDefault="00C15D4D" w:rsidP="0022344D"/>
    <w:p w14:paraId="1CFC067B" w14:textId="77777777" w:rsidR="00C15D4D" w:rsidRDefault="00C15D4D" w:rsidP="0022344D"/>
    <w:p w14:paraId="0B915329" w14:textId="77777777" w:rsidR="00C15D4D" w:rsidRDefault="00C15D4D" w:rsidP="0022344D"/>
    <w:p w14:paraId="61300164" w14:textId="77777777" w:rsidR="00C15D4D" w:rsidRDefault="00C15D4D" w:rsidP="0022344D"/>
    <w:p w14:paraId="09B24DB2" w14:textId="77777777" w:rsidR="00C15D4D" w:rsidRDefault="00C15D4D" w:rsidP="0022344D"/>
    <w:p w14:paraId="185B5C84" w14:textId="77777777" w:rsidR="00C15D4D" w:rsidRDefault="00C15D4D" w:rsidP="0022344D"/>
    <w:p w14:paraId="03F8E5EF" w14:textId="77777777" w:rsidR="00C15D4D" w:rsidRDefault="00C15D4D" w:rsidP="0022344D"/>
    <w:p w14:paraId="7E99BB37" w14:textId="77777777" w:rsidR="00C15D4D" w:rsidRDefault="00C15D4D" w:rsidP="0022344D"/>
    <w:p w14:paraId="6AB0326D" w14:textId="77777777" w:rsidR="00C15D4D" w:rsidRDefault="00C15D4D" w:rsidP="0022344D"/>
    <w:p w14:paraId="048B6CC6" w14:textId="77777777" w:rsidR="00C15D4D" w:rsidRDefault="00C15D4D" w:rsidP="0022344D"/>
    <w:p w14:paraId="73D88DFE" w14:textId="77777777" w:rsidR="00C15D4D" w:rsidRDefault="00C15D4D" w:rsidP="0022344D"/>
    <w:p w14:paraId="55CC2D9A" w14:textId="77777777" w:rsidR="00C15D4D" w:rsidRDefault="00C15D4D" w:rsidP="0022344D"/>
    <w:p w14:paraId="14FE4F2E" w14:textId="77777777" w:rsidR="00C15D4D" w:rsidRDefault="00C15D4D" w:rsidP="0022344D"/>
    <w:p w14:paraId="7B305034" w14:textId="77777777" w:rsidR="00C15D4D" w:rsidRDefault="00C15D4D" w:rsidP="0022344D"/>
    <w:p w14:paraId="0781D973" w14:textId="77777777" w:rsidR="00C15D4D" w:rsidRDefault="00C15D4D" w:rsidP="0022344D"/>
    <w:p w14:paraId="1B7FBC50" w14:textId="77777777" w:rsidR="00C15D4D" w:rsidRDefault="00C15D4D" w:rsidP="0022344D"/>
    <w:p w14:paraId="0E6810FF" w14:textId="77777777" w:rsidR="00C15D4D" w:rsidRDefault="00C15D4D" w:rsidP="0022344D"/>
    <w:p w14:paraId="4960C880" w14:textId="77777777" w:rsidR="00C15D4D" w:rsidRDefault="00C15D4D" w:rsidP="0022344D"/>
    <w:p w14:paraId="20F8A361" w14:textId="77777777" w:rsidR="00C15D4D" w:rsidRDefault="00C15D4D" w:rsidP="0022344D"/>
    <w:p w14:paraId="7DA081A6" w14:textId="77777777" w:rsidR="00C15D4D" w:rsidRDefault="00C15D4D" w:rsidP="0022344D"/>
    <w:p w14:paraId="119AAD1A" w14:textId="77777777" w:rsidR="00C15D4D" w:rsidRDefault="00C15D4D" w:rsidP="0022344D"/>
    <w:p w14:paraId="75EF7238" w14:textId="77777777" w:rsidR="00C15D4D" w:rsidRDefault="00C15D4D" w:rsidP="0022344D"/>
    <w:p w14:paraId="7DFDBBE3" w14:textId="77777777" w:rsidR="00C15D4D" w:rsidRDefault="00C15D4D" w:rsidP="0022344D"/>
    <w:p w14:paraId="0A1DE2E3" w14:textId="77777777" w:rsidR="00C15D4D" w:rsidRDefault="00C15D4D" w:rsidP="0022344D"/>
    <w:p w14:paraId="3795D5D6" w14:textId="77777777" w:rsidR="00C15D4D" w:rsidRDefault="00C15D4D" w:rsidP="0022344D"/>
    <w:p w14:paraId="0A395580" w14:textId="77777777" w:rsidR="00C15D4D" w:rsidRDefault="00C15D4D" w:rsidP="0022344D"/>
    <w:p w14:paraId="5491D269" w14:textId="77777777" w:rsidR="00C15D4D" w:rsidRDefault="00C15D4D" w:rsidP="0022344D"/>
    <w:p w14:paraId="7941E7D9" w14:textId="77777777" w:rsidR="00C15D4D" w:rsidRDefault="00C15D4D" w:rsidP="0022344D"/>
    <w:p w14:paraId="70686AA3" w14:textId="77777777" w:rsidR="00C15D4D" w:rsidRDefault="00C15D4D" w:rsidP="0022344D"/>
    <w:p w14:paraId="70CFE453" w14:textId="77777777" w:rsidR="00C15D4D" w:rsidRDefault="00C15D4D" w:rsidP="0022344D"/>
    <w:p w14:paraId="727740C1" w14:textId="77777777" w:rsidR="00C15D4D" w:rsidRDefault="00C15D4D" w:rsidP="0022344D"/>
    <w:p w14:paraId="63FC2F03" w14:textId="77777777" w:rsidR="00C15D4D" w:rsidRDefault="00C15D4D" w:rsidP="0022344D"/>
    <w:p w14:paraId="5CA46C84" w14:textId="77777777" w:rsidR="00C15D4D" w:rsidRDefault="00C15D4D" w:rsidP="0022344D"/>
    <w:p w14:paraId="2AE3E968" w14:textId="77777777" w:rsidR="00C15D4D" w:rsidRDefault="00C15D4D" w:rsidP="0022344D"/>
    <w:p w14:paraId="047E1260" w14:textId="77777777" w:rsidR="00C15D4D" w:rsidRDefault="00C15D4D" w:rsidP="0022344D"/>
    <w:p w14:paraId="7393AD4F" w14:textId="77777777" w:rsidR="00C15D4D" w:rsidRDefault="00C15D4D" w:rsidP="0022344D"/>
    <w:p w14:paraId="036CB7FF" w14:textId="77777777" w:rsidR="00C15D4D" w:rsidRDefault="00C15D4D" w:rsidP="0022344D"/>
    <w:p w14:paraId="7CDB74B2" w14:textId="77777777" w:rsidR="00C15D4D" w:rsidRDefault="00C15D4D" w:rsidP="0022344D"/>
    <w:p w14:paraId="0A18C050" w14:textId="77777777" w:rsidR="00C15D4D" w:rsidRDefault="00C15D4D" w:rsidP="0022344D"/>
    <w:p w14:paraId="7296630C" w14:textId="77777777" w:rsidR="00C15D4D" w:rsidRDefault="00C15D4D" w:rsidP="0022344D"/>
    <w:p w14:paraId="0E62C716" w14:textId="77777777" w:rsidR="00C15D4D" w:rsidRDefault="00C15D4D" w:rsidP="0022344D"/>
    <w:p w14:paraId="7E7C570D" w14:textId="77777777" w:rsidR="00C15D4D" w:rsidRDefault="00C15D4D" w:rsidP="0022344D"/>
    <w:p w14:paraId="0324998B" w14:textId="77777777" w:rsidR="00C15D4D" w:rsidRDefault="00C15D4D" w:rsidP="0022344D"/>
    <w:p w14:paraId="2E231AE0" w14:textId="77777777" w:rsidR="00C15D4D" w:rsidRDefault="00C15D4D" w:rsidP="0022344D"/>
    <w:p w14:paraId="13CAD1C1" w14:textId="77777777" w:rsidR="00C15D4D" w:rsidRDefault="00C15D4D" w:rsidP="0022344D"/>
    <w:p w14:paraId="66DDA371" w14:textId="77777777" w:rsidR="00C15D4D" w:rsidRDefault="00C15D4D" w:rsidP="0022344D"/>
    <w:p w14:paraId="5FD40715" w14:textId="77777777" w:rsidR="00C15D4D" w:rsidRDefault="00C15D4D" w:rsidP="0022344D"/>
    <w:p w14:paraId="64209315" w14:textId="77777777" w:rsidR="00C15D4D" w:rsidRDefault="00C15D4D" w:rsidP="0022344D"/>
    <w:p w14:paraId="50B78064" w14:textId="77777777" w:rsidR="00C15D4D" w:rsidRDefault="00C15D4D" w:rsidP="0022344D"/>
    <w:p w14:paraId="2AC56E85" w14:textId="77777777" w:rsidR="00C15D4D" w:rsidRDefault="00C15D4D" w:rsidP="0022344D"/>
    <w:p w14:paraId="732DB742" w14:textId="77777777" w:rsidR="00C15D4D" w:rsidRDefault="00C15D4D"/>
    <w:p w14:paraId="3BDC621A" w14:textId="77777777" w:rsidR="00C15D4D" w:rsidRDefault="00C15D4D"/>
    <w:p w14:paraId="10AC547E" w14:textId="77777777" w:rsidR="00C15D4D" w:rsidRDefault="00C15D4D"/>
    <w:p w14:paraId="3E321F78" w14:textId="77777777" w:rsidR="00C15D4D" w:rsidRDefault="00C15D4D" w:rsidP="009346D0"/>
    <w:p w14:paraId="23EE1331" w14:textId="77777777" w:rsidR="00C15D4D" w:rsidRDefault="00C15D4D"/>
    <w:p w14:paraId="7F62F50C" w14:textId="77777777" w:rsidR="00C15D4D" w:rsidRDefault="00C15D4D" w:rsidP="00AB1685"/>
    <w:p w14:paraId="125FBAAF" w14:textId="77777777" w:rsidR="00C15D4D" w:rsidRDefault="00C15D4D"/>
  </w:endnote>
  <w:endnote w:type="continuationSeparator" w:id="0">
    <w:p w14:paraId="1EF2E65D" w14:textId="77777777" w:rsidR="00C15D4D" w:rsidRDefault="00C15D4D" w:rsidP="0022344D">
      <w:r>
        <w:continuationSeparator/>
      </w:r>
    </w:p>
    <w:p w14:paraId="677C365B" w14:textId="77777777" w:rsidR="00C15D4D" w:rsidRDefault="00C15D4D" w:rsidP="0022344D"/>
    <w:p w14:paraId="233E2038" w14:textId="77777777" w:rsidR="00C15D4D" w:rsidRDefault="00C15D4D" w:rsidP="0022344D"/>
    <w:p w14:paraId="2166D20C" w14:textId="77777777" w:rsidR="00C15D4D" w:rsidRDefault="00C15D4D" w:rsidP="0022344D"/>
    <w:p w14:paraId="0094D7B3" w14:textId="77777777" w:rsidR="00C15D4D" w:rsidRDefault="00C15D4D" w:rsidP="0022344D"/>
    <w:p w14:paraId="6923B07D" w14:textId="77777777" w:rsidR="00C15D4D" w:rsidRDefault="00C15D4D" w:rsidP="0022344D"/>
    <w:p w14:paraId="193689AC" w14:textId="77777777" w:rsidR="00C15D4D" w:rsidRDefault="00C15D4D" w:rsidP="0022344D"/>
    <w:p w14:paraId="5C4C5DC1" w14:textId="77777777" w:rsidR="00C15D4D" w:rsidRDefault="00C15D4D" w:rsidP="0022344D"/>
    <w:p w14:paraId="78B59FE2" w14:textId="77777777" w:rsidR="00C15D4D" w:rsidRDefault="00C15D4D" w:rsidP="0022344D"/>
    <w:p w14:paraId="6AC39B15" w14:textId="77777777" w:rsidR="00C15D4D" w:rsidRDefault="00C15D4D" w:rsidP="0022344D"/>
    <w:p w14:paraId="6D2169BD" w14:textId="77777777" w:rsidR="00C15D4D" w:rsidRDefault="00C15D4D" w:rsidP="0022344D"/>
    <w:p w14:paraId="35E27431" w14:textId="77777777" w:rsidR="00C15D4D" w:rsidRDefault="00C15D4D" w:rsidP="0022344D"/>
    <w:p w14:paraId="4B905172" w14:textId="77777777" w:rsidR="00C15D4D" w:rsidRDefault="00C15D4D" w:rsidP="0022344D"/>
    <w:p w14:paraId="7A914D7D" w14:textId="77777777" w:rsidR="00C15D4D" w:rsidRDefault="00C15D4D" w:rsidP="0022344D"/>
    <w:p w14:paraId="3356B4C3" w14:textId="77777777" w:rsidR="00C15D4D" w:rsidRDefault="00C15D4D" w:rsidP="0022344D"/>
    <w:p w14:paraId="20617C87" w14:textId="77777777" w:rsidR="00C15D4D" w:rsidRDefault="00C15D4D" w:rsidP="0022344D"/>
    <w:p w14:paraId="56F2F8CB" w14:textId="77777777" w:rsidR="00C15D4D" w:rsidRDefault="00C15D4D" w:rsidP="0022344D"/>
    <w:p w14:paraId="423F74F7" w14:textId="77777777" w:rsidR="00C15D4D" w:rsidRDefault="00C15D4D" w:rsidP="0022344D"/>
    <w:p w14:paraId="1776ECD1" w14:textId="77777777" w:rsidR="00C15D4D" w:rsidRDefault="00C15D4D" w:rsidP="0022344D"/>
    <w:p w14:paraId="4867D389" w14:textId="77777777" w:rsidR="00C15D4D" w:rsidRDefault="00C15D4D" w:rsidP="0022344D"/>
    <w:p w14:paraId="522AFECB" w14:textId="77777777" w:rsidR="00C15D4D" w:rsidRDefault="00C15D4D" w:rsidP="0022344D"/>
    <w:p w14:paraId="567D8B49" w14:textId="77777777" w:rsidR="00C15D4D" w:rsidRDefault="00C15D4D" w:rsidP="0022344D"/>
    <w:p w14:paraId="29554BAF" w14:textId="77777777" w:rsidR="00C15D4D" w:rsidRDefault="00C15D4D" w:rsidP="0022344D"/>
    <w:p w14:paraId="48453C16" w14:textId="77777777" w:rsidR="00C15D4D" w:rsidRDefault="00C15D4D" w:rsidP="0022344D"/>
    <w:p w14:paraId="231EE4B9" w14:textId="77777777" w:rsidR="00C15D4D" w:rsidRDefault="00C15D4D" w:rsidP="0022344D"/>
    <w:p w14:paraId="733940AE" w14:textId="77777777" w:rsidR="00C15D4D" w:rsidRDefault="00C15D4D" w:rsidP="0022344D"/>
    <w:p w14:paraId="76734B3E" w14:textId="77777777" w:rsidR="00C15D4D" w:rsidRDefault="00C15D4D" w:rsidP="0022344D"/>
    <w:p w14:paraId="401A896D" w14:textId="77777777" w:rsidR="00C15D4D" w:rsidRDefault="00C15D4D" w:rsidP="0022344D"/>
    <w:p w14:paraId="5516F6D5" w14:textId="77777777" w:rsidR="00C15D4D" w:rsidRDefault="00C15D4D" w:rsidP="0022344D"/>
    <w:p w14:paraId="6D083A38" w14:textId="77777777" w:rsidR="00C15D4D" w:rsidRDefault="00C15D4D" w:rsidP="0022344D"/>
    <w:p w14:paraId="6FAE654F" w14:textId="77777777" w:rsidR="00C15D4D" w:rsidRDefault="00C15D4D" w:rsidP="0022344D"/>
    <w:p w14:paraId="1071885B" w14:textId="77777777" w:rsidR="00C15D4D" w:rsidRDefault="00C15D4D" w:rsidP="0022344D"/>
    <w:p w14:paraId="6E88B9E3" w14:textId="77777777" w:rsidR="00C15D4D" w:rsidRDefault="00C15D4D" w:rsidP="0022344D"/>
    <w:p w14:paraId="0E502777" w14:textId="77777777" w:rsidR="00C15D4D" w:rsidRDefault="00C15D4D" w:rsidP="0022344D"/>
    <w:p w14:paraId="3406A638" w14:textId="77777777" w:rsidR="00C15D4D" w:rsidRDefault="00C15D4D" w:rsidP="0022344D"/>
    <w:p w14:paraId="7E238FB3" w14:textId="77777777" w:rsidR="00C15D4D" w:rsidRDefault="00C15D4D" w:rsidP="0022344D"/>
    <w:p w14:paraId="354CD2AB" w14:textId="77777777" w:rsidR="00C15D4D" w:rsidRDefault="00C15D4D" w:rsidP="0022344D"/>
    <w:p w14:paraId="5F3AC1B6" w14:textId="77777777" w:rsidR="00C15D4D" w:rsidRDefault="00C15D4D" w:rsidP="0022344D"/>
    <w:p w14:paraId="6C2649EB" w14:textId="77777777" w:rsidR="00C15D4D" w:rsidRDefault="00C15D4D" w:rsidP="0022344D"/>
    <w:p w14:paraId="13EE9E4E" w14:textId="77777777" w:rsidR="00C15D4D" w:rsidRDefault="00C15D4D" w:rsidP="0022344D"/>
    <w:p w14:paraId="443BD966" w14:textId="77777777" w:rsidR="00C15D4D" w:rsidRDefault="00C15D4D" w:rsidP="0022344D"/>
    <w:p w14:paraId="470FE756" w14:textId="77777777" w:rsidR="00C15D4D" w:rsidRDefault="00C15D4D" w:rsidP="0022344D"/>
    <w:p w14:paraId="482A9A72" w14:textId="77777777" w:rsidR="00C15D4D" w:rsidRDefault="00C15D4D" w:rsidP="0022344D"/>
    <w:p w14:paraId="2573D6D7" w14:textId="77777777" w:rsidR="00C15D4D" w:rsidRDefault="00C15D4D" w:rsidP="0022344D"/>
    <w:p w14:paraId="6805BE42" w14:textId="77777777" w:rsidR="00C15D4D" w:rsidRDefault="00C15D4D" w:rsidP="0022344D"/>
    <w:p w14:paraId="3F60E71B" w14:textId="77777777" w:rsidR="00C15D4D" w:rsidRDefault="00C15D4D" w:rsidP="0022344D"/>
    <w:p w14:paraId="038EDDB0" w14:textId="77777777" w:rsidR="00C15D4D" w:rsidRDefault="00C15D4D" w:rsidP="0022344D"/>
    <w:p w14:paraId="1ADB6B7A" w14:textId="77777777" w:rsidR="00C15D4D" w:rsidRDefault="00C15D4D" w:rsidP="0022344D"/>
    <w:p w14:paraId="6EB6E62F" w14:textId="77777777" w:rsidR="00C15D4D" w:rsidRDefault="00C15D4D" w:rsidP="0022344D"/>
    <w:p w14:paraId="79A9821F" w14:textId="77777777" w:rsidR="00C15D4D" w:rsidRDefault="00C15D4D" w:rsidP="0022344D"/>
    <w:p w14:paraId="76F1D293" w14:textId="77777777" w:rsidR="00C15D4D" w:rsidRDefault="00C15D4D" w:rsidP="0022344D"/>
    <w:p w14:paraId="36284039" w14:textId="77777777" w:rsidR="00C15D4D" w:rsidRDefault="00C15D4D" w:rsidP="0022344D"/>
    <w:p w14:paraId="4134970F" w14:textId="77777777" w:rsidR="00C15D4D" w:rsidRDefault="00C15D4D" w:rsidP="0022344D"/>
    <w:p w14:paraId="1993F7D0" w14:textId="77777777" w:rsidR="00C15D4D" w:rsidRDefault="00C15D4D" w:rsidP="0022344D"/>
    <w:p w14:paraId="5C96A67A" w14:textId="77777777" w:rsidR="00C15D4D" w:rsidRDefault="00C15D4D" w:rsidP="0022344D"/>
    <w:p w14:paraId="1A7D6DD7" w14:textId="77777777" w:rsidR="00C15D4D" w:rsidRDefault="00C15D4D" w:rsidP="0022344D"/>
    <w:p w14:paraId="58EB8A93" w14:textId="77777777" w:rsidR="00C15D4D" w:rsidRDefault="00C15D4D" w:rsidP="0022344D"/>
    <w:p w14:paraId="5F300F74" w14:textId="77777777" w:rsidR="00C15D4D" w:rsidRDefault="00C15D4D" w:rsidP="0022344D"/>
    <w:p w14:paraId="51CDBE1D" w14:textId="77777777" w:rsidR="00C15D4D" w:rsidRDefault="00C15D4D" w:rsidP="0022344D"/>
    <w:p w14:paraId="5D034ABB" w14:textId="77777777" w:rsidR="00C15D4D" w:rsidRDefault="00C15D4D" w:rsidP="0022344D"/>
    <w:p w14:paraId="6256CCDC" w14:textId="77777777" w:rsidR="00C15D4D" w:rsidRDefault="00C15D4D" w:rsidP="0022344D"/>
    <w:p w14:paraId="36FE0776" w14:textId="77777777" w:rsidR="00C15D4D" w:rsidRDefault="00C15D4D" w:rsidP="0022344D"/>
    <w:p w14:paraId="4A711727" w14:textId="77777777" w:rsidR="00C15D4D" w:rsidRDefault="00C15D4D" w:rsidP="0022344D"/>
    <w:p w14:paraId="6F921279" w14:textId="77777777" w:rsidR="00C15D4D" w:rsidRDefault="00C15D4D" w:rsidP="0022344D"/>
    <w:p w14:paraId="51DBADF5" w14:textId="77777777" w:rsidR="00C15D4D" w:rsidRDefault="00C15D4D" w:rsidP="0022344D"/>
    <w:p w14:paraId="73AD6F89" w14:textId="77777777" w:rsidR="00C15D4D" w:rsidRDefault="00C15D4D" w:rsidP="0022344D"/>
    <w:p w14:paraId="5F9CCB4F" w14:textId="77777777" w:rsidR="00C15D4D" w:rsidRDefault="00C15D4D" w:rsidP="0022344D"/>
    <w:p w14:paraId="1D308F4F" w14:textId="77777777" w:rsidR="00C15D4D" w:rsidRDefault="00C15D4D" w:rsidP="0022344D"/>
    <w:p w14:paraId="6AF69BF8" w14:textId="77777777" w:rsidR="00C15D4D" w:rsidRDefault="00C15D4D" w:rsidP="0022344D"/>
    <w:p w14:paraId="11CA63DF" w14:textId="77777777" w:rsidR="00C15D4D" w:rsidRDefault="00C15D4D" w:rsidP="0022344D"/>
    <w:p w14:paraId="1C660F59" w14:textId="77777777" w:rsidR="00C15D4D" w:rsidRDefault="00C15D4D" w:rsidP="0022344D"/>
    <w:p w14:paraId="126778B1" w14:textId="77777777" w:rsidR="00C15D4D" w:rsidRDefault="00C15D4D" w:rsidP="0022344D"/>
    <w:p w14:paraId="268DC9FC" w14:textId="77777777" w:rsidR="00C15D4D" w:rsidRDefault="00C15D4D" w:rsidP="0022344D"/>
    <w:p w14:paraId="288A9E6B" w14:textId="77777777" w:rsidR="00C15D4D" w:rsidRDefault="00C15D4D" w:rsidP="0022344D"/>
    <w:p w14:paraId="68EC287D" w14:textId="77777777" w:rsidR="00C15D4D" w:rsidRDefault="00C15D4D"/>
    <w:p w14:paraId="46DA3766" w14:textId="77777777" w:rsidR="00C15D4D" w:rsidRDefault="00C15D4D"/>
    <w:p w14:paraId="3C8C24CA" w14:textId="77777777" w:rsidR="00C15D4D" w:rsidRDefault="00C15D4D"/>
    <w:p w14:paraId="676C1FF7" w14:textId="77777777" w:rsidR="00C15D4D" w:rsidRDefault="00C15D4D" w:rsidP="009346D0"/>
    <w:p w14:paraId="3A13249E" w14:textId="77777777" w:rsidR="00C15D4D" w:rsidRDefault="00C15D4D"/>
    <w:p w14:paraId="0B708BBB" w14:textId="77777777" w:rsidR="00C15D4D" w:rsidRDefault="00C15D4D" w:rsidP="00AB1685"/>
    <w:p w14:paraId="77AD3F99" w14:textId="77777777" w:rsidR="00C15D4D" w:rsidRDefault="00C15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650901"/>
      <w:docPartObj>
        <w:docPartGallery w:val="Page Numbers (Bottom of Page)"/>
        <w:docPartUnique/>
      </w:docPartObj>
    </w:sdtPr>
    <w:sdtEndPr>
      <w:rPr>
        <w:noProof/>
      </w:rPr>
    </w:sdtEndPr>
    <w:sdtContent>
      <w:p w14:paraId="2AD3D9F4" w14:textId="45604E0C" w:rsidR="008C6DDB" w:rsidRPr="00586362" w:rsidRDefault="008C6DDB" w:rsidP="0022344D">
        <w:pPr>
          <w:pStyle w:val="Footer"/>
        </w:pPr>
        <w:r w:rsidRPr="00586362">
          <w:fldChar w:fldCharType="begin"/>
        </w:r>
        <w:r w:rsidRPr="00586362">
          <w:instrText xml:space="preserve"> PAGE   \* MERGEFORMAT </w:instrText>
        </w:r>
        <w:r w:rsidRPr="00586362">
          <w:fldChar w:fldCharType="separate"/>
        </w:r>
        <w:r w:rsidR="00EE7163">
          <w:rPr>
            <w:noProof/>
          </w:rPr>
          <w:t>4</w:t>
        </w:r>
        <w:r w:rsidRPr="00586362">
          <w:rPr>
            <w:noProof/>
          </w:rPr>
          <w:fldChar w:fldCharType="end"/>
        </w:r>
        <w:r w:rsidRPr="00586362">
          <w:rPr>
            <w:noProof/>
          </w:rPr>
          <w:t xml:space="preserve">    </w:t>
        </w:r>
        <w:r w:rsidRPr="00586362">
          <w:rPr>
            <w:b/>
          </w:rPr>
          <w:t>Elering AS</w:t>
        </w:r>
        <w:r w:rsidRPr="00586362">
          <w:t xml:space="preserve"> | Laki 24, 12915 Tallinn, Estonia | </w:t>
        </w:r>
        <w:r w:rsidRPr="00586362">
          <w:rPr>
            <w:noProof/>
          </w:rPr>
          <w:drawing>
            <wp:inline distT="0" distB="0" distL="0" distR="0" wp14:anchorId="2120235C" wp14:editId="68F9528B">
              <wp:extent cx="69215" cy="86360"/>
              <wp:effectExtent l="0" t="0" r="698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t xml:space="preserve"> + 372 715 1222 | www.elering.ee | </w:t>
        </w:r>
        <w:r>
          <w:t>Ametlik e-post</w:t>
        </w:r>
        <w:r w:rsidRPr="00586362">
          <w:t>: info@elering.ee</w:t>
        </w:r>
      </w:p>
      <w:p w14:paraId="06CDD2E4" w14:textId="4786B0B5" w:rsidR="008C6DDB" w:rsidRPr="00EB0393" w:rsidRDefault="008C6DDB" w:rsidP="0022344D">
        <w:pPr>
          <w:pStyle w:val="Footer"/>
        </w:pPr>
        <w:r w:rsidRPr="00EB0393">
          <w:t xml:space="preserve">     </w:t>
        </w:r>
        <w:r>
          <w:t xml:space="preserve"> </w:t>
        </w:r>
      </w:p>
      <w:p w14:paraId="6C03B591" w14:textId="3C61C28F" w:rsidR="008C6DDB" w:rsidRDefault="00C15D4D" w:rsidP="0022344D">
        <w:pPr>
          <w:pStyle w:val="Footer"/>
        </w:pPr>
      </w:p>
    </w:sdtContent>
  </w:sdt>
  <w:p w14:paraId="52FDBFFC" w14:textId="17F8B18B" w:rsidR="008C6DDB" w:rsidRPr="00E43D13" w:rsidRDefault="008C6DDB" w:rsidP="0022344D">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D6880" w14:textId="77777777" w:rsidR="00C15D4D" w:rsidRDefault="00C15D4D" w:rsidP="0022344D">
      <w:r>
        <w:separator/>
      </w:r>
    </w:p>
    <w:p w14:paraId="6AEEC193" w14:textId="77777777" w:rsidR="00C15D4D" w:rsidRDefault="00C15D4D" w:rsidP="0022344D"/>
    <w:p w14:paraId="648524C1" w14:textId="77777777" w:rsidR="00C15D4D" w:rsidRDefault="00C15D4D" w:rsidP="0022344D"/>
    <w:p w14:paraId="62DFDFCB" w14:textId="77777777" w:rsidR="00C15D4D" w:rsidRDefault="00C15D4D" w:rsidP="0022344D"/>
    <w:p w14:paraId="41996D3A" w14:textId="77777777" w:rsidR="00C15D4D" w:rsidRDefault="00C15D4D" w:rsidP="0022344D"/>
    <w:p w14:paraId="360014ED" w14:textId="77777777" w:rsidR="00C15D4D" w:rsidRDefault="00C15D4D" w:rsidP="0022344D"/>
    <w:p w14:paraId="3C2F8D2F" w14:textId="77777777" w:rsidR="00C15D4D" w:rsidRDefault="00C15D4D" w:rsidP="0022344D"/>
    <w:p w14:paraId="074809B0" w14:textId="77777777" w:rsidR="00C15D4D" w:rsidRDefault="00C15D4D" w:rsidP="0022344D"/>
    <w:p w14:paraId="71A84E98" w14:textId="77777777" w:rsidR="00C15D4D" w:rsidRDefault="00C15D4D" w:rsidP="0022344D"/>
    <w:p w14:paraId="60DC1D1F" w14:textId="77777777" w:rsidR="00C15D4D" w:rsidRDefault="00C15D4D" w:rsidP="0022344D"/>
    <w:p w14:paraId="77560A7F" w14:textId="77777777" w:rsidR="00C15D4D" w:rsidRDefault="00C15D4D" w:rsidP="0022344D"/>
    <w:p w14:paraId="3ADD9AFB" w14:textId="77777777" w:rsidR="00C15D4D" w:rsidRDefault="00C15D4D" w:rsidP="0022344D"/>
    <w:p w14:paraId="628F57F0" w14:textId="77777777" w:rsidR="00C15D4D" w:rsidRDefault="00C15D4D" w:rsidP="0022344D"/>
    <w:p w14:paraId="302D7A57" w14:textId="77777777" w:rsidR="00C15D4D" w:rsidRDefault="00C15D4D" w:rsidP="0022344D"/>
    <w:p w14:paraId="5BBB2183" w14:textId="77777777" w:rsidR="00C15D4D" w:rsidRDefault="00C15D4D" w:rsidP="0022344D"/>
    <w:p w14:paraId="35018A7D" w14:textId="77777777" w:rsidR="00C15D4D" w:rsidRDefault="00C15D4D" w:rsidP="0022344D"/>
    <w:p w14:paraId="172AA678" w14:textId="77777777" w:rsidR="00C15D4D" w:rsidRDefault="00C15D4D" w:rsidP="0022344D"/>
    <w:p w14:paraId="5A4100E4" w14:textId="77777777" w:rsidR="00C15D4D" w:rsidRDefault="00C15D4D" w:rsidP="0022344D"/>
    <w:p w14:paraId="0ACC069E" w14:textId="77777777" w:rsidR="00C15D4D" w:rsidRDefault="00C15D4D" w:rsidP="0022344D"/>
    <w:p w14:paraId="5026A26E" w14:textId="77777777" w:rsidR="00C15D4D" w:rsidRDefault="00C15D4D" w:rsidP="0022344D"/>
    <w:p w14:paraId="7532374A" w14:textId="77777777" w:rsidR="00C15D4D" w:rsidRDefault="00C15D4D" w:rsidP="0022344D"/>
    <w:p w14:paraId="22801037" w14:textId="77777777" w:rsidR="00C15D4D" w:rsidRDefault="00C15D4D" w:rsidP="0022344D"/>
    <w:p w14:paraId="25FACB0D" w14:textId="77777777" w:rsidR="00C15D4D" w:rsidRDefault="00C15D4D" w:rsidP="0022344D"/>
    <w:p w14:paraId="214C66A0" w14:textId="77777777" w:rsidR="00C15D4D" w:rsidRDefault="00C15D4D" w:rsidP="0022344D"/>
    <w:p w14:paraId="0B09C4BF" w14:textId="77777777" w:rsidR="00C15D4D" w:rsidRDefault="00C15D4D" w:rsidP="0022344D"/>
    <w:p w14:paraId="10CD84D8" w14:textId="77777777" w:rsidR="00C15D4D" w:rsidRDefault="00C15D4D" w:rsidP="0022344D"/>
    <w:p w14:paraId="376E0173" w14:textId="77777777" w:rsidR="00C15D4D" w:rsidRDefault="00C15D4D" w:rsidP="0022344D"/>
    <w:p w14:paraId="123A6E59" w14:textId="77777777" w:rsidR="00C15D4D" w:rsidRDefault="00C15D4D" w:rsidP="0022344D"/>
    <w:p w14:paraId="66A81071" w14:textId="77777777" w:rsidR="00C15D4D" w:rsidRDefault="00C15D4D" w:rsidP="0022344D"/>
    <w:p w14:paraId="588B9D29" w14:textId="77777777" w:rsidR="00C15D4D" w:rsidRDefault="00C15D4D" w:rsidP="0022344D"/>
    <w:p w14:paraId="7F190D20" w14:textId="77777777" w:rsidR="00C15D4D" w:rsidRDefault="00C15D4D" w:rsidP="0022344D"/>
    <w:p w14:paraId="7F197FA7" w14:textId="77777777" w:rsidR="00C15D4D" w:rsidRDefault="00C15D4D" w:rsidP="0022344D"/>
    <w:p w14:paraId="104333C4" w14:textId="77777777" w:rsidR="00C15D4D" w:rsidRDefault="00C15D4D" w:rsidP="0022344D"/>
    <w:p w14:paraId="7D2590AF" w14:textId="77777777" w:rsidR="00C15D4D" w:rsidRDefault="00C15D4D" w:rsidP="0022344D"/>
    <w:p w14:paraId="252C8967" w14:textId="77777777" w:rsidR="00C15D4D" w:rsidRDefault="00C15D4D" w:rsidP="0022344D"/>
    <w:p w14:paraId="38A009C3" w14:textId="77777777" w:rsidR="00C15D4D" w:rsidRDefault="00C15D4D" w:rsidP="0022344D"/>
    <w:p w14:paraId="6EA35368" w14:textId="77777777" w:rsidR="00C15D4D" w:rsidRDefault="00C15D4D" w:rsidP="0022344D"/>
    <w:p w14:paraId="0AC3A742" w14:textId="77777777" w:rsidR="00C15D4D" w:rsidRDefault="00C15D4D" w:rsidP="0022344D"/>
    <w:p w14:paraId="0EF446CD" w14:textId="77777777" w:rsidR="00C15D4D" w:rsidRDefault="00C15D4D" w:rsidP="0022344D"/>
    <w:p w14:paraId="4C4CE650" w14:textId="77777777" w:rsidR="00C15D4D" w:rsidRDefault="00C15D4D" w:rsidP="0022344D"/>
    <w:p w14:paraId="3D2C5B9C" w14:textId="77777777" w:rsidR="00C15D4D" w:rsidRDefault="00C15D4D" w:rsidP="0022344D"/>
    <w:p w14:paraId="69C353A0" w14:textId="77777777" w:rsidR="00C15D4D" w:rsidRDefault="00C15D4D" w:rsidP="0022344D"/>
    <w:p w14:paraId="056C06CE" w14:textId="77777777" w:rsidR="00C15D4D" w:rsidRDefault="00C15D4D" w:rsidP="0022344D"/>
    <w:p w14:paraId="1C4DD2F9" w14:textId="77777777" w:rsidR="00C15D4D" w:rsidRDefault="00C15D4D" w:rsidP="0022344D"/>
    <w:p w14:paraId="70A34E88" w14:textId="77777777" w:rsidR="00C15D4D" w:rsidRDefault="00C15D4D" w:rsidP="0022344D"/>
    <w:p w14:paraId="44089A76" w14:textId="77777777" w:rsidR="00C15D4D" w:rsidRDefault="00C15D4D" w:rsidP="0022344D"/>
    <w:p w14:paraId="191A7FCE" w14:textId="77777777" w:rsidR="00C15D4D" w:rsidRDefault="00C15D4D" w:rsidP="0022344D"/>
    <w:p w14:paraId="28A5BAA2" w14:textId="77777777" w:rsidR="00C15D4D" w:rsidRDefault="00C15D4D" w:rsidP="0022344D"/>
    <w:p w14:paraId="78F5A68D" w14:textId="77777777" w:rsidR="00C15D4D" w:rsidRDefault="00C15D4D" w:rsidP="0022344D"/>
    <w:p w14:paraId="030356ED" w14:textId="77777777" w:rsidR="00C15D4D" w:rsidRDefault="00C15D4D" w:rsidP="0022344D"/>
    <w:p w14:paraId="322A848F" w14:textId="77777777" w:rsidR="00C15D4D" w:rsidRDefault="00C15D4D" w:rsidP="0022344D"/>
    <w:p w14:paraId="242C4037" w14:textId="77777777" w:rsidR="00C15D4D" w:rsidRDefault="00C15D4D" w:rsidP="0022344D"/>
    <w:p w14:paraId="50A8356D" w14:textId="77777777" w:rsidR="00C15D4D" w:rsidRDefault="00C15D4D" w:rsidP="0022344D"/>
    <w:p w14:paraId="60168052" w14:textId="77777777" w:rsidR="00C15D4D" w:rsidRDefault="00C15D4D" w:rsidP="0022344D"/>
    <w:p w14:paraId="5A45AEF1" w14:textId="77777777" w:rsidR="00C15D4D" w:rsidRDefault="00C15D4D" w:rsidP="0022344D"/>
    <w:p w14:paraId="3E5535A2" w14:textId="77777777" w:rsidR="00C15D4D" w:rsidRDefault="00C15D4D" w:rsidP="0022344D"/>
    <w:p w14:paraId="65F758C6" w14:textId="77777777" w:rsidR="00C15D4D" w:rsidRDefault="00C15D4D" w:rsidP="0022344D"/>
    <w:p w14:paraId="5D15845C" w14:textId="77777777" w:rsidR="00C15D4D" w:rsidRDefault="00C15D4D" w:rsidP="0022344D"/>
    <w:p w14:paraId="1D83B4DC" w14:textId="77777777" w:rsidR="00C15D4D" w:rsidRDefault="00C15D4D" w:rsidP="0022344D"/>
    <w:p w14:paraId="60BE23ED" w14:textId="77777777" w:rsidR="00C15D4D" w:rsidRDefault="00C15D4D" w:rsidP="0022344D"/>
    <w:p w14:paraId="79752A4A" w14:textId="77777777" w:rsidR="00C15D4D" w:rsidRDefault="00C15D4D" w:rsidP="0022344D"/>
    <w:p w14:paraId="1EE44801" w14:textId="77777777" w:rsidR="00C15D4D" w:rsidRDefault="00C15D4D" w:rsidP="0022344D"/>
    <w:p w14:paraId="36AB103A" w14:textId="77777777" w:rsidR="00C15D4D" w:rsidRDefault="00C15D4D" w:rsidP="0022344D"/>
    <w:p w14:paraId="5B9A4DF2" w14:textId="77777777" w:rsidR="00C15D4D" w:rsidRDefault="00C15D4D" w:rsidP="0022344D"/>
    <w:p w14:paraId="49AD24B1" w14:textId="77777777" w:rsidR="00C15D4D" w:rsidRDefault="00C15D4D" w:rsidP="0022344D"/>
    <w:p w14:paraId="126563BC" w14:textId="77777777" w:rsidR="00C15D4D" w:rsidRDefault="00C15D4D" w:rsidP="0022344D"/>
    <w:p w14:paraId="56AFD712" w14:textId="77777777" w:rsidR="00C15D4D" w:rsidRDefault="00C15D4D" w:rsidP="0022344D"/>
    <w:p w14:paraId="32DABB16" w14:textId="77777777" w:rsidR="00C15D4D" w:rsidRDefault="00C15D4D" w:rsidP="0022344D"/>
    <w:p w14:paraId="0C4803E7" w14:textId="77777777" w:rsidR="00C15D4D" w:rsidRDefault="00C15D4D" w:rsidP="0022344D"/>
    <w:p w14:paraId="41CA5E47" w14:textId="77777777" w:rsidR="00C15D4D" w:rsidRDefault="00C15D4D" w:rsidP="0022344D"/>
    <w:p w14:paraId="0B8FADD3" w14:textId="77777777" w:rsidR="00C15D4D" w:rsidRDefault="00C15D4D" w:rsidP="0022344D"/>
    <w:p w14:paraId="220C3DF0" w14:textId="77777777" w:rsidR="00C15D4D" w:rsidRDefault="00C15D4D" w:rsidP="0022344D"/>
    <w:p w14:paraId="4AB0E233" w14:textId="77777777" w:rsidR="00C15D4D" w:rsidRDefault="00C15D4D" w:rsidP="0022344D"/>
    <w:p w14:paraId="7EE29956" w14:textId="77777777" w:rsidR="00C15D4D" w:rsidRDefault="00C15D4D" w:rsidP="0022344D"/>
    <w:p w14:paraId="56217E23" w14:textId="77777777" w:rsidR="00C15D4D" w:rsidRDefault="00C15D4D"/>
    <w:p w14:paraId="5DF0F555" w14:textId="77777777" w:rsidR="00C15D4D" w:rsidRDefault="00C15D4D"/>
    <w:p w14:paraId="000097F2" w14:textId="77777777" w:rsidR="00C15D4D" w:rsidRDefault="00C15D4D"/>
    <w:p w14:paraId="31D1DF21" w14:textId="77777777" w:rsidR="00C15D4D" w:rsidRDefault="00C15D4D" w:rsidP="009346D0"/>
    <w:p w14:paraId="5B69C204" w14:textId="77777777" w:rsidR="00C15D4D" w:rsidRDefault="00C15D4D"/>
    <w:p w14:paraId="0344F098" w14:textId="77777777" w:rsidR="00C15D4D" w:rsidRDefault="00C15D4D" w:rsidP="00AB1685"/>
    <w:p w14:paraId="06CEA23B" w14:textId="77777777" w:rsidR="00C15D4D" w:rsidRDefault="00C15D4D"/>
  </w:footnote>
  <w:footnote w:type="continuationSeparator" w:id="0">
    <w:p w14:paraId="69D755FA" w14:textId="77777777" w:rsidR="00C15D4D" w:rsidRDefault="00C15D4D" w:rsidP="0022344D">
      <w:r>
        <w:continuationSeparator/>
      </w:r>
    </w:p>
    <w:p w14:paraId="050A5674" w14:textId="77777777" w:rsidR="00C15D4D" w:rsidRDefault="00C15D4D" w:rsidP="0022344D"/>
    <w:p w14:paraId="78A35290" w14:textId="77777777" w:rsidR="00C15D4D" w:rsidRDefault="00C15D4D" w:rsidP="0022344D"/>
    <w:p w14:paraId="2CA367E2" w14:textId="77777777" w:rsidR="00C15D4D" w:rsidRDefault="00C15D4D" w:rsidP="0022344D"/>
    <w:p w14:paraId="13D50F76" w14:textId="77777777" w:rsidR="00C15D4D" w:rsidRDefault="00C15D4D" w:rsidP="0022344D"/>
    <w:p w14:paraId="6FBEEAD8" w14:textId="77777777" w:rsidR="00C15D4D" w:rsidRDefault="00C15D4D" w:rsidP="0022344D"/>
    <w:p w14:paraId="0A445D87" w14:textId="77777777" w:rsidR="00C15D4D" w:rsidRDefault="00C15D4D" w:rsidP="0022344D"/>
    <w:p w14:paraId="7BC4BDA9" w14:textId="77777777" w:rsidR="00C15D4D" w:rsidRDefault="00C15D4D" w:rsidP="0022344D"/>
    <w:p w14:paraId="45ACF062" w14:textId="77777777" w:rsidR="00C15D4D" w:rsidRDefault="00C15D4D" w:rsidP="0022344D"/>
    <w:p w14:paraId="168EC056" w14:textId="77777777" w:rsidR="00C15D4D" w:rsidRDefault="00C15D4D" w:rsidP="0022344D"/>
    <w:p w14:paraId="7D7569D2" w14:textId="77777777" w:rsidR="00C15D4D" w:rsidRDefault="00C15D4D" w:rsidP="0022344D"/>
    <w:p w14:paraId="1C69A18A" w14:textId="77777777" w:rsidR="00C15D4D" w:rsidRDefault="00C15D4D" w:rsidP="0022344D"/>
    <w:p w14:paraId="1B66F58A" w14:textId="77777777" w:rsidR="00C15D4D" w:rsidRDefault="00C15D4D" w:rsidP="0022344D"/>
    <w:p w14:paraId="57E670C5" w14:textId="77777777" w:rsidR="00C15D4D" w:rsidRDefault="00C15D4D" w:rsidP="0022344D"/>
    <w:p w14:paraId="3E8113E7" w14:textId="77777777" w:rsidR="00C15D4D" w:rsidRDefault="00C15D4D" w:rsidP="0022344D"/>
    <w:p w14:paraId="78E552B1" w14:textId="77777777" w:rsidR="00C15D4D" w:rsidRDefault="00C15D4D" w:rsidP="0022344D"/>
    <w:p w14:paraId="10A23EF9" w14:textId="77777777" w:rsidR="00C15D4D" w:rsidRDefault="00C15D4D" w:rsidP="0022344D"/>
    <w:p w14:paraId="3B5694DF" w14:textId="77777777" w:rsidR="00C15D4D" w:rsidRDefault="00C15D4D" w:rsidP="0022344D"/>
    <w:p w14:paraId="039A149E" w14:textId="77777777" w:rsidR="00C15D4D" w:rsidRDefault="00C15D4D" w:rsidP="0022344D"/>
    <w:p w14:paraId="4915B090" w14:textId="77777777" w:rsidR="00C15D4D" w:rsidRDefault="00C15D4D" w:rsidP="0022344D"/>
    <w:p w14:paraId="602362DF" w14:textId="77777777" w:rsidR="00C15D4D" w:rsidRDefault="00C15D4D" w:rsidP="0022344D"/>
    <w:p w14:paraId="4894E7B1" w14:textId="77777777" w:rsidR="00C15D4D" w:rsidRDefault="00C15D4D" w:rsidP="0022344D"/>
    <w:p w14:paraId="1389539C" w14:textId="77777777" w:rsidR="00C15D4D" w:rsidRDefault="00C15D4D" w:rsidP="0022344D"/>
    <w:p w14:paraId="16594724" w14:textId="77777777" w:rsidR="00C15D4D" w:rsidRDefault="00C15D4D" w:rsidP="0022344D"/>
    <w:p w14:paraId="7A0ADDC8" w14:textId="77777777" w:rsidR="00C15D4D" w:rsidRDefault="00C15D4D" w:rsidP="0022344D"/>
    <w:p w14:paraId="0DEB3A38" w14:textId="77777777" w:rsidR="00C15D4D" w:rsidRDefault="00C15D4D" w:rsidP="0022344D"/>
    <w:p w14:paraId="142533DD" w14:textId="77777777" w:rsidR="00C15D4D" w:rsidRDefault="00C15D4D" w:rsidP="0022344D"/>
    <w:p w14:paraId="72435DA1" w14:textId="77777777" w:rsidR="00C15D4D" w:rsidRDefault="00C15D4D" w:rsidP="0022344D"/>
    <w:p w14:paraId="1D6BDA1C" w14:textId="77777777" w:rsidR="00C15D4D" w:rsidRDefault="00C15D4D" w:rsidP="0022344D"/>
    <w:p w14:paraId="4D9B17F2" w14:textId="77777777" w:rsidR="00C15D4D" w:rsidRDefault="00C15D4D" w:rsidP="0022344D"/>
    <w:p w14:paraId="51F28C75" w14:textId="77777777" w:rsidR="00C15D4D" w:rsidRDefault="00C15D4D" w:rsidP="0022344D"/>
    <w:p w14:paraId="610353C5" w14:textId="77777777" w:rsidR="00C15D4D" w:rsidRDefault="00C15D4D" w:rsidP="0022344D"/>
    <w:p w14:paraId="57B1A2A7" w14:textId="77777777" w:rsidR="00C15D4D" w:rsidRDefault="00C15D4D" w:rsidP="0022344D"/>
    <w:p w14:paraId="54B9C4B2" w14:textId="77777777" w:rsidR="00C15D4D" w:rsidRDefault="00C15D4D" w:rsidP="0022344D"/>
    <w:p w14:paraId="75BBCD4F" w14:textId="77777777" w:rsidR="00C15D4D" w:rsidRDefault="00C15D4D" w:rsidP="0022344D"/>
    <w:p w14:paraId="40C03813" w14:textId="77777777" w:rsidR="00C15D4D" w:rsidRDefault="00C15D4D" w:rsidP="0022344D"/>
    <w:p w14:paraId="29340BCB" w14:textId="77777777" w:rsidR="00C15D4D" w:rsidRDefault="00C15D4D" w:rsidP="0022344D"/>
    <w:p w14:paraId="4CB52AE2" w14:textId="77777777" w:rsidR="00C15D4D" w:rsidRDefault="00C15D4D" w:rsidP="0022344D"/>
    <w:p w14:paraId="5D3B0C85" w14:textId="77777777" w:rsidR="00C15D4D" w:rsidRDefault="00C15D4D" w:rsidP="0022344D"/>
    <w:p w14:paraId="3D5C4426" w14:textId="77777777" w:rsidR="00C15D4D" w:rsidRDefault="00C15D4D" w:rsidP="0022344D"/>
    <w:p w14:paraId="17AF4CFC" w14:textId="77777777" w:rsidR="00C15D4D" w:rsidRDefault="00C15D4D" w:rsidP="0022344D"/>
    <w:p w14:paraId="3B291798" w14:textId="77777777" w:rsidR="00C15D4D" w:rsidRDefault="00C15D4D" w:rsidP="0022344D"/>
    <w:p w14:paraId="327AF6F7" w14:textId="77777777" w:rsidR="00C15D4D" w:rsidRDefault="00C15D4D" w:rsidP="0022344D"/>
    <w:p w14:paraId="326125EB" w14:textId="77777777" w:rsidR="00C15D4D" w:rsidRDefault="00C15D4D" w:rsidP="0022344D"/>
    <w:p w14:paraId="53F86716" w14:textId="77777777" w:rsidR="00C15D4D" w:rsidRDefault="00C15D4D" w:rsidP="0022344D"/>
    <w:p w14:paraId="7B97921A" w14:textId="77777777" w:rsidR="00C15D4D" w:rsidRDefault="00C15D4D" w:rsidP="0022344D"/>
    <w:p w14:paraId="00CCEADB" w14:textId="77777777" w:rsidR="00C15D4D" w:rsidRDefault="00C15D4D" w:rsidP="0022344D"/>
    <w:p w14:paraId="505A8D54" w14:textId="77777777" w:rsidR="00C15D4D" w:rsidRDefault="00C15D4D" w:rsidP="0022344D"/>
    <w:p w14:paraId="3CECAB14" w14:textId="77777777" w:rsidR="00C15D4D" w:rsidRDefault="00C15D4D" w:rsidP="0022344D"/>
    <w:p w14:paraId="5E6C0238" w14:textId="77777777" w:rsidR="00C15D4D" w:rsidRDefault="00C15D4D" w:rsidP="0022344D"/>
    <w:p w14:paraId="709E0405" w14:textId="77777777" w:rsidR="00C15D4D" w:rsidRDefault="00C15D4D" w:rsidP="0022344D"/>
    <w:p w14:paraId="790D204F" w14:textId="77777777" w:rsidR="00C15D4D" w:rsidRDefault="00C15D4D" w:rsidP="0022344D"/>
    <w:p w14:paraId="079D7781" w14:textId="77777777" w:rsidR="00C15D4D" w:rsidRDefault="00C15D4D" w:rsidP="0022344D"/>
    <w:p w14:paraId="3EFE4CA1" w14:textId="77777777" w:rsidR="00C15D4D" w:rsidRDefault="00C15D4D" w:rsidP="0022344D"/>
    <w:p w14:paraId="3CCEA23E" w14:textId="77777777" w:rsidR="00C15D4D" w:rsidRDefault="00C15D4D" w:rsidP="0022344D"/>
    <w:p w14:paraId="5E32F1A0" w14:textId="77777777" w:rsidR="00C15D4D" w:rsidRDefault="00C15D4D" w:rsidP="0022344D"/>
    <w:p w14:paraId="636C5D71" w14:textId="77777777" w:rsidR="00C15D4D" w:rsidRDefault="00C15D4D" w:rsidP="0022344D"/>
    <w:p w14:paraId="4F499B7B" w14:textId="77777777" w:rsidR="00C15D4D" w:rsidRDefault="00C15D4D" w:rsidP="0022344D"/>
    <w:p w14:paraId="55DE98F2" w14:textId="77777777" w:rsidR="00C15D4D" w:rsidRDefault="00C15D4D" w:rsidP="0022344D"/>
    <w:p w14:paraId="579E5EE5" w14:textId="77777777" w:rsidR="00C15D4D" w:rsidRDefault="00C15D4D" w:rsidP="0022344D"/>
    <w:p w14:paraId="71AB4F01" w14:textId="77777777" w:rsidR="00C15D4D" w:rsidRDefault="00C15D4D" w:rsidP="0022344D"/>
    <w:p w14:paraId="5402D512" w14:textId="77777777" w:rsidR="00C15D4D" w:rsidRDefault="00C15D4D" w:rsidP="0022344D"/>
    <w:p w14:paraId="0BB4E930" w14:textId="77777777" w:rsidR="00C15D4D" w:rsidRDefault="00C15D4D" w:rsidP="0022344D"/>
    <w:p w14:paraId="36627B27" w14:textId="77777777" w:rsidR="00C15D4D" w:rsidRDefault="00C15D4D" w:rsidP="0022344D"/>
    <w:p w14:paraId="7B1B6127" w14:textId="77777777" w:rsidR="00C15D4D" w:rsidRDefault="00C15D4D" w:rsidP="0022344D"/>
    <w:p w14:paraId="646B1B23" w14:textId="77777777" w:rsidR="00C15D4D" w:rsidRDefault="00C15D4D" w:rsidP="0022344D"/>
    <w:p w14:paraId="7BFD0539" w14:textId="77777777" w:rsidR="00C15D4D" w:rsidRDefault="00C15D4D" w:rsidP="0022344D"/>
    <w:p w14:paraId="34BE510C" w14:textId="77777777" w:rsidR="00C15D4D" w:rsidRDefault="00C15D4D" w:rsidP="0022344D"/>
    <w:p w14:paraId="0437FE39" w14:textId="77777777" w:rsidR="00C15D4D" w:rsidRDefault="00C15D4D" w:rsidP="0022344D"/>
    <w:p w14:paraId="73208168" w14:textId="77777777" w:rsidR="00C15D4D" w:rsidRDefault="00C15D4D" w:rsidP="0022344D"/>
    <w:p w14:paraId="41117588" w14:textId="77777777" w:rsidR="00C15D4D" w:rsidRDefault="00C15D4D" w:rsidP="0022344D"/>
    <w:p w14:paraId="55D6BAE5" w14:textId="77777777" w:rsidR="00C15D4D" w:rsidRDefault="00C15D4D" w:rsidP="0022344D"/>
    <w:p w14:paraId="29CCD0E3" w14:textId="77777777" w:rsidR="00C15D4D" w:rsidRDefault="00C15D4D" w:rsidP="0022344D"/>
    <w:p w14:paraId="31766B4F" w14:textId="77777777" w:rsidR="00C15D4D" w:rsidRDefault="00C15D4D" w:rsidP="0022344D"/>
    <w:p w14:paraId="26FF7D2F" w14:textId="77777777" w:rsidR="00C15D4D" w:rsidRDefault="00C15D4D"/>
    <w:p w14:paraId="3272327E" w14:textId="77777777" w:rsidR="00C15D4D" w:rsidRDefault="00C15D4D"/>
    <w:p w14:paraId="6207CB03" w14:textId="77777777" w:rsidR="00C15D4D" w:rsidRDefault="00C15D4D"/>
    <w:p w14:paraId="6004179E" w14:textId="77777777" w:rsidR="00C15D4D" w:rsidRDefault="00C15D4D" w:rsidP="009346D0"/>
    <w:p w14:paraId="180AE6F6" w14:textId="77777777" w:rsidR="00C15D4D" w:rsidRDefault="00C15D4D"/>
    <w:p w14:paraId="754B27AE" w14:textId="77777777" w:rsidR="00C15D4D" w:rsidRDefault="00C15D4D" w:rsidP="00AB1685"/>
    <w:p w14:paraId="5F3E46E1" w14:textId="77777777" w:rsidR="00C15D4D" w:rsidRDefault="00C15D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B1C" w14:textId="77777777" w:rsidR="008C6DDB" w:rsidRDefault="008C6DDB" w:rsidP="0022344D">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7" name="Picture 7"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0C3A" w14:textId="77777777" w:rsidR="008C6DDB" w:rsidRDefault="008C6DDB" w:rsidP="002234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E6C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2B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A1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5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B6843"/>
    <w:multiLevelType w:val="hybridMultilevel"/>
    <w:tmpl w:val="543E6132"/>
    <w:lvl w:ilvl="0" w:tplc="04250001">
      <w:start w:val="20"/>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165D2396"/>
    <w:multiLevelType w:val="hybridMultilevel"/>
    <w:tmpl w:val="C4CA19E2"/>
    <w:lvl w:ilvl="0" w:tplc="04250001">
      <w:start w:val="2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9" w15:restartNumberingAfterBreak="0">
    <w:nsid w:val="26CE6678"/>
    <w:multiLevelType w:val="hybridMultilevel"/>
    <w:tmpl w:val="8BB2CF34"/>
    <w:lvl w:ilvl="0" w:tplc="D7FA3CA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4" w15:restartNumberingAfterBreak="0">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8"/>
  </w:num>
  <w:num w:numId="14">
    <w:abstractNumId w:val="20"/>
  </w:num>
  <w:num w:numId="15">
    <w:abstractNumId w:val="24"/>
  </w:num>
  <w:num w:numId="16">
    <w:abstractNumId w:val="18"/>
  </w:num>
  <w:num w:numId="17">
    <w:abstractNumId w:val="21"/>
  </w:num>
  <w:num w:numId="18">
    <w:abstractNumId w:val="11"/>
  </w:num>
  <w:num w:numId="19">
    <w:abstractNumId w:val="26"/>
  </w:num>
  <w:num w:numId="20">
    <w:abstractNumId w:val="27"/>
  </w:num>
  <w:num w:numId="21">
    <w:abstractNumId w:val="23"/>
  </w:num>
  <w:num w:numId="22">
    <w:abstractNumId w:val="22"/>
  </w:num>
  <w:num w:numId="23">
    <w:abstractNumId w:val="16"/>
  </w:num>
  <w:num w:numId="24">
    <w:abstractNumId w:val="15"/>
  </w:num>
  <w:num w:numId="25">
    <w:abstractNumId w:val="17"/>
  </w:num>
  <w:num w:numId="26">
    <w:abstractNumId w:val="25"/>
  </w:num>
  <w:num w:numId="27">
    <w:abstractNumId w:val="14"/>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6"/>
    <w:rsid w:val="00000901"/>
    <w:rsid w:val="00000EC1"/>
    <w:rsid w:val="000011F2"/>
    <w:rsid w:val="00001529"/>
    <w:rsid w:val="0000183A"/>
    <w:rsid w:val="000018E7"/>
    <w:rsid w:val="00001919"/>
    <w:rsid w:val="00002033"/>
    <w:rsid w:val="00002AE8"/>
    <w:rsid w:val="00003298"/>
    <w:rsid w:val="000036A1"/>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3E31"/>
    <w:rsid w:val="000140DC"/>
    <w:rsid w:val="00015671"/>
    <w:rsid w:val="00016029"/>
    <w:rsid w:val="000163C8"/>
    <w:rsid w:val="00016433"/>
    <w:rsid w:val="000166FE"/>
    <w:rsid w:val="00016B2C"/>
    <w:rsid w:val="00020A7F"/>
    <w:rsid w:val="00021C80"/>
    <w:rsid w:val="0002208E"/>
    <w:rsid w:val="00023662"/>
    <w:rsid w:val="00024301"/>
    <w:rsid w:val="00024469"/>
    <w:rsid w:val="000249BB"/>
    <w:rsid w:val="00024C5E"/>
    <w:rsid w:val="00025113"/>
    <w:rsid w:val="00025940"/>
    <w:rsid w:val="00025E82"/>
    <w:rsid w:val="00025F47"/>
    <w:rsid w:val="0002617C"/>
    <w:rsid w:val="000261A8"/>
    <w:rsid w:val="00026926"/>
    <w:rsid w:val="00030091"/>
    <w:rsid w:val="000311FC"/>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4B7E"/>
    <w:rsid w:val="00044C59"/>
    <w:rsid w:val="00045312"/>
    <w:rsid w:val="00045860"/>
    <w:rsid w:val="00045E6E"/>
    <w:rsid w:val="000472FA"/>
    <w:rsid w:val="0005033C"/>
    <w:rsid w:val="0005039C"/>
    <w:rsid w:val="0005077F"/>
    <w:rsid w:val="000518FE"/>
    <w:rsid w:val="00051A5A"/>
    <w:rsid w:val="0005213D"/>
    <w:rsid w:val="00052F09"/>
    <w:rsid w:val="00053354"/>
    <w:rsid w:val="0005344D"/>
    <w:rsid w:val="0005369E"/>
    <w:rsid w:val="00053962"/>
    <w:rsid w:val="0005468E"/>
    <w:rsid w:val="00054754"/>
    <w:rsid w:val="00054771"/>
    <w:rsid w:val="00054CFB"/>
    <w:rsid w:val="0005507D"/>
    <w:rsid w:val="0005526E"/>
    <w:rsid w:val="00055D06"/>
    <w:rsid w:val="00056838"/>
    <w:rsid w:val="00056DD0"/>
    <w:rsid w:val="00056EB6"/>
    <w:rsid w:val="00057619"/>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7795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3D"/>
    <w:rsid w:val="000B7579"/>
    <w:rsid w:val="000B790E"/>
    <w:rsid w:val="000B7E63"/>
    <w:rsid w:val="000B7FD5"/>
    <w:rsid w:val="000C0B5C"/>
    <w:rsid w:val="000C144C"/>
    <w:rsid w:val="000C2484"/>
    <w:rsid w:val="000C2A69"/>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B76"/>
    <w:rsid w:val="000D32FD"/>
    <w:rsid w:val="000D43CF"/>
    <w:rsid w:val="000D47AC"/>
    <w:rsid w:val="000D4921"/>
    <w:rsid w:val="000D4E4D"/>
    <w:rsid w:val="000D5066"/>
    <w:rsid w:val="000D54F5"/>
    <w:rsid w:val="000D5A9F"/>
    <w:rsid w:val="000D5C06"/>
    <w:rsid w:val="000D67AD"/>
    <w:rsid w:val="000D6B48"/>
    <w:rsid w:val="000D6DD9"/>
    <w:rsid w:val="000D7DCE"/>
    <w:rsid w:val="000D7E9F"/>
    <w:rsid w:val="000E1421"/>
    <w:rsid w:val="000E183C"/>
    <w:rsid w:val="000E1AEC"/>
    <w:rsid w:val="000E21B9"/>
    <w:rsid w:val="000E238F"/>
    <w:rsid w:val="000E2485"/>
    <w:rsid w:val="000E314B"/>
    <w:rsid w:val="000E3288"/>
    <w:rsid w:val="000E35C1"/>
    <w:rsid w:val="000E35E0"/>
    <w:rsid w:val="000E3B0A"/>
    <w:rsid w:val="000E4A61"/>
    <w:rsid w:val="000E4EED"/>
    <w:rsid w:val="000E619B"/>
    <w:rsid w:val="000E61E9"/>
    <w:rsid w:val="000E6B92"/>
    <w:rsid w:val="000E74ED"/>
    <w:rsid w:val="000E7923"/>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1CF"/>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5F7C"/>
    <w:rsid w:val="001176B9"/>
    <w:rsid w:val="0011796E"/>
    <w:rsid w:val="00121B50"/>
    <w:rsid w:val="00122B2D"/>
    <w:rsid w:val="00123483"/>
    <w:rsid w:val="00123519"/>
    <w:rsid w:val="0012370B"/>
    <w:rsid w:val="00124281"/>
    <w:rsid w:val="001248F4"/>
    <w:rsid w:val="00124B0C"/>
    <w:rsid w:val="001269AF"/>
    <w:rsid w:val="00126A7A"/>
    <w:rsid w:val="0012795D"/>
    <w:rsid w:val="00130139"/>
    <w:rsid w:val="0013023F"/>
    <w:rsid w:val="0013056F"/>
    <w:rsid w:val="0013058A"/>
    <w:rsid w:val="00130683"/>
    <w:rsid w:val="00130851"/>
    <w:rsid w:val="00130E9A"/>
    <w:rsid w:val="0013102A"/>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88F"/>
    <w:rsid w:val="001409ED"/>
    <w:rsid w:val="00140AD7"/>
    <w:rsid w:val="00140CE5"/>
    <w:rsid w:val="001433FB"/>
    <w:rsid w:val="00143EA1"/>
    <w:rsid w:val="00144523"/>
    <w:rsid w:val="00144E77"/>
    <w:rsid w:val="00144F3F"/>
    <w:rsid w:val="001457FD"/>
    <w:rsid w:val="00145F8F"/>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57C62"/>
    <w:rsid w:val="00161E30"/>
    <w:rsid w:val="001620B9"/>
    <w:rsid w:val="00162245"/>
    <w:rsid w:val="00162A50"/>
    <w:rsid w:val="00162C98"/>
    <w:rsid w:val="00162D9A"/>
    <w:rsid w:val="0016365C"/>
    <w:rsid w:val="00163E7F"/>
    <w:rsid w:val="001641E5"/>
    <w:rsid w:val="001646E2"/>
    <w:rsid w:val="0016503A"/>
    <w:rsid w:val="0016595B"/>
    <w:rsid w:val="00165AF7"/>
    <w:rsid w:val="00165C9D"/>
    <w:rsid w:val="00165E81"/>
    <w:rsid w:val="00165F62"/>
    <w:rsid w:val="00166313"/>
    <w:rsid w:val="00166980"/>
    <w:rsid w:val="00166DF2"/>
    <w:rsid w:val="001671F8"/>
    <w:rsid w:val="001674CB"/>
    <w:rsid w:val="00167678"/>
    <w:rsid w:val="001678CA"/>
    <w:rsid w:val="00167998"/>
    <w:rsid w:val="00167E90"/>
    <w:rsid w:val="001700CF"/>
    <w:rsid w:val="001705D2"/>
    <w:rsid w:val="001709C3"/>
    <w:rsid w:val="001710F0"/>
    <w:rsid w:val="0017112E"/>
    <w:rsid w:val="001711E6"/>
    <w:rsid w:val="001712D4"/>
    <w:rsid w:val="00171A74"/>
    <w:rsid w:val="00171E52"/>
    <w:rsid w:val="0017220A"/>
    <w:rsid w:val="00172A55"/>
    <w:rsid w:val="00172C1B"/>
    <w:rsid w:val="0017365F"/>
    <w:rsid w:val="001739D6"/>
    <w:rsid w:val="00173D35"/>
    <w:rsid w:val="00173EA8"/>
    <w:rsid w:val="0017450E"/>
    <w:rsid w:val="00174763"/>
    <w:rsid w:val="00174918"/>
    <w:rsid w:val="00174B41"/>
    <w:rsid w:val="00174B6B"/>
    <w:rsid w:val="0017539C"/>
    <w:rsid w:val="00175DCE"/>
    <w:rsid w:val="0017623B"/>
    <w:rsid w:val="001762E9"/>
    <w:rsid w:val="00176304"/>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628"/>
    <w:rsid w:val="001E3CBC"/>
    <w:rsid w:val="001E3FE2"/>
    <w:rsid w:val="001E4764"/>
    <w:rsid w:val="001E48AF"/>
    <w:rsid w:val="001E4FF3"/>
    <w:rsid w:val="001E5364"/>
    <w:rsid w:val="001E5952"/>
    <w:rsid w:val="001E5C92"/>
    <w:rsid w:val="001E5E3C"/>
    <w:rsid w:val="001E6428"/>
    <w:rsid w:val="001E683E"/>
    <w:rsid w:val="001E6E00"/>
    <w:rsid w:val="001E7462"/>
    <w:rsid w:val="001E7B05"/>
    <w:rsid w:val="001E7B89"/>
    <w:rsid w:val="001E7D55"/>
    <w:rsid w:val="001F0172"/>
    <w:rsid w:val="001F0FD5"/>
    <w:rsid w:val="001F137E"/>
    <w:rsid w:val="001F13D7"/>
    <w:rsid w:val="001F1916"/>
    <w:rsid w:val="001F1B49"/>
    <w:rsid w:val="001F24F6"/>
    <w:rsid w:val="001F26AC"/>
    <w:rsid w:val="001F3D73"/>
    <w:rsid w:val="001F3E48"/>
    <w:rsid w:val="001F3F93"/>
    <w:rsid w:val="001F4427"/>
    <w:rsid w:val="001F4A66"/>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44D"/>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30BA9"/>
    <w:rsid w:val="00231450"/>
    <w:rsid w:val="0023193F"/>
    <w:rsid w:val="00231D9E"/>
    <w:rsid w:val="00231DEC"/>
    <w:rsid w:val="00231F48"/>
    <w:rsid w:val="0023230B"/>
    <w:rsid w:val="00232ADC"/>
    <w:rsid w:val="00232B64"/>
    <w:rsid w:val="00233D82"/>
    <w:rsid w:val="002348D8"/>
    <w:rsid w:val="00234ADA"/>
    <w:rsid w:val="00234E08"/>
    <w:rsid w:val="00234F86"/>
    <w:rsid w:val="002350E7"/>
    <w:rsid w:val="002351AE"/>
    <w:rsid w:val="0023603C"/>
    <w:rsid w:val="00236472"/>
    <w:rsid w:val="002370DF"/>
    <w:rsid w:val="002371D0"/>
    <w:rsid w:val="00237EEF"/>
    <w:rsid w:val="00241440"/>
    <w:rsid w:val="00241539"/>
    <w:rsid w:val="0024158E"/>
    <w:rsid w:val="002416C6"/>
    <w:rsid w:val="002419D5"/>
    <w:rsid w:val="00241B3F"/>
    <w:rsid w:val="002420C5"/>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9A"/>
    <w:rsid w:val="002503CC"/>
    <w:rsid w:val="00251F25"/>
    <w:rsid w:val="00252286"/>
    <w:rsid w:val="002526A5"/>
    <w:rsid w:val="00252BE3"/>
    <w:rsid w:val="00252FC3"/>
    <w:rsid w:val="00253462"/>
    <w:rsid w:val="0025469A"/>
    <w:rsid w:val="00254A4E"/>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48A"/>
    <w:rsid w:val="002745F8"/>
    <w:rsid w:val="002747F5"/>
    <w:rsid w:val="00274AFC"/>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5A55"/>
    <w:rsid w:val="00286FFC"/>
    <w:rsid w:val="0029089B"/>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2ED"/>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07"/>
    <w:rsid w:val="002B23B8"/>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CA6"/>
    <w:rsid w:val="002C5EB5"/>
    <w:rsid w:val="002C6599"/>
    <w:rsid w:val="002C663B"/>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5711"/>
    <w:rsid w:val="002D7315"/>
    <w:rsid w:val="002D77F2"/>
    <w:rsid w:val="002D792D"/>
    <w:rsid w:val="002E0001"/>
    <w:rsid w:val="002E06B4"/>
    <w:rsid w:val="002E10A3"/>
    <w:rsid w:val="002E2393"/>
    <w:rsid w:val="002E2502"/>
    <w:rsid w:val="002E28B9"/>
    <w:rsid w:val="002E43CE"/>
    <w:rsid w:val="002E4F79"/>
    <w:rsid w:val="002E5DF5"/>
    <w:rsid w:val="002E6628"/>
    <w:rsid w:val="002E6982"/>
    <w:rsid w:val="002E69A8"/>
    <w:rsid w:val="002E6E17"/>
    <w:rsid w:val="002E70D9"/>
    <w:rsid w:val="002E7663"/>
    <w:rsid w:val="002F0250"/>
    <w:rsid w:val="002F0824"/>
    <w:rsid w:val="002F0AB8"/>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28"/>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592D"/>
    <w:rsid w:val="003164E7"/>
    <w:rsid w:val="003166ED"/>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732"/>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0A89"/>
    <w:rsid w:val="00341916"/>
    <w:rsid w:val="00341C29"/>
    <w:rsid w:val="0034241B"/>
    <w:rsid w:val="00342CB7"/>
    <w:rsid w:val="00342D4E"/>
    <w:rsid w:val="00342EAF"/>
    <w:rsid w:val="003435BE"/>
    <w:rsid w:val="00343A59"/>
    <w:rsid w:val="00343BE2"/>
    <w:rsid w:val="003449E8"/>
    <w:rsid w:val="00344AA0"/>
    <w:rsid w:val="00344AC5"/>
    <w:rsid w:val="00345184"/>
    <w:rsid w:val="00345471"/>
    <w:rsid w:val="00345A04"/>
    <w:rsid w:val="00345D3C"/>
    <w:rsid w:val="00346262"/>
    <w:rsid w:val="0034675E"/>
    <w:rsid w:val="00346B6F"/>
    <w:rsid w:val="00346C2F"/>
    <w:rsid w:val="003470D4"/>
    <w:rsid w:val="0035057E"/>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5F70"/>
    <w:rsid w:val="0035603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57C3"/>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CF6"/>
    <w:rsid w:val="003774C3"/>
    <w:rsid w:val="00380EB5"/>
    <w:rsid w:val="00381565"/>
    <w:rsid w:val="003815AB"/>
    <w:rsid w:val="00381C02"/>
    <w:rsid w:val="00382438"/>
    <w:rsid w:val="00382B0B"/>
    <w:rsid w:val="00383045"/>
    <w:rsid w:val="0038310F"/>
    <w:rsid w:val="00383238"/>
    <w:rsid w:val="00383656"/>
    <w:rsid w:val="00383AC6"/>
    <w:rsid w:val="00384C3B"/>
    <w:rsid w:val="00384C3D"/>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9C6"/>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E58"/>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6A66"/>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481"/>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0909"/>
    <w:rsid w:val="003F1762"/>
    <w:rsid w:val="003F1AA6"/>
    <w:rsid w:val="003F2CFB"/>
    <w:rsid w:val="003F3F70"/>
    <w:rsid w:val="003F4A1C"/>
    <w:rsid w:val="003F4DF5"/>
    <w:rsid w:val="003F5260"/>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0F12"/>
    <w:rsid w:val="00411556"/>
    <w:rsid w:val="00411B23"/>
    <w:rsid w:val="00411E63"/>
    <w:rsid w:val="0041205A"/>
    <w:rsid w:val="004121A0"/>
    <w:rsid w:val="00412B07"/>
    <w:rsid w:val="00412B6F"/>
    <w:rsid w:val="00412D67"/>
    <w:rsid w:val="00412EE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41"/>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3F69"/>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17D"/>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1769"/>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39D"/>
    <w:rsid w:val="004B36D0"/>
    <w:rsid w:val="004B3765"/>
    <w:rsid w:val="004B38F0"/>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8B8"/>
    <w:rsid w:val="004C6DB0"/>
    <w:rsid w:val="004C6EC5"/>
    <w:rsid w:val="004C7C44"/>
    <w:rsid w:val="004D0840"/>
    <w:rsid w:val="004D0ACD"/>
    <w:rsid w:val="004D1CAF"/>
    <w:rsid w:val="004D2B60"/>
    <w:rsid w:val="004D2EC5"/>
    <w:rsid w:val="004D2ED2"/>
    <w:rsid w:val="004D2F73"/>
    <w:rsid w:val="004D3B95"/>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CE0"/>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4F7B8E"/>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DBC"/>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460"/>
    <w:rsid w:val="005554BC"/>
    <w:rsid w:val="00555777"/>
    <w:rsid w:val="00555C22"/>
    <w:rsid w:val="005560C2"/>
    <w:rsid w:val="005563D5"/>
    <w:rsid w:val="0055665C"/>
    <w:rsid w:val="00557040"/>
    <w:rsid w:val="005571CC"/>
    <w:rsid w:val="00557699"/>
    <w:rsid w:val="00557BFF"/>
    <w:rsid w:val="00560079"/>
    <w:rsid w:val="005600EF"/>
    <w:rsid w:val="00560E20"/>
    <w:rsid w:val="005610D6"/>
    <w:rsid w:val="00561147"/>
    <w:rsid w:val="005612F7"/>
    <w:rsid w:val="00561986"/>
    <w:rsid w:val="0056217C"/>
    <w:rsid w:val="0056220D"/>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0D30"/>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4F11"/>
    <w:rsid w:val="005852F7"/>
    <w:rsid w:val="00585B70"/>
    <w:rsid w:val="00585ED2"/>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3F25"/>
    <w:rsid w:val="00594178"/>
    <w:rsid w:val="00594CBD"/>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219"/>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3A5"/>
    <w:rsid w:val="005C1680"/>
    <w:rsid w:val="005C181C"/>
    <w:rsid w:val="005C19AC"/>
    <w:rsid w:val="005C1C11"/>
    <w:rsid w:val="005C1CEF"/>
    <w:rsid w:val="005C2AC2"/>
    <w:rsid w:val="005C2BB5"/>
    <w:rsid w:val="005C2E33"/>
    <w:rsid w:val="005C2F2B"/>
    <w:rsid w:val="005C2F97"/>
    <w:rsid w:val="005C3CC8"/>
    <w:rsid w:val="005C400B"/>
    <w:rsid w:val="005C448E"/>
    <w:rsid w:val="005C4E7F"/>
    <w:rsid w:val="005C50C1"/>
    <w:rsid w:val="005C513D"/>
    <w:rsid w:val="005C5B4E"/>
    <w:rsid w:val="005C6AB8"/>
    <w:rsid w:val="005C6B2D"/>
    <w:rsid w:val="005C6F24"/>
    <w:rsid w:val="005C72E5"/>
    <w:rsid w:val="005D006C"/>
    <w:rsid w:val="005D031C"/>
    <w:rsid w:val="005D08D9"/>
    <w:rsid w:val="005D0D4D"/>
    <w:rsid w:val="005D1398"/>
    <w:rsid w:val="005D19BB"/>
    <w:rsid w:val="005D1ED7"/>
    <w:rsid w:val="005D20AE"/>
    <w:rsid w:val="005D29C9"/>
    <w:rsid w:val="005D36E3"/>
    <w:rsid w:val="005D3A6D"/>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3EBF"/>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55C"/>
    <w:rsid w:val="00601768"/>
    <w:rsid w:val="00601996"/>
    <w:rsid w:val="00601BB8"/>
    <w:rsid w:val="00601DF9"/>
    <w:rsid w:val="00602207"/>
    <w:rsid w:val="0060228C"/>
    <w:rsid w:val="006023FB"/>
    <w:rsid w:val="006024ED"/>
    <w:rsid w:val="00602EE0"/>
    <w:rsid w:val="00602F19"/>
    <w:rsid w:val="006033B9"/>
    <w:rsid w:val="00604476"/>
    <w:rsid w:val="0060496F"/>
    <w:rsid w:val="00606045"/>
    <w:rsid w:val="0060627A"/>
    <w:rsid w:val="00606366"/>
    <w:rsid w:val="006064AA"/>
    <w:rsid w:val="00606A6C"/>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65B8"/>
    <w:rsid w:val="0061700A"/>
    <w:rsid w:val="0061724E"/>
    <w:rsid w:val="006176F2"/>
    <w:rsid w:val="006179FD"/>
    <w:rsid w:val="00617D5A"/>
    <w:rsid w:val="00617FFB"/>
    <w:rsid w:val="00620183"/>
    <w:rsid w:val="0062031F"/>
    <w:rsid w:val="00620473"/>
    <w:rsid w:val="00620AE5"/>
    <w:rsid w:val="00621252"/>
    <w:rsid w:val="00621CC4"/>
    <w:rsid w:val="00621E95"/>
    <w:rsid w:val="00621EA1"/>
    <w:rsid w:val="006227B4"/>
    <w:rsid w:val="006229E6"/>
    <w:rsid w:val="00622F13"/>
    <w:rsid w:val="00622F61"/>
    <w:rsid w:val="00623CBD"/>
    <w:rsid w:val="00623F88"/>
    <w:rsid w:val="00624475"/>
    <w:rsid w:val="006251A0"/>
    <w:rsid w:val="0062610D"/>
    <w:rsid w:val="00626647"/>
    <w:rsid w:val="00626A13"/>
    <w:rsid w:val="00627713"/>
    <w:rsid w:val="0062775A"/>
    <w:rsid w:val="00627AE8"/>
    <w:rsid w:val="006302BC"/>
    <w:rsid w:val="0063050A"/>
    <w:rsid w:val="006307FA"/>
    <w:rsid w:val="006307FD"/>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279"/>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44D6"/>
    <w:rsid w:val="0066595C"/>
    <w:rsid w:val="0066620C"/>
    <w:rsid w:val="006664F2"/>
    <w:rsid w:val="00666912"/>
    <w:rsid w:val="006674A6"/>
    <w:rsid w:val="00671717"/>
    <w:rsid w:val="00671A1E"/>
    <w:rsid w:val="00671D8B"/>
    <w:rsid w:val="00672330"/>
    <w:rsid w:val="0067457C"/>
    <w:rsid w:val="00674B6E"/>
    <w:rsid w:val="006752C2"/>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2FC0"/>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B2D"/>
    <w:rsid w:val="006A1C6B"/>
    <w:rsid w:val="006A285C"/>
    <w:rsid w:val="006A28B3"/>
    <w:rsid w:val="006A2902"/>
    <w:rsid w:val="006A29B4"/>
    <w:rsid w:val="006A3B9B"/>
    <w:rsid w:val="006A483F"/>
    <w:rsid w:val="006A4ABC"/>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5E2"/>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0B93"/>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5F65"/>
    <w:rsid w:val="006D67C9"/>
    <w:rsid w:val="006D6884"/>
    <w:rsid w:val="006D6B61"/>
    <w:rsid w:val="006D7761"/>
    <w:rsid w:val="006D77D6"/>
    <w:rsid w:val="006D7B90"/>
    <w:rsid w:val="006E06B4"/>
    <w:rsid w:val="006E0CB0"/>
    <w:rsid w:val="006E0FB4"/>
    <w:rsid w:val="006E108D"/>
    <w:rsid w:val="006E15A4"/>
    <w:rsid w:val="006E292F"/>
    <w:rsid w:val="006E2F4B"/>
    <w:rsid w:val="006E3210"/>
    <w:rsid w:val="006E34F4"/>
    <w:rsid w:val="006E3A8B"/>
    <w:rsid w:val="006E47AC"/>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5F2B"/>
    <w:rsid w:val="006F60E4"/>
    <w:rsid w:val="006F61FA"/>
    <w:rsid w:val="006F6321"/>
    <w:rsid w:val="006F6623"/>
    <w:rsid w:val="006F6E53"/>
    <w:rsid w:val="006F779B"/>
    <w:rsid w:val="006F7898"/>
    <w:rsid w:val="006F7FF0"/>
    <w:rsid w:val="007018B0"/>
    <w:rsid w:val="00701EC5"/>
    <w:rsid w:val="00701F6C"/>
    <w:rsid w:val="00702053"/>
    <w:rsid w:val="0070234D"/>
    <w:rsid w:val="0070270C"/>
    <w:rsid w:val="00702B69"/>
    <w:rsid w:val="007034B5"/>
    <w:rsid w:val="00703B04"/>
    <w:rsid w:val="007041A0"/>
    <w:rsid w:val="007053CD"/>
    <w:rsid w:val="00705520"/>
    <w:rsid w:val="0070681C"/>
    <w:rsid w:val="00706976"/>
    <w:rsid w:val="0070782C"/>
    <w:rsid w:val="0070798B"/>
    <w:rsid w:val="007105B1"/>
    <w:rsid w:val="00710CD2"/>
    <w:rsid w:val="00710FA9"/>
    <w:rsid w:val="0071162D"/>
    <w:rsid w:val="00711CCF"/>
    <w:rsid w:val="007123D0"/>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2D57"/>
    <w:rsid w:val="00722F1C"/>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2E4E"/>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226"/>
    <w:rsid w:val="00742539"/>
    <w:rsid w:val="00742998"/>
    <w:rsid w:val="00742C6D"/>
    <w:rsid w:val="00742E63"/>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3A0"/>
    <w:rsid w:val="007465AA"/>
    <w:rsid w:val="00746699"/>
    <w:rsid w:val="00747A91"/>
    <w:rsid w:val="007500C4"/>
    <w:rsid w:val="00750764"/>
    <w:rsid w:val="00750CC2"/>
    <w:rsid w:val="00751222"/>
    <w:rsid w:val="00751227"/>
    <w:rsid w:val="007512B9"/>
    <w:rsid w:val="00751E15"/>
    <w:rsid w:val="00752096"/>
    <w:rsid w:val="00753103"/>
    <w:rsid w:val="00753716"/>
    <w:rsid w:val="00753742"/>
    <w:rsid w:val="00753C3C"/>
    <w:rsid w:val="00755533"/>
    <w:rsid w:val="00755F2F"/>
    <w:rsid w:val="0075617A"/>
    <w:rsid w:val="00756283"/>
    <w:rsid w:val="00756B60"/>
    <w:rsid w:val="00757112"/>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B58"/>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6964"/>
    <w:rsid w:val="007871B8"/>
    <w:rsid w:val="007875E6"/>
    <w:rsid w:val="00787826"/>
    <w:rsid w:val="00787A7D"/>
    <w:rsid w:val="00791E7F"/>
    <w:rsid w:val="00792206"/>
    <w:rsid w:val="007927B7"/>
    <w:rsid w:val="00792939"/>
    <w:rsid w:val="00792DD0"/>
    <w:rsid w:val="0079320B"/>
    <w:rsid w:val="00793415"/>
    <w:rsid w:val="00793D3F"/>
    <w:rsid w:val="007941CF"/>
    <w:rsid w:val="00794506"/>
    <w:rsid w:val="00794A39"/>
    <w:rsid w:val="00795881"/>
    <w:rsid w:val="007958B7"/>
    <w:rsid w:val="00795F6F"/>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22F"/>
    <w:rsid w:val="007A630E"/>
    <w:rsid w:val="007A6A8C"/>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0CDE"/>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D018F"/>
    <w:rsid w:val="007D078D"/>
    <w:rsid w:val="007D08A8"/>
    <w:rsid w:val="007D08F2"/>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94"/>
    <w:rsid w:val="007E26D8"/>
    <w:rsid w:val="007E3D7A"/>
    <w:rsid w:val="007E3F7F"/>
    <w:rsid w:val="007E4C92"/>
    <w:rsid w:val="007E52F6"/>
    <w:rsid w:val="007E5F12"/>
    <w:rsid w:val="007E659C"/>
    <w:rsid w:val="007E65E1"/>
    <w:rsid w:val="007E7606"/>
    <w:rsid w:val="007E78A4"/>
    <w:rsid w:val="007E7B8C"/>
    <w:rsid w:val="007F04CE"/>
    <w:rsid w:val="007F0CC9"/>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86F"/>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5CD"/>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B13"/>
    <w:rsid w:val="00824EDB"/>
    <w:rsid w:val="00825276"/>
    <w:rsid w:val="00825D28"/>
    <w:rsid w:val="00826554"/>
    <w:rsid w:val="00826746"/>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4D8"/>
    <w:rsid w:val="0084255B"/>
    <w:rsid w:val="0084258B"/>
    <w:rsid w:val="0084289B"/>
    <w:rsid w:val="008429CE"/>
    <w:rsid w:val="00842D57"/>
    <w:rsid w:val="0084389F"/>
    <w:rsid w:val="00843E38"/>
    <w:rsid w:val="008446B8"/>
    <w:rsid w:val="00844A45"/>
    <w:rsid w:val="00844BDF"/>
    <w:rsid w:val="0084509F"/>
    <w:rsid w:val="008452A0"/>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080"/>
    <w:rsid w:val="0085380A"/>
    <w:rsid w:val="00853A87"/>
    <w:rsid w:val="00854602"/>
    <w:rsid w:val="008546B4"/>
    <w:rsid w:val="00854B48"/>
    <w:rsid w:val="00854CD2"/>
    <w:rsid w:val="0085537B"/>
    <w:rsid w:val="00855B3D"/>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5A"/>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252"/>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E2C"/>
    <w:rsid w:val="008B66F0"/>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6DDB"/>
    <w:rsid w:val="008C7013"/>
    <w:rsid w:val="008D0178"/>
    <w:rsid w:val="008D0574"/>
    <w:rsid w:val="008D0785"/>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5A4"/>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DEB"/>
    <w:rsid w:val="00920F9C"/>
    <w:rsid w:val="0092107D"/>
    <w:rsid w:val="009215A9"/>
    <w:rsid w:val="00921638"/>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6D0"/>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ADB"/>
    <w:rsid w:val="00942D8E"/>
    <w:rsid w:val="0094394B"/>
    <w:rsid w:val="00943AB6"/>
    <w:rsid w:val="00944725"/>
    <w:rsid w:val="009451AB"/>
    <w:rsid w:val="0094534C"/>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482"/>
    <w:rsid w:val="0096450E"/>
    <w:rsid w:val="0096496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013"/>
    <w:rsid w:val="00973E9C"/>
    <w:rsid w:val="0097417C"/>
    <w:rsid w:val="00974A56"/>
    <w:rsid w:val="00974ADD"/>
    <w:rsid w:val="00974B48"/>
    <w:rsid w:val="00974CBF"/>
    <w:rsid w:val="00974DED"/>
    <w:rsid w:val="00974E98"/>
    <w:rsid w:val="0097529A"/>
    <w:rsid w:val="00975486"/>
    <w:rsid w:val="009757D4"/>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3AE"/>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208"/>
    <w:rsid w:val="009A3A77"/>
    <w:rsid w:val="009A3D4D"/>
    <w:rsid w:val="009A3F57"/>
    <w:rsid w:val="009A41A5"/>
    <w:rsid w:val="009A4760"/>
    <w:rsid w:val="009A4E15"/>
    <w:rsid w:val="009A5446"/>
    <w:rsid w:val="009A58C3"/>
    <w:rsid w:val="009A6279"/>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B7A4E"/>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4C1D"/>
    <w:rsid w:val="009D6543"/>
    <w:rsid w:val="009D7289"/>
    <w:rsid w:val="009E0001"/>
    <w:rsid w:val="009E007F"/>
    <w:rsid w:val="009E059C"/>
    <w:rsid w:val="009E05A3"/>
    <w:rsid w:val="009E10B9"/>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ABA"/>
    <w:rsid w:val="009F0CA1"/>
    <w:rsid w:val="009F120D"/>
    <w:rsid w:val="009F15D6"/>
    <w:rsid w:val="009F162B"/>
    <w:rsid w:val="009F1E25"/>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4C"/>
    <w:rsid w:val="00A045DB"/>
    <w:rsid w:val="00A04C61"/>
    <w:rsid w:val="00A04D96"/>
    <w:rsid w:val="00A04DCB"/>
    <w:rsid w:val="00A04E68"/>
    <w:rsid w:val="00A04E7B"/>
    <w:rsid w:val="00A04FA6"/>
    <w:rsid w:val="00A0597A"/>
    <w:rsid w:val="00A05D95"/>
    <w:rsid w:val="00A064CD"/>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1E1"/>
    <w:rsid w:val="00A2564E"/>
    <w:rsid w:val="00A267F7"/>
    <w:rsid w:val="00A26CB9"/>
    <w:rsid w:val="00A27BEB"/>
    <w:rsid w:val="00A300A4"/>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6B7D"/>
    <w:rsid w:val="00A36C4F"/>
    <w:rsid w:val="00A37027"/>
    <w:rsid w:val="00A3709E"/>
    <w:rsid w:val="00A37621"/>
    <w:rsid w:val="00A37847"/>
    <w:rsid w:val="00A40B21"/>
    <w:rsid w:val="00A40CA4"/>
    <w:rsid w:val="00A411CC"/>
    <w:rsid w:val="00A418B2"/>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DDB"/>
    <w:rsid w:val="00A50F16"/>
    <w:rsid w:val="00A51806"/>
    <w:rsid w:val="00A51890"/>
    <w:rsid w:val="00A51A6E"/>
    <w:rsid w:val="00A51DCD"/>
    <w:rsid w:val="00A5386A"/>
    <w:rsid w:val="00A541F9"/>
    <w:rsid w:val="00A5420B"/>
    <w:rsid w:val="00A54A85"/>
    <w:rsid w:val="00A54C6F"/>
    <w:rsid w:val="00A55044"/>
    <w:rsid w:val="00A55191"/>
    <w:rsid w:val="00A55F49"/>
    <w:rsid w:val="00A575BE"/>
    <w:rsid w:val="00A576F3"/>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0F7D"/>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66F1"/>
    <w:rsid w:val="00A97396"/>
    <w:rsid w:val="00A974A6"/>
    <w:rsid w:val="00A97B78"/>
    <w:rsid w:val="00AA0150"/>
    <w:rsid w:val="00AA06A9"/>
    <w:rsid w:val="00AA0968"/>
    <w:rsid w:val="00AA0B6C"/>
    <w:rsid w:val="00AA0C0D"/>
    <w:rsid w:val="00AA0CC8"/>
    <w:rsid w:val="00AA164D"/>
    <w:rsid w:val="00AA18E9"/>
    <w:rsid w:val="00AA1921"/>
    <w:rsid w:val="00AA1B2E"/>
    <w:rsid w:val="00AA1D7C"/>
    <w:rsid w:val="00AA1E1E"/>
    <w:rsid w:val="00AA2210"/>
    <w:rsid w:val="00AA22F9"/>
    <w:rsid w:val="00AA2491"/>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168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C7ECF"/>
    <w:rsid w:val="00AD031A"/>
    <w:rsid w:val="00AD08C7"/>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147"/>
    <w:rsid w:val="00AF38A4"/>
    <w:rsid w:val="00AF3A96"/>
    <w:rsid w:val="00AF3FFE"/>
    <w:rsid w:val="00AF447D"/>
    <w:rsid w:val="00AF4CD7"/>
    <w:rsid w:val="00AF5069"/>
    <w:rsid w:val="00AF545F"/>
    <w:rsid w:val="00AF5480"/>
    <w:rsid w:val="00AF58B5"/>
    <w:rsid w:val="00AF597F"/>
    <w:rsid w:val="00AF6208"/>
    <w:rsid w:val="00AF7DD5"/>
    <w:rsid w:val="00AF7E49"/>
    <w:rsid w:val="00B002A8"/>
    <w:rsid w:val="00B0037A"/>
    <w:rsid w:val="00B007A4"/>
    <w:rsid w:val="00B01096"/>
    <w:rsid w:val="00B01B04"/>
    <w:rsid w:val="00B02087"/>
    <w:rsid w:val="00B02311"/>
    <w:rsid w:val="00B02333"/>
    <w:rsid w:val="00B02682"/>
    <w:rsid w:val="00B03085"/>
    <w:rsid w:val="00B039BE"/>
    <w:rsid w:val="00B03CA7"/>
    <w:rsid w:val="00B041C1"/>
    <w:rsid w:val="00B04279"/>
    <w:rsid w:val="00B04430"/>
    <w:rsid w:val="00B05673"/>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53F"/>
    <w:rsid w:val="00B246DE"/>
    <w:rsid w:val="00B247AF"/>
    <w:rsid w:val="00B24CB9"/>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2AFF"/>
    <w:rsid w:val="00B732E7"/>
    <w:rsid w:val="00B7357E"/>
    <w:rsid w:val="00B73A8F"/>
    <w:rsid w:val="00B73FA9"/>
    <w:rsid w:val="00B74330"/>
    <w:rsid w:val="00B74987"/>
    <w:rsid w:val="00B75274"/>
    <w:rsid w:val="00B753D0"/>
    <w:rsid w:val="00B75412"/>
    <w:rsid w:val="00B7586D"/>
    <w:rsid w:val="00B75870"/>
    <w:rsid w:val="00B75893"/>
    <w:rsid w:val="00B75E60"/>
    <w:rsid w:val="00B75EC9"/>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4BE"/>
    <w:rsid w:val="00B825D8"/>
    <w:rsid w:val="00B82864"/>
    <w:rsid w:val="00B828AF"/>
    <w:rsid w:val="00B82C56"/>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2A8"/>
    <w:rsid w:val="00BB04F1"/>
    <w:rsid w:val="00BB09BE"/>
    <w:rsid w:val="00BB0A6F"/>
    <w:rsid w:val="00BB1746"/>
    <w:rsid w:val="00BB1D84"/>
    <w:rsid w:val="00BB2517"/>
    <w:rsid w:val="00BB25C2"/>
    <w:rsid w:val="00BB3F83"/>
    <w:rsid w:val="00BB4332"/>
    <w:rsid w:val="00BB45C2"/>
    <w:rsid w:val="00BB46D7"/>
    <w:rsid w:val="00BB49B4"/>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29B2"/>
    <w:rsid w:val="00BD3074"/>
    <w:rsid w:val="00BD3B86"/>
    <w:rsid w:val="00BD3D95"/>
    <w:rsid w:val="00BD40D1"/>
    <w:rsid w:val="00BD47DC"/>
    <w:rsid w:val="00BD5227"/>
    <w:rsid w:val="00BD53F1"/>
    <w:rsid w:val="00BD6F16"/>
    <w:rsid w:val="00BD74DF"/>
    <w:rsid w:val="00BD7633"/>
    <w:rsid w:val="00BD7FE8"/>
    <w:rsid w:val="00BE034D"/>
    <w:rsid w:val="00BE036D"/>
    <w:rsid w:val="00BE0661"/>
    <w:rsid w:val="00BE0F41"/>
    <w:rsid w:val="00BE1433"/>
    <w:rsid w:val="00BE18DC"/>
    <w:rsid w:val="00BE1CA5"/>
    <w:rsid w:val="00BE22C9"/>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509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A4"/>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D4D"/>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50A"/>
    <w:rsid w:val="00C236F3"/>
    <w:rsid w:val="00C23783"/>
    <w:rsid w:val="00C237CE"/>
    <w:rsid w:val="00C23E29"/>
    <w:rsid w:val="00C23ED5"/>
    <w:rsid w:val="00C2481E"/>
    <w:rsid w:val="00C2492F"/>
    <w:rsid w:val="00C24AC7"/>
    <w:rsid w:val="00C24C81"/>
    <w:rsid w:val="00C24E0C"/>
    <w:rsid w:val="00C2502F"/>
    <w:rsid w:val="00C25D99"/>
    <w:rsid w:val="00C25DB5"/>
    <w:rsid w:val="00C25E0A"/>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1C1"/>
    <w:rsid w:val="00C51375"/>
    <w:rsid w:val="00C51415"/>
    <w:rsid w:val="00C51748"/>
    <w:rsid w:val="00C51854"/>
    <w:rsid w:val="00C51C41"/>
    <w:rsid w:val="00C523A3"/>
    <w:rsid w:val="00C52A26"/>
    <w:rsid w:val="00C530A3"/>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23E7"/>
    <w:rsid w:val="00C6305C"/>
    <w:rsid w:val="00C631B2"/>
    <w:rsid w:val="00C6321C"/>
    <w:rsid w:val="00C633F6"/>
    <w:rsid w:val="00C639E7"/>
    <w:rsid w:val="00C63E2F"/>
    <w:rsid w:val="00C6410B"/>
    <w:rsid w:val="00C64B3D"/>
    <w:rsid w:val="00C65133"/>
    <w:rsid w:val="00C66085"/>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661"/>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9F9"/>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69A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1CB"/>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23D"/>
    <w:rsid w:val="00CE15C4"/>
    <w:rsid w:val="00CE1BF2"/>
    <w:rsid w:val="00CE24D3"/>
    <w:rsid w:val="00CE2FCF"/>
    <w:rsid w:val="00CE340F"/>
    <w:rsid w:val="00CE3AD4"/>
    <w:rsid w:val="00CE4392"/>
    <w:rsid w:val="00CE43E0"/>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0E56"/>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6094"/>
    <w:rsid w:val="00CF73C9"/>
    <w:rsid w:val="00CF74FE"/>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36D"/>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921"/>
    <w:rsid w:val="00D22E6E"/>
    <w:rsid w:val="00D230CD"/>
    <w:rsid w:val="00D231C5"/>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A64"/>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7D0"/>
    <w:rsid w:val="00D56E42"/>
    <w:rsid w:val="00D57188"/>
    <w:rsid w:val="00D57506"/>
    <w:rsid w:val="00D57527"/>
    <w:rsid w:val="00D5791C"/>
    <w:rsid w:val="00D609F2"/>
    <w:rsid w:val="00D60ACA"/>
    <w:rsid w:val="00D60CD0"/>
    <w:rsid w:val="00D61394"/>
    <w:rsid w:val="00D61A3A"/>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6E3"/>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0A6"/>
    <w:rsid w:val="00D87137"/>
    <w:rsid w:val="00D9131B"/>
    <w:rsid w:val="00D9232E"/>
    <w:rsid w:val="00D92509"/>
    <w:rsid w:val="00D926A8"/>
    <w:rsid w:val="00D92868"/>
    <w:rsid w:val="00D92BA8"/>
    <w:rsid w:val="00D92C85"/>
    <w:rsid w:val="00D935F4"/>
    <w:rsid w:val="00D93ADE"/>
    <w:rsid w:val="00D94F66"/>
    <w:rsid w:val="00D95569"/>
    <w:rsid w:val="00D95B39"/>
    <w:rsid w:val="00D95EE7"/>
    <w:rsid w:val="00D95F1E"/>
    <w:rsid w:val="00D96032"/>
    <w:rsid w:val="00D968ED"/>
    <w:rsid w:val="00D96EE4"/>
    <w:rsid w:val="00D97026"/>
    <w:rsid w:val="00D971E3"/>
    <w:rsid w:val="00D9767D"/>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E8C"/>
    <w:rsid w:val="00DA5F0D"/>
    <w:rsid w:val="00DA6B27"/>
    <w:rsid w:val="00DA6F8F"/>
    <w:rsid w:val="00DA7900"/>
    <w:rsid w:val="00DB060E"/>
    <w:rsid w:val="00DB06AE"/>
    <w:rsid w:val="00DB0BD3"/>
    <w:rsid w:val="00DB0D9B"/>
    <w:rsid w:val="00DB1061"/>
    <w:rsid w:val="00DB1136"/>
    <w:rsid w:val="00DB1384"/>
    <w:rsid w:val="00DB1F38"/>
    <w:rsid w:val="00DB23A4"/>
    <w:rsid w:val="00DB371C"/>
    <w:rsid w:val="00DB3B82"/>
    <w:rsid w:val="00DB3CFA"/>
    <w:rsid w:val="00DB4396"/>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240E"/>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D73"/>
    <w:rsid w:val="00E00883"/>
    <w:rsid w:val="00E00B69"/>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B6C"/>
    <w:rsid w:val="00E22E3C"/>
    <w:rsid w:val="00E2380C"/>
    <w:rsid w:val="00E23D18"/>
    <w:rsid w:val="00E24143"/>
    <w:rsid w:val="00E24346"/>
    <w:rsid w:val="00E24417"/>
    <w:rsid w:val="00E24468"/>
    <w:rsid w:val="00E24CA3"/>
    <w:rsid w:val="00E25089"/>
    <w:rsid w:val="00E25B11"/>
    <w:rsid w:val="00E25E3E"/>
    <w:rsid w:val="00E266F8"/>
    <w:rsid w:val="00E26723"/>
    <w:rsid w:val="00E26A38"/>
    <w:rsid w:val="00E278E9"/>
    <w:rsid w:val="00E27C20"/>
    <w:rsid w:val="00E302DB"/>
    <w:rsid w:val="00E30A03"/>
    <w:rsid w:val="00E30AFF"/>
    <w:rsid w:val="00E3271C"/>
    <w:rsid w:val="00E327D7"/>
    <w:rsid w:val="00E32932"/>
    <w:rsid w:val="00E3305E"/>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11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BE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0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53F"/>
    <w:rsid w:val="00E84EC1"/>
    <w:rsid w:val="00E86054"/>
    <w:rsid w:val="00E878E5"/>
    <w:rsid w:val="00E907B0"/>
    <w:rsid w:val="00E90810"/>
    <w:rsid w:val="00E90D8E"/>
    <w:rsid w:val="00E913FC"/>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9F9"/>
    <w:rsid w:val="00EC6C73"/>
    <w:rsid w:val="00EC72F0"/>
    <w:rsid w:val="00EC75B7"/>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0FEE"/>
    <w:rsid w:val="00EE1532"/>
    <w:rsid w:val="00EE187C"/>
    <w:rsid w:val="00EE345F"/>
    <w:rsid w:val="00EE366C"/>
    <w:rsid w:val="00EE37BB"/>
    <w:rsid w:val="00EE4518"/>
    <w:rsid w:val="00EE4962"/>
    <w:rsid w:val="00EE5D9B"/>
    <w:rsid w:val="00EE626E"/>
    <w:rsid w:val="00EE6633"/>
    <w:rsid w:val="00EE6732"/>
    <w:rsid w:val="00EE6D0C"/>
    <w:rsid w:val="00EE6F56"/>
    <w:rsid w:val="00EE7163"/>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1755A"/>
    <w:rsid w:val="00F206A1"/>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27EE5"/>
    <w:rsid w:val="00F306BE"/>
    <w:rsid w:val="00F308C2"/>
    <w:rsid w:val="00F30B5D"/>
    <w:rsid w:val="00F30F0F"/>
    <w:rsid w:val="00F31236"/>
    <w:rsid w:val="00F319FF"/>
    <w:rsid w:val="00F31C7B"/>
    <w:rsid w:val="00F32886"/>
    <w:rsid w:val="00F329BC"/>
    <w:rsid w:val="00F33555"/>
    <w:rsid w:val="00F33C31"/>
    <w:rsid w:val="00F34061"/>
    <w:rsid w:val="00F3428B"/>
    <w:rsid w:val="00F34542"/>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163"/>
    <w:rsid w:val="00F5139B"/>
    <w:rsid w:val="00F513A6"/>
    <w:rsid w:val="00F513EF"/>
    <w:rsid w:val="00F51650"/>
    <w:rsid w:val="00F520E1"/>
    <w:rsid w:val="00F52441"/>
    <w:rsid w:val="00F52E58"/>
    <w:rsid w:val="00F5407B"/>
    <w:rsid w:val="00F5421E"/>
    <w:rsid w:val="00F5497F"/>
    <w:rsid w:val="00F560E0"/>
    <w:rsid w:val="00F56D8D"/>
    <w:rsid w:val="00F6033C"/>
    <w:rsid w:val="00F60676"/>
    <w:rsid w:val="00F607C3"/>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8F9"/>
    <w:rsid w:val="00F709B4"/>
    <w:rsid w:val="00F70DA6"/>
    <w:rsid w:val="00F7154F"/>
    <w:rsid w:val="00F71960"/>
    <w:rsid w:val="00F723D8"/>
    <w:rsid w:val="00F72BCD"/>
    <w:rsid w:val="00F72CC3"/>
    <w:rsid w:val="00F730A5"/>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0706"/>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0DC8"/>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3CEA"/>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5B05"/>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2FF2"/>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2F50"/>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15:docId w15:val="{BA00FBDE-2C6F-40BD-AF34-DF8868D1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F6E28"/>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2F6E28"/>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2F6E28"/>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Heading2"/>
    <w:next w:val="Normal"/>
    <w:link w:val="SubtitleChar"/>
    <w:qFormat/>
    <w:rsid w:val="002F6E28"/>
    <w:pPr>
      <w:spacing w:before="60"/>
      <w:jc w:val="left"/>
    </w:pPr>
    <w:rPr>
      <w:sz w:val="20"/>
    </w:rPr>
  </w:style>
  <w:style w:type="character" w:customStyle="1" w:styleId="SubtitleChar">
    <w:name w:val="Subtitle Char"/>
    <w:link w:val="Subtitle"/>
    <w:rsid w:val="002F6E28"/>
    <w:rPr>
      <w:rFonts w:ascii="Trebuchet MS" w:hAnsi="Trebuchet MS"/>
      <w:b/>
      <w:bCs/>
      <w:color w:val="007087"/>
      <w:kern w:val="32"/>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22344D"/>
    <w:rPr>
      <w:rFonts w:ascii="Trebuchet MS" w:hAnsi="Trebuchet MS"/>
      <w:i/>
      <w:iCs/>
      <w:color w:val="808080" w:themeColor="text1" w:themeTint="7F"/>
      <w:sz w:val="16"/>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rsid w:val="00D2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ast.lv/eng/electricity_market/cross_border_power_trade/ptr_limited_auctions_2017/"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BAF5573C33EE4FB6786A3241CA8789" ma:contentTypeVersion="0" ma:contentTypeDescription="Loo uus dokument" ma:contentTypeScope="" ma:versionID="af37c160b9b2f0b72e9f721d54a7eeea">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8C3FA-1924-4857-8D6F-202F7D0D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B315F2-4805-4DD6-ACA1-9A7D5968D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947E4-3257-4991-AC45-80C5E19B33A8}">
  <ds:schemaRefs>
    <ds:schemaRef ds:uri="http://schemas.microsoft.com/sharepoint/v3/contenttype/forms"/>
  </ds:schemaRefs>
</ds:datastoreItem>
</file>

<file path=customXml/itemProps4.xml><?xml version="1.0" encoding="utf-8"?>
<ds:datastoreItem xmlns:ds="http://schemas.openxmlformats.org/officeDocument/2006/customXml" ds:itemID="{3D8DC277-35C1-4E3F-A7DA-5AC7A099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10070</Characters>
  <Application>Microsoft Office Word</Application>
  <DocSecurity>0</DocSecurity>
  <Lines>83</Lines>
  <Paragraphs>23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11783</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2016-03-03T07:19:00Z</cp:lastPrinted>
  <dcterms:created xsi:type="dcterms:W3CDTF">2017-02-27T08:30:00Z</dcterms:created>
  <dcterms:modified xsi:type="dcterms:W3CDTF">2017-02-27T08:30:00Z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0x0101007ABAF5573C33EE4FB6786A3241CA8789</vt:lpwstr>
  </property>
</Properties>
</file>