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02C30" w14:textId="77777777" w:rsidR="00DF06B0" w:rsidRDefault="00DF06B0" w:rsidP="0022344D">
      <w:pPr>
        <w:sectPr w:rsidR="00DF06B0" w:rsidSect="00586362">
          <w:headerReference w:type="default" r:id="rId12"/>
          <w:footerReference w:type="default" r:id="rId13"/>
          <w:type w:val="continuous"/>
          <w:pgSz w:w="11906" w:h="16838" w:code="9"/>
          <w:pgMar w:top="1701" w:right="849" w:bottom="1134" w:left="1134" w:header="709" w:footer="67" w:gutter="0"/>
          <w:cols w:space="708"/>
          <w:docGrid w:linePitch="360"/>
        </w:sectPr>
      </w:pPr>
      <w:bookmarkStart w:id="0" w:name="_GoBack"/>
      <w:bookmarkEnd w:id="0"/>
    </w:p>
    <w:p w14:paraId="0886E279" w14:textId="7E843F46" w:rsidR="000710D4" w:rsidRPr="000710D4" w:rsidRDefault="005A7219" w:rsidP="0022344D">
      <w:pPr>
        <w:pStyle w:val="Heading1"/>
      </w:pPr>
      <w:r>
        <w:lastRenderedPageBreak/>
        <w:t>Elektriturg – 2015. aasta</w:t>
      </w:r>
    </w:p>
    <w:p w14:paraId="3786B4E0" w14:textId="62DE4C82" w:rsidR="008452A0" w:rsidRDefault="00C523A3" w:rsidP="0022344D">
      <w:r>
        <w:t>03</w:t>
      </w:r>
      <w:r w:rsidR="008452A0">
        <w:t>.</w:t>
      </w:r>
      <w:r w:rsidR="00CA69AD">
        <w:t>0</w:t>
      </w:r>
      <w:r>
        <w:t>3</w:t>
      </w:r>
      <w:r w:rsidR="008452A0">
        <w:t>.2016</w:t>
      </w:r>
    </w:p>
    <w:p w14:paraId="633D1AF8" w14:textId="08A904B5" w:rsidR="00A04C61" w:rsidRDefault="00A04C61" w:rsidP="00A04C61">
      <w:pPr>
        <w:pStyle w:val="NoSpacing"/>
        <w:numPr>
          <w:ilvl w:val="0"/>
          <w:numId w:val="28"/>
        </w:numPr>
      </w:pPr>
      <w:r>
        <w:t>Põhjamaade elektribörsi Nord Pool Spot (NPS) süsteemi keskmine hind oli 20,98 €/MWh;</w:t>
      </w:r>
    </w:p>
    <w:p w14:paraId="063A4FF6" w14:textId="535215D6" w:rsidR="00A04C61" w:rsidRDefault="00A04C61" w:rsidP="00A04C61">
      <w:pPr>
        <w:pStyle w:val="NoSpacing"/>
        <w:numPr>
          <w:ilvl w:val="0"/>
          <w:numId w:val="28"/>
        </w:numPr>
      </w:pPr>
      <w:r>
        <w:t>NPS Eesti hinnapiirkonna keskmine hind oli 31,08 €/MWh;</w:t>
      </w:r>
    </w:p>
    <w:p w14:paraId="3875C978" w14:textId="5C9F2A7C" w:rsidR="00A04C61" w:rsidRDefault="00A04C61" w:rsidP="00A04C61">
      <w:pPr>
        <w:pStyle w:val="NoSpacing"/>
        <w:numPr>
          <w:ilvl w:val="0"/>
          <w:numId w:val="28"/>
        </w:numPr>
      </w:pPr>
      <w:r>
        <w:t xml:space="preserve">Eesti turuosalised ostsid päev-ette ja päevasiseselt turult siseriikliku tarbimise katteks elektrienergiat kokku </w:t>
      </w:r>
      <w:r w:rsidR="00EC69F9">
        <w:t>87,4</w:t>
      </w:r>
      <w:r>
        <w:t>% ulatuses tarbimisest ehk 7,1 TWh;</w:t>
      </w:r>
    </w:p>
    <w:p w14:paraId="19BED770" w14:textId="3507393B" w:rsidR="00A04C61" w:rsidRDefault="00A04C61" w:rsidP="00A04C61">
      <w:pPr>
        <w:pStyle w:val="NoSpacing"/>
        <w:numPr>
          <w:ilvl w:val="0"/>
          <w:numId w:val="28"/>
        </w:numPr>
      </w:pPr>
      <w:r>
        <w:t xml:space="preserve">Eesti ja Läti hinnapiirkondade hinnad ühtisid päev-ette turul </w:t>
      </w:r>
      <w:r w:rsidR="00DB4396">
        <w:t>33,9</w:t>
      </w:r>
      <w:r>
        <w:t>% tundidest;</w:t>
      </w:r>
    </w:p>
    <w:p w14:paraId="495BAB2B" w14:textId="58C84D26" w:rsidR="00A04C61" w:rsidRDefault="00A04C61" w:rsidP="00A04C61">
      <w:pPr>
        <w:pStyle w:val="NoSpacing"/>
        <w:numPr>
          <w:ilvl w:val="0"/>
          <w:numId w:val="28"/>
        </w:numPr>
      </w:pPr>
      <w:r>
        <w:t xml:space="preserve">Eesti ja Soome hinnad ühtisid päev-ette turul </w:t>
      </w:r>
      <w:r w:rsidR="00DB4396">
        <w:t>88</w:t>
      </w:r>
      <w:r>
        <w:t>% ajast;</w:t>
      </w:r>
    </w:p>
    <w:p w14:paraId="5CC27566" w14:textId="4F651F7B" w:rsidR="00A04C61" w:rsidRDefault="00DB4396" w:rsidP="00DB4396">
      <w:pPr>
        <w:pStyle w:val="NoSpacing"/>
        <w:numPr>
          <w:ilvl w:val="0"/>
          <w:numId w:val="28"/>
        </w:numPr>
      </w:pPr>
      <w:r w:rsidRPr="00DB4396">
        <w:t>Juunis 2015 alustas NPS Soome ja Venemaa vahelise kaubanduse piirkond ehk FRE hinnapiirkond</w:t>
      </w:r>
      <w:r>
        <w:t>.</w:t>
      </w:r>
      <w:r w:rsidRPr="00DB4396">
        <w:t xml:space="preserve"> </w:t>
      </w:r>
      <w:r>
        <w:t>8.08.2015 anti esimest korda turule võimsust</w:t>
      </w:r>
      <w:r w:rsidR="00A04C61">
        <w:t>;</w:t>
      </w:r>
    </w:p>
    <w:p w14:paraId="7F997A47" w14:textId="29BD594C" w:rsidR="008452A0" w:rsidRDefault="00A04C61" w:rsidP="003A6A66">
      <w:pPr>
        <w:pStyle w:val="NoSpacing"/>
        <w:numPr>
          <w:ilvl w:val="0"/>
          <w:numId w:val="28"/>
        </w:numPr>
      </w:pPr>
      <w:r>
        <w:t xml:space="preserve">Limiteeritud PTR-e ostnud turuosalistele maksti tegeliku hinnaerinevuse alusel </w:t>
      </w:r>
      <w:r w:rsidR="003A6A66">
        <w:t>kokku (aasta, kvartali ja kuu tooted) 11,5 mln eurot</w:t>
      </w:r>
      <w:r w:rsidR="008452A0">
        <w:t>.</w:t>
      </w:r>
    </w:p>
    <w:p w14:paraId="111C9F90" w14:textId="77777777" w:rsidR="00B02333" w:rsidRDefault="00B02333" w:rsidP="00B02333">
      <w:pPr>
        <w:pStyle w:val="NoSpacing"/>
      </w:pPr>
    </w:p>
    <w:tbl>
      <w:tblPr>
        <w:tblStyle w:val="TableGrid"/>
        <w:tblW w:w="0" w:type="auto"/>
        <w:tblLook w:val="04A0" w:firstRow="1" w:lastRow="0" w:firstColumn="1" w:lastColumn="0" w:noHBand="0" w:noVBand="1"/>
      </w:tblPr>
      <w:tblGrid>
        <w:gridCol w:w="2547"/>
        <w:gridCol w:w="707"/>
        <w:gridCol w:w="707"/>
        <w:gridCol w:w="707"/>
      </w:tblGrid>
      <w:tr w:rsidR="00B02333" w:rsidRPr="00D231C5" w14:paraId="608E528B" w14:textId="361619E4" w:rsidTr="00A04C61">
        <w:tc>
          <w:tcPr>
            <w:tcW w:w="2547" w:type="dxa"/>
            <w:shd w:val="clear" w:color="auto" w:fill="007087"/>
            <w:vAlign w:val="center"/>
          </w:tcPr>
          <w:p w14:paraId="2AB70F07" w14:textId="2643C738" w:rsidR="00B02333" w:rsidRPr="00D231C5" w:rsidRDefault="00B02333" w:rsidP="004D3E87">
            <w:pPr>
              <w:pStyle w:val="NoSpacing"/>
              <w:spacing w:before="60" w:after="60"/>
              <w:jc w:val="center"/>
              <w:rPr>
                <w:b/>
                <w:color w:val="FFFFFF" w:themeColor="background1"/>
                <w:sz w:val="16"/>
                <w:szCs w:val="16"/>
              </w:rPr>
            </w:pPr>
            <w:r>
              <w:rPr>
                <w:b/>
                <w:color w:val="FFFFFF" w:themeColor="background1"/>
                <w:sz w:val="16"/>
                <w:szCs w:val="16"/>
              </w:rPr>
              <w:t>NPS Eesti</w:t>
            </w:r>
          </w:p>
        </w:tc>
        <w:tc>
          <w:tcPr>
            <w:tcW w:w="707" w:type="dxa"/>
            <w:shd w:val="clear" w:color="auto" w:fill="007087"/>
            <w:vAlign w:val="center"/>
          </w:tcPr>
          <w:p w14:paraId="4BC8491F" w14:textId="7811F863" w:rsidR="00B02333" w:rsidRPr="00D231C5" w:rsidRDefault="00B02333" w:rsidP="004D3E87">
            <w:pPr>
              <w:pStyle w:val="NoSpacing"/>
              <w:spacing w:before="60" w:after="60"/>
              <w:jc w:val="center"/>
              <w:rPr>
                <w:b/>
                <w:color w:val="FFFFFF" w:themeColor="background1"/>
                <w:sz w:val="16"/>
                <w:szCs w:val="16"/>
              </w:rPr>
            </w:pPr>
            <w:r>
              <w:rPr>
                <w:b/>
                <w:color w:val="FFFFFF" w:themeColor="background1"/>
                <w:sz w:val="16"/>
                <w:szCs w:val="16"/>
              </w:rPr>
              <w:t>2015</w:t>
            </w:r>
          </w:p>
        </w:tc>
        <w:tc>
          <w:tcPr>
            <w:tcW w:w="707" w:type="dxa"/>
            <w:shd w:val="clear" w:color="auto" w:fill="007087"/>
            <w:vAlign w:val="center"/>
          </w:tcPr>
          <w:p w14:paraId="5DAA1256" w14:textId="6472D37E" w:rsidR="00B02333" w:rsidRPr="00D231C5" w:rsidRDefault="00B02333" w:rsidP="004D3E87">
            <w:pPr>
              <w:pStyle w:val="NoSpacing"/>
              <w:spacing w:before="60" w:after="60"/>
              <w:jc w:val="center"/>
              <w:rPr>
                <w:b/>
                <w:color w:val="FFFFFF" w:themeColor="background1"/>
                <w:sz w:val="16"/>
                <w:szCs w:val="16"/>
              </w:rPr>
            </w:pPr>
            <w:r>
              <w:rPr>
                <w:b/>
                <w:color w:val="FFFFFF" w:themeColor="background1"/>
                <w:sz w:val="16"/>
                <w:szCs w:val="16"/>
              </w:rPr>
              <w:t>2014</w:t>
            </w:r>
          </w:p>
        </w:tc>
        <w:tc>
          <w:tcPr>
            <w:tcW w:w="707" w:type="dxa"/>
            <w:shd w:val="clear" w:color="auto" w:fill="007087"/>
          </w:tcPr>
          <w:p w14:paraId="08EBFE8C" w14:textId="24286769" w:rsidR="00B02333" w:rsidRPr="00D231C5" w:rsidRDefault="00B02333" w:rsidP="004D3E87">
            <w:pPr>
              <w:pStyle w:val="NoSpacing"/>
              <w:spacing w:before="60" w:after="60"/>
              <w:jc w:val="center"/>
              <w:rPr>
                <w:b/>
                <w:color w:val="FFFFFF" w:themeColor="background1"/>
                <w:sz w:val="16"/>
                <w:szCs w:val="16"/>
              </w:rPr>
            </w:pPr>
            <w:r>
              <w:rPr>
                <w:b/>
                <w:color w:val="FFFFFF" w:themeColor="background1"/>
                <w:sz w:val="16"/>
                <w:szCs w:val="16"/>
              </w:rPr>
              <w:t>2013</w:t>
            </w:r>
          </w:p>
        </w:tc>
      </w:tr>
      <w:tr w:rsidR="00A04C61" w:rsidRPr="00D231C5" w14:paraId="0E56814D" w14:textId="6090F59B" w:rsidTr="00A04C61">
        <w:tc>
          <w:tcPr>
            <w:tcW w:w="2547" w:type="dxa"/>
            <w:vAlign w:val="center"/>
          </w:tcPr>
          <w:p w14:paraId="4F018E83" w14:textId="3E7C522F" w:rsidR="00A04C61" w:rsidRPr="00D231C5" w:rsidRDefault="00A04C61" w:rsidP="00A04C61">
            <w:pPr>
              <w:pStyle w:val="NoSpacing"/>
              <w:spacing w:before="60" w:after="60"/>
              <w:jc w:val="left"/>
              <w:rPr>
                <w:sz w:val="16"/>
                <w:szCs w:val="16"/>
              </w:rPr>
            </w:pPr>
            <w:r>
              <w:rPr>
                <w:sz w:val="16"/>
                <w:szCs w:val="16"/>
              </w:rPr>
              <w:t>P</w:t>
            </w:r>
            <w:r w:rsidRPr="00B02333">
              <w:rPr>
                <w:sz w:val="16"/>
                <w:szCs w:val="16"/>
              </w:rPr>
              <w:t>äev-ette turult ostetud elektrienergia kogus (TWh)</w:t>
            </w:r>
          </w:p>
        </w:tc>
        <w:tc>
          <w:tcPr>
            <w:tcW w:w="707" w:type="dxa"/>
            <w:vAlign w:val="center"/>
          </w:tcPr>
          <w:p w14:paraId="09C526A3" w14:textId="40D385B5" w:rsidR="00A04C61" w:rsidRPr="00D231C5" w:rsidRDefault="003A6A66" w:rsidP="003A6A66">
            <w:pPr>
              <w:pStyle w:val="NoSpacing"/>
              <w:spacing w:before="60" w:after="60"/>
              <w:jc w:val="center"/>
              <w:rPr>
                <w:sz w:val="16"/>
                <w:szCs w:val="16"/>
              </w:rPr>
            </w:pPr>
            <w:r>
              <w:rPr>
                <w:sz w:val="16"/>
                <w:szCs w:val="16"/>
              </w:rPr>
              <w:t>7,09</w:t>
            </w:r>
          </w:p>
        </w:tc>
        <w:tc>
          <w:tcPr>
            <w:tcW w:w="707" w:type="dxa"/>
            <w:vAlign w:val="center"/>
          </w:tcPr>
          <w:p w14:paraId="6B67F608" w14:textId="1E896FD0" w:rsidR="00A04C61" w:rsidRPr="00D231C5" w:rsidRDefault="00A04C61" w:rsidP="003A6A66">
            <w:pPr>
              <w:pStyle w:val="NoSpacing"/>
              <w:spacing w:before="60" w:after="60"/>
              <w:jc w:val="center"/>
              <w:rPr>
                <w:sz w:val="16"/>
                <w:szCs w:val="16"/>
              </w:rPr>
            </w:pPr>
            <w:r>
              <w:rPr>
                <w:sz w:val="16"/>
                <w:szCs w:val="16"/>
              </w:rPr>
              <w:t>7,</w:t>
            </w:r>
            <w:r w:rsidR="003A6A66">
              <w:rPr>
                <w:sz w:val="16"/>
                <w:szCs w:val="16"/>
              </w:rPr>
              <w:t>14</w:t>
            </w:r>
          </w:p>
        </w:tc>
        <w:tc>
          <w:tcPr>
            <w:tcW w:w="707" w:type="dxa"/>
            <w:vAlign w:val="center"/>
          </w:tcPr>
          <w:p w14:paraId="342B36B7" w14:textId="7819F74C" w:rsidR="00A04C61" w:rsidRPr="00D231C5" w:rsidRDefault="007F586F" w:rsidP="00A04C61">
            <w:pPr>
              <w:pStyle w:val="NoSpacing"/>
              <w:spacing w:before="60" w:after="60"/>
              <w:jc w:val="center"/>
              <w:rPr>
                <w:sz w:val="16"/>
                <w:szCs w:val="16"/>
              </w:rPr>
            </w:pPr>
            <w:r>
              <w:rPr>
                <w:sz w:val="16"/>
                <w:szCs w:val="16"/>
              </w:rPr>
              <w:t>7,45</w:t>
            </w:r>
          </w:p>
        </w:tc>
      </w:tr>
      <w:tr w:rsidR="00A04C61" w:rsidRPr="00D231C5" w14:paraId="045187C7" w14:textId="78DEEA89" w:rsidTr="00A04C61">
        <w:tc>
          <w:tcPr>
            <w:tcW w:w="2547" w:type="dxa"/>
            <w:vAlign w:val="center"/>
          </w:tcPr>
          <w:p w14:paraId="27AB2C22" w14:textId="455FACE6" w:rsidR="00A04C61" w:rsidRPr="00D231C5" w:rsidRDefault="00A04C61" w:rsidP="00A04C61">
            <w:pPr>
              <w:pStyle w:val="NoSpacing"/>
              <w:spacing w:before="60" w:after="60"/>
              <w:jc w:val="left"/>
              <w:rPr>
                <w:sz w:val="16"/>
                <w:szCs w:val="16"/>
              </w:rPr>
            </w:pPr>
            <w:r>
              <w:rPr>
                <w:sz w:val="16"/>
                <w:szCs w:val="16"/>
              </w:rPr>
              <w:t>P</w:t>
            </w:r>
            <w:r w:rsidRPr="00B02333">
              <w:rPr>
                <w:sz w:val="16"/>
                <w:szCs w:val="16"/>
              </w:rPr>
              <w:t>äev-ette turul müüdud elektrienergia kogus (TWh)</w:t>
            </w:r>
          </w:p>
        </w:tc>
        <w:tc>
          <w:tcPr>
            <w:tcW w:w="707" w:type="dxa"/>
            <w:vAlign w:val="center"/>
          </w:tcPr>
          <w:p w14:paraId="6CC8E0ED" w14:textId="4F44A83E" w:rsidR="00A04C61" w:rsidRPr="00D231C5" w:rsidRDefault="007F586F" w:rsidP="00A04C61">
            <w:pPr>
              <w:pStyle w:val="NoSpacing"/>
              <w:spacing w:before="60" w:after="60"/>
              <w:jc w:val="center"/>
              <w:rPr>
                <w:sz w:val="16"/>
                <w:szCs w:val="16"/>
              </w:rPr>
            </w:pPr>
            <w:r>
              <w:rPr>
                <w:sz w:val="16"/>
                <w:szCs w:val="16"/>
              </w:rPr>
              <w:t>7,85</w:t>
            </w:r>
          </w:p>
        </w:tc>
        <w:tc>
          <w:tcPr>
            <w:tcW w:w="707" w:type="dxa"/>
            <w:vAlign w:val="center"/>
          </w:tcPr>
          <w:p w14:paraId="7169D65C" w14:textId="17310976" w:rsidR="00A04C61" w:rsidRPr="00D231C5" w:rsidRDefault="00A04C61" w:rsidP="00A04C61">
            <w:pPr>
              <w:pStyle w:val="NoSpacing"/>
              <w:spacing w:before="60" w:after="60"/>
              <w:jc w:val="center"/>
              <w:rPr>
                <w:sz w:val="16"/>
                <w:szCs w:val="16"/>
              </w:rPr>
            </w:pPr>
            <w:r>
              <w:rPr>
                <w:sz w:val="16"/>
                <w:szCs w:val="16"/>
              </w:rPr>
              <w:t>9,8</w:t>
            </w:r>
            <w:r w:rsidR="007F586F">
              <w:rPr>
                <w:sz w:val="16"/>
                <w:szCs w:val="16"/>
              </w:rPr>
              <w:t>2</w:t>
            </w:r>
          </w:p>
        </w:tc>
        <w:tc>
          <w:tcPr>
            <w:tcW w:w="707" w:type="dxa"/>
            <w:vAlign w:val="center"/>
          </w:tcPr>
          <w:p w14:paraId="1AD884BB" w14:textId="158618FB" w:rsidR="00A04C61" w:rsidRPr="00D231C5" w:rsidRDefault="00A04C61" w:rsidP="00A04C61">
            <w:pPr>
              <w:pStyle w:val="NoSpacing"/>
              <w:spacing w:before="60" w:after="60"/>
              <w:jc w:val="center"/>
              <w:rPr>
                <w:sz w:val="16"/>
                <w:szCs w:val="16"/>
              </w:rPr>
            </w:pPr>
            <w:r>
              <w:rPr>
                <w:sz w:val="16"/>
                <w:szCs w:val="16"/>
              </w:rPr>
              <w:t>10,7</w:t>
            </w:r>
          </w:p>
        </w:tc>
      </w:tr>
      <w:tr w:rsidR="00A04C61" w:rsidRPr="00D231C5" w14:paraId="49036743" w14:textId="7F68B041" w:rsidTr="00A04C61">
        <w:tc>
          <w:tcPr>
            <w:tcW w:w="2547" w:type="dxa"/>
            <w:vAlign w:val="center"/>
          </w:tcPr>
          <w:p w14:paraId="46D2969D" w14:textId="26EBE2A4" w:rsidR="00A04C61" w:rsidRPr="00D231C5" w:rsidRDefault="00A04C61" w:rsidP="007F586F">
            <w:pPr>
              <w:pStyle w:val="NoSpacing"/>
              <w:spacing w:before="60" w:after="60"/>
              <w:jc w:val="left"/>
              <w:rPr>
                <w:sz w:val="16"/>
                <w:szCs w:val="16"/>
              </w:rPr>
            </w:pPr>
            <w:r w:rsidRPr="00B02333">
              <w:rPr>
                <w:sz w:val="16"/>
                <w:szCs w:val="16"/>
              </w:rPr>
              <w:t>Ülekoormustulu Eesti ja Soome vaheliselt ülekandevõimsuste kaudsel</w:t>
            </w:r>
            <w:r w:rsidR="00145F8F">
              <w:rPr>
                <w:sz w:val="16"/>
                <w:szCs w:val="16"/>
              </w:rPr>
              <w:t>t</w:t>
            </w:r>
            <w:r w:rsidRPr="00B02333">
              <w:rPr>
                <w:sz w:val="16"/>
                <w:szCs w:val="16"/>
              </w:rPr>
              <w:t xml:space="preserve"> oksjonilt (</w:t>
            </w:r>
            <w:r w:rsidR="007F586F">
              <w:rPr>
                <w:sz w:val="16"/>
                <w:szCs w:val="16"/>
              </w:rPr>
              <w:t>mln €</w:t>
            </w:r>
            <w:r w:rsidRPr="00B02333">
              <w:rPr>
                <w:sz w:val="16"/>
                <w:szCs w:val="16"/>
              </w:rPr>
              <w:t>)</w:t>
            </w:r>
          </w:p>
        </w:tc>
        <w:tc>
          <w:tcPr>
            <w:tcW w:w="707" w:type="dxa"/>
            <w:vAlign w:val="center"/>
          </w:tcPr>
          <w:p w14:paraId="17E8DD27" w14:textId="493D2916" w:rsidR="00A04C61" w:rsidRPr="00D231C5" w:rsidRDefault="007F586F" w:rsidP="00A04C61">
            <w:pPr>
              <w:pStyle w:val="NoSpacing"/>
              <w:spacing w:before="60" w:after="60"/>
              <w:jc w:val="center"/>
              <w:rPr>
                <w:sz w:val="16"/>
                <w:szCs w:val="16"/>
              </w:rPr>
            </w:pPr>
            <w:r>
              <w:rPr>
                <w:sz w:val="16"/>
                <w:szCs w:val="16"/>
              </w:rPr>
              <w:t>4,18</w:t>
            </w:r>
          </w:p>
        </w:tc>
        <w:tc>
          <w:tcPr>
            <w:tcW w:w="707" w:type="dxa"/>
            <w:vAlign w:val="center"/>
          </w:tcPr>
          <w:p w14:paraId="5B78EC05" w14:textId="5619789C" w:rsidR="00A04C61" w:rsidRPr="00D231C5" w:rsidRDefault="007F586F" w:rsidP="00A04C61">
            <w:pPr>
              <w:pStyle w:val="NoSpacing"/>
              <w:spacing w:before="60" w:after="60"/>
              <w:jc w:val="center"/>
              <w:rPr>
                <w:sz w:val="16"/>
                <w:szCs w:val="16"/>
              </w:rPr>
            </w:pPr>
            <w:r>
              <w:rPr>
                <w:sz w:val="16"/>
                <w:szCs w:val="16"/>
              </w:rPr>
              <w:t>2,39</w:t>
            </w:r>
          </w:p>
        </w:tc>
        <w:tc>
          <w:tcPr>
            <w:tcW w:w="707" w:type="dxa"/>
            <w:vAlign w:val="center"/>
          </w:tcPr>
          <w:p w14:paraId="6E3EA1E6" w14:textId="54790DD4" w:rsidR="00A04C61" w:rsidRPr="00D231C5" w:rsidRDefault="00A04C61" w:rsidP="00A04C61">
            <w:pPr>
              <w:pStyle w:val="NoSpacing"/>
              <w:spacing w:before="60" w:after="60"/>
              <w:jc w:val="center"/>
              <w:rPr>
                <w:sz w:val="16"/>
                <w:szCs w:val="16"/>
              </w:rPr>
            </w:pPr>
            <w:r>
              <w:rPr>
                <w:sz w:val="16"/>
                <w:szCs w:val="16"/>
              </w:rPr>
              <w:t>7,40</w:t>
            </w:r>
          </w:p>
        </w:tc>
      </w:tr>
      <w:tr w:rsidR="00A04C61" w:rsidRPr="00D231C5" w14:paraId="72298891" w14:textId="73D5F128" w:rsidTr="00A04C61">
        <w:tc>
          <w:tcPr>
            <w:tcW w:w="2547" w:type="dxa"/>
            <w:vAlign w:val="center"/>
          </w:tcPr>
          <w:p w14:paraId="229D6150" w14:textId="4C83C0C2" w:rsidR="00A04C61" w:rsidRDefault="00A04C61" w:rsidP="007F586F">
            <w:pPr>
              <w:pStyle w:val="NoSpacing"/>
              <w:spacing w:before="60" w:after="60"/>
              <w:jc w:val="left"/>
              <w:rPr>
                <w:sz w:val="16"/>
                <w:szCs w:val="16"/>
              </w:rPr>
            </w:pPr>
            <w:r w:rsidRPr="00B02333">
              <w:rPr>
                <w:sz w:val="16"/>
                <w:szCs w:val="16"/>
              </w:rPr>
              <w:t>Ülekoormustulu Eesti ja Läti vahelise ülekandevõimsuse kaudsel</w:t>
            </w:r>
            <w:r w:rsidR="0031592D">
              <w:rPr>
                <w:sz w:val="16"/>
                <w:szCs w:val="16"/>
              </w:rPr>
              <w:t>t</w:t>
            </w:r>
            <w:r w:rsidRPr="00B02333">
              <w:rPr>
                <w:sz w:val="16"/>
                <w:szCs w:val="16"/>
              </w:rPr>
              <w:t xml:space="preserve"> oksjonilt (</w:t>
            </w:r>
            <w:r w:rsidR="007F586F">
              <w:rPr>
                <w:sz w:val="16"/>
                <w:szCs w:val="16"/>
              </w:rPr>
              <w:t>mln €</w:t>
            </w:r>
            <w:r w:rsidRPr="00B02333">
              <w:rPr>
                <w:sz w:val="16"/>
                <w:szCs w:val="16"/>
              </w:rPr>
              <w:t>)*</w:t>
            </w:r>
          </w:p>
        </w:tc>
        <w:tc>
          <w:tcPr>
            <w:tcW w:w="707" w:type="dxa"/>
            <w:vAlign w:val="center"/>
          </w:tcPr>
          <w:p w14:paraId="0AAB0A17" w14:textId="5FED967F" w:rsidR="00A04C61" w:rsidRPr="00D231C5" w:rsidRDefault="007F586F" w:rsidP="00A04C61">
            <w:pPr>
              <w:pStyle w:val="NoSpacing"/>
              <w:spacing w:before="60" w:after="60"/>
              <w:jc w:val="center"/>
              <w:rPr>
                <w:sz w:val="16"/>
                <w:szCs w:val="16"/>
              </w:rPr>
            </w:pPr>
            <w:r>
              <w:rPr>
                <w:sz w:val="16"/>
                <w:szCs w:val="16"/>
              </w:rPr>
              <w:t>31,93</w:t>
            </w:r>
          </w:p>
        </w:tc>
        <w:tc>
          <w:tcPr>
            <w:tcW w:w="707" w:type="dxa"/>
            <w:vAlign w:val="center"/>
          </w:tcPr>
          <w:p w14:paraId="5EAEC788" w14:textId="3C6092D4" w:rsidR="00A04C61" w:rsidRPr="00D231C5" w:rsidRDefault="00A04C61" w:rsidP="00A04C61">
            <w:pPr>
              <w:pStyle w:val="NoSpacing"/>
              <w:spacing w:before="60" w:after="60"/>
              <w:jc w:val="center"/>
              <w:rPr>
                <w:sz w:val="16"/>
                <w:szCs w:val="16"/>
              </w:rPr>
            </w:pPr>
            <w:r>
              <w:rPr>
                <w:sz w:val="16"/>
                <w:szCs w:val="16"/>
              </w:rPr>
              <w:t>38,9</w:t>
            </w:r>
            <w:r w:rsidR="007F586F">
              <w:rPr>
                <w:sz w:val="16"/>
                <w:szCs w:val="16"/>
              </w:rPr>
              <w:t>1</w:t>
            </w:r>
          </w:p>
        </w:tc>
        <w:tc>
          <w:tcPr>
            <w:tcW w:w="707" w:type="dxa"/>
            <w:vAlign w:val="center"/>
          </w:tcPr>
          <w:p w14:paraId="71918E6E" w14:textId="43146425" w:rsidR="00A04C61" w:rsidRPr="00D231C5" w:rsidRDefault="00A04C61" w:rsidP="00A04C61">
            <w:pPr>
              <w:pStyle w:val="NoSpacing"/>
              <w:spacing w:before="60" w:after="60"/>
              <w:jc w:val="center"/>
              <w:rPr>
                <w:sz w:val="16"/>
                <w:szCs w:val="16"/>
              </w:rPr>
            </w:pPr>
            <w:r>
              <w:rPr>
                <w:sz w:val="16"/>
                <w:szCs w:val="16"/>
              </w:rPr>
              <w:t>28,24</w:t>
            </w:r>
          </w:p>
        </w:tc>
      </w:tr>
      <w:tr w:rsidR="00A04C61" w:rsidRPr="00D231C5" w14:paraId="4C79074B" w14:textId="77777777" w:rsidTr="00A04C61">
        <w:tc>
          <w:tcPr>
            <w:tcW w:w="2547" w:type="dxa"/>
            <w:vAlign w:val="center"/>
          </w:tcPr>
          <w:p w14:paraId="524EB963" w14:textId="489F0757" w:rsidR="00A04C61" w:rsidRPr="00B02333" w:rsidRDefault="00A04C61" w:rsidP="007F586F">
            <w:pPr>
              <w:pStyle w:val="NoSpacing"/>
              <w:spacing w:before="60" w:after="60"/>
              <w:jc w:val="left"/>
              <w:rPr>
                <w:sz w:val="16"/>
                <w:szCs w:val="16"/>
              </w:rPr>
            </w:pPr>
            <w:r w:rsidRPr="00B02333">
              <w:rPr>
                <w:sz w:val="16"/>
                <w:szCs w:val="16"/>
              </w:rPr>
              <w:t>Ülekoormustulu Eesti ja Läti vahelise ülekandevõimsuse otseselt oksjonilt (</w:t>
            </w:r>
            <w:r w:rsidR="007F586F">
              <w:rPr>
                <w:sz w:val="16"/>
                <w:szCs w:val="16"/>
              </w:rPr>
              <w:t>mln €</w:t>
            </w:r>
            <w:r w:rsidRPr="00B02333">
              <w:rPr>
                <w:sz w:val="16"/>
                <w:szCs w:val="16"/>
              </w:rPr>
              <w:t>)**</w:t>
            </w:r>
          </w:p>
        </w:tc>
        <w:tc>
          <w:tcPr>
            <w:tcW w:w="707" w:type="dxa"/>
            <w:vAlign w:val="center"/>
          </w:tcPr>
          <w:p w14:paraId="312AEC13" w14:textId="4A5E13AC" w:rsidR="00A04C61" w:rsidRPr="00D231C5" w:rsidRDefault="007F586F" w:rsidP="00A04C61">
            <w:pPr>
              <w:pStyle w:val="NoSpacing"/>
              <w:spacing w:before="60" w:after="60"/>
              <w:jc w:val="center"/>
              <w:rPr>
                <w:sz w:val="16"/>
                <w:szCs w:val="16"/>
              </w:rPr>
            </w:pPr>
            <w:r>
              <w:rPr>
                <w:sz w:val="16"/>
                <w:szCs w:val="16"/>
              </w:rPr>
              <w:t>-</w:t>
            </w:r>
          </w:p>
        </w:tc>
        <w:tc>
          <w:tcPr>
            <w:tcW w:w="707" w:type="dxa"/>
            <w:vAlign w:val="center"/>
          </w:tcPr>
          <w:p w14:paraId="56AF57F6" w14:textId="49419CCF" w:rsidR="00A04C61" w:rsidRPr="00D231C5" w:rsidRDefault="00A04C61" w:rsidP="00A04C61">
            <w:pPr>
              <w:pStyle w:val="NoSpacing"/>
              <w:spacing w:before="60" w:after="60"/>
              <w:jc w:val="center"/>
              <w:rPr>
                <w:sz w:val="16"/>
                <w:szCs w:val="16"/>
              </w:rPr>
            </w:pPr>
            <w:r>
              <w:rPr>
                <w:sz w:val="16"/>
                <w:szCs w:val="16"/>
              </w:rPr>
              <w:t>-</w:t>
            </w:r>
          </w:p>
        </w:tc>
        <w:tc>
          <w:tcPr>
            <w:tcW w:w="707" w:type="dxa"/>
            <w:vAlign w:val="center"/>
          </w:tcPr>
          <w:p w14:paraId="1FCE6803" w14:textId="0052A906" w:rsidR="00A04C61" w:rsidRPr="00D231C5" w:rsidRDefault="00A04C61" w:rsidP="00A04C61">
            <w:pPr>
              <w:pStyle w:val="NoSpacing"/>
              <w:spacing w:before="60" w:after="60"/>
              <w:jc w:val="center"/>
              <w:rPr>
                <w:sz w:val="16"/>
                <w:szCs w:val="16"/>
              </w:rPr>
            </w:pPr>
            <w:r>
              <w:rPr>
                <w:sz w:val="16"/>
                <w:szCs w:val="16"/>
              </w:rPr>
              <w:t>0,17</w:t>
            </w:r>
          </w:p>
        </w:tc>
      </w:tr>
      <w:tr w:rsidR="00A04C61" w:rsidRPr="00D231C5" w14:paraId="159DF85B" w14:textId="77777777" w:rsidTr="00A04C61">
        <w:tc>
          <w:tcPr>
            <w:tcW w:w="2547" w:type="dxa"/>
            <w:vAlign w:val="center"/>
          </w:tcPr>
          <w:p w14:paraId="37AB3B31" w14:textId="327CF6D0" w:rsidR="00A04C61" w:rsidRPr="00B02333" w:rsidRDefault="00A04C61" w:rsidP="006D5F65">
            <w:pPr>
              <w:pStyle w:val="NoSpacing"/>
              <w:spacing w:before="60" w:after="60"/>
              <w:jc w:val="left"/>
              <w:rPr>
                <w:sz w:val="16"/>
                <w:szCs w:val="16"/>
              </w:rPr>
            </w:pPr>
            <w:r w:rsidRPr="00B02333">
              <w:rPr>
                <w:sz w:val="16"/>
                <w:szCs w:val="16"/>
              </w:rPr>
              <w:t xml:space="preserve">Limiteeritud PTR toodete </w:t>
            </w:r>
            <w:r w:rsidR="007F586F">
              <w:rPr>
                <w:sz w:val="16"/>
                <w:szCs w:val="16"/>
              </w:rPr>
              <w:t>neto kulu(-)/</w:t>
            </w:r>
            <w:r w:rsidRPr="00B02333">
              <w:rPr>
                <w:sz w:val="16"/>
                <w:szCs w:val="16"/>
              </w:rPr>
              <w:t xml:space="preserve">tulu(+) </w:t>
            </w:r>
            <w:r w:rsidR="006D5F65">
              <w:rPr>
                <w:sz w:val="16"/>
                <w:szCs w:val="16"/>
              </w:rPr>
              <w:t>Eleringile</w:t>
            </w:r>
            <w:r w:rsidR="006D5F65" w:rsidRPr="00B02333">
              <w:rPr>
                <w:sz w:val="16"/>
                <w:szCs w:val="16"/>
              </w:rPr>
              <w:t xml:space="preserve"> </w:t>
            </w:r>
            <w:r w:rsidRPr="00B02333">
              <w:rPr>
                <w:sz w:val="16"/>
                <w:szCs w:val="16"/>
              </w:rPr>
              <w:t>(</w:t>
            </w:r>
            <w:r w:rsidR="007F586F">
              <w:rPr>
                <w:sz w:val="16"/>
                <w:szCs w:val="16"/>
              </w:rPr>
              <w:t>mln €</w:t>
            </w:r>
            <w:r w:rsidRPr="00B02333">
              <w:rPr>
                <w:sz w:val="16"/>
                <w:szCs w:val="16"/>
              </w:rPr>
              <w:t>)</w:t>
            </w:r>
          </w:p>
        </w:tc>
        <w:tc>
          <w:tcPr>
            <w:tcW w:w="707" w:type="dxa"/>
            <w:vAlign w:val="center"/>
          </w:tcPr>
          <w:p w14:paraId="3F0AAA15" w14:textId="16258FCB" w:rsidR="00A04C61" w:rsidRPr="00D231C5" w:rsidRDefault="007F586F" w:rsidP="00A04C61">
            <w:pPr>
              <w:pStyle w:val="NoSpacing"/>
              <w:spacing w:before="60" w:after="60"/>
              <w:jc w:val="center"/>
              <w:rPr>
                <w:sz w:val="16"/>
                <w:szCs w:val="16"/>
              </w:rPr>
            </w:pPr>
            <w:r>
              <w:rPr>
                <w:sz w:val="16"/>
                <w:szCs w:val="16"/>
              </w:rPr>
              <w:t>-5,76</w:t>
            </w:r>
          </w:p>
        </w:tc>
        <w:tc>
          <w:tcPr>
            <w:tcW w:w="707" w:type="dxa"/>
            <w:vAlign w:val="center"/>
          </w:tcPr>
          <w:p w14:paraId="172BB4F5" w14:textId="75299E84" w:rsidR="00A04C61" w:rsidRPr="00D231C5" w:rsidRDefault="00A04C61" w:rsidP="00A04C61">
            <w:pPr>
              <w:pStyle w:val="NoSpacing"/>
              <w:spacing w:before="60" w:after="60"/>
              <w:jc w:val="center"/>
              <w:rPr>
                <w:sz w:val="16"/>
                <w:szCs w:val="16"/>
              </w:rPr>
            </w:pPr>
            <w:r>
              <w:rPr>
                <w:sz w:val="16"/>
                <w:szCs w:val="16"/>
              </w:rPr>
              <w:t>-4,24</w:t>
            </w:r>
          </w:p>
        </w:tc>
        <w:tc>
          <w:tcPr>
            <w:tcW w:w="707" w:type="dxa"/>
            <w:vAlign w:val="center"/>
          </w:tcPr>
          <w:p w14:paraId="02C9DFDE" w14:textId="7E2B0CE3" w:rsidR="00A04C61" w:rsidRPr="00D231C5" w:rsidRDefault="00A04C61" w:rsidP="00A04C61">
            <w:pPr>
              <w:pStyle w:val="NoSpacing"/>
              <w:spacing w:before="60" w:after="60"/>
              <w:jc w:val="center"/>
              <w:rPr>
                <w:sz w:val="16"/>
                <w:szCs w:val="16"/>
              </w:rPr>
            </w:pPr>
            <w:r>
              <w:rPr>
                <w:sz w:val="16"/>
                <w:szCs w:val="16"/>
              </w:rPr>
              <w:t>-</w:t>
            </w:r>
          </w:p>
        </w:tc>
      </w:tr>
    </w:tbl>
    <w:p w14:paraId="51E584F8" w14:textId="77777777" w:rsidR="00A04C61" w:rsidRPr="00A04C61" w:rsidRDefault="00A04C61" w:rsidP="00A04C61">
      <w:pPr>
        <w:pStyle w:val="NoSpacing"/>
        <w:rPr>
          <w:rStyle w:val="SubtleEmphasis"/>
        </w:rPr>
      </w:pPr>
      <w:r w:rsidRPr="00A04C61">
        <w:rPr>
          <w:rStyle w:val="SubtleEmphasis"/>
        </w:rPr>
        <w:t>* Alates NPS ELE hinnapiirkonna loomisest 18. juunil 2012</w:t>
      </w:r>
    </w:p>
    <w:p w14:paraId="122223AB" w14:textId="5254355D" w:rsidR="00B02333" w:rsidRPr="00A04C61" w:rsidRDefault="00A04C61" w:rsidP="00A04C61">
      <w:pPr>
        <w:pStyle w:val="NoSpacing"/>
        <w:rPr>
          <w:rStyle w:val="SubtleEmphasis"/>
        </w:rPr>
      </w:pPr>
      <w:r w:rsidRPr="00A04C61">
        <w:rPr>
          <w:rStyle w:val="SubtleEmphasis"/>
        </w:rPr>
        <w:t>** Alates 3.</w:t>
      </w:r>
      <w:r w:rsidR="006A4ABC">
        <w:rPr>
          <w:rStyle w:val="SubtleEmphasis"/>
        </w:rPr>
        <w:t>06.</w:t>
      </w:r>
      <w:r w:rsidRPr="00A04C61">
        <w:rPr>
          <w:rStyle w:val="SubtleEmphasis"/>
        </w:rPr>
        <w:t>2013 jaotatakse kogu võimsus NPS kaudsel oksjonil</w:t>
      </w:r>
    </w:p>
    <w:p w14:paraId="42BF0E1E" w14:textId="77777777" w:rsidR="00B02333" w:rsidRPr="008452A0" w:rsidRDefault="00B02333" w:rsidP="00B02333">
      <w:pPr>
        <w:pStyle w:val="NoSpacing"/>
      </w:pPr>
    </w:p>
    <w:p w14:paraId="56DF1BE3" w14:textId="456D323F" w:rsidR="005C13A5" w:rsidRDefault="007F586F" w:rsidP="0022344D">
      <w:r w:rsidRPr="007F586F">
        <w:t>Võrreldes 201</w:t>
      </w:r>
      <w:r>
        <w:t>4</w:t>
      </w:r>
      <w:r w:rsidRPr="007F586F">
        <w:t xml:space="preserve">. aastaga langesid elektrienergia aasta keskmised hinnad </w:t>
      </w:r>
      <w:r w:rsidR="0013056F">
        <w:t xml:space="preserve">kõikides </w:t>
      </w:r>
      <w:r w:rsidRPr="007F586F">
        <w:t>hinnapiirkondades</w:t>
      </w:r>
      <w:r w:rsidR="0013056F">
        <w:t>:</w:t>
      </w:r>
      <w:r w:rsidRPr="007F586F">
        <w:t xml:space="preserve"> </w:t>
      </w:r>
      <w:r w:rsidR="0013056F">
        <w:t>s</w:t>
      </w:r>
      <w:r w:rsidRPr="007F586F">
        <w:t>üsteemi</w:t>
      </w:r>
      <w:r w:rsidR="006B15E2">
        <w:softHyphen/>
      </w:r>
      <w:r w:rsidRPr="007F586F">
        <w:t>hind langes 2</w:t>
      </w:r>
      <w:r w:rsidR="0013056F">
        <w:t>9</w:t>
      </w:r>
      <w:r w:rsidRPr="007F586F">
        <w:t xml:space="preserve">% </w:t>
      </w:r>
      <w:r w:rsidR="00A576F3">
        <w:t xml:space="preserve">ja oli </w:t>
      </w:r>
      <w:r w:rsidR="002420C5">
        <w:t xml:space="preserve">aasta keskmisena </w:t>
      </w:r>
      <w:r w:rsidR="0013056F">
        <w:t>20,98</w:t>
      </w:r>
      <w:r w:rsidRPr="007F586F">
        <w:t xml:space="preserve"> </w:t>
      </w:r>
      <w:r w:rsidR="0013056F">
        <w:t>€</w:t>
      </w:r>
      <w:r w:rsidRPr="007F586F">
        <w:t>/MWh (201</w:t>
      </w:r>
      <w:r w:rsidR="0013056F">
        <w:t>4</w:t>
      </w:r>
      <w:r w:rsidRPr="007F586F">
        <w:t xml:space="preserve">. aastal </w:t>
      </w:r>
      <w:r w:rsidR="0013056F">
        <w:t>29,31</w:t>
      </w:r>
      <w:r w:rsidRPr="007F586F">
        <w:t xml:space="preserve"> </w:t>
      </w:r>
      <w:r w:rsidR="0013056F">
        <w:t>€</w:t>
      </w:r>
      <w:r w:rsidRPr="007F586F">
        <w:t>/MWh). Hinnalanguse peamiseks põhjuseks võrreldes 201</w:t>
      </w:r>
      <w:r w:rsidR="0013056F">
        <w:t>4</w:t>
      </w:r>
      <w:r w:rsidRPr="007F586F">
        <w:t>. aastaga oli</w:t>
      </w:r>
      <w:r w:rsidR="0013056F">
        <w:t>d</w:t>
      </w:r>
      <w:r w:rsidRPr="007F586F">
        <w:t xml:space="preserve"> </w:t>
      </w:r>
      <w:r w:rsidR="0013056F">
        <w:t xml:space="preserve">head võimalused </w:t>
      </w:r>
      <w:r w:rsidRPr="007F586F">
        <w:t xml:space="preserve">hüdroenergia </w:t>
      </w:r>
      <w:r w:rsidR="0013056F">
        <w:t>too</w:t>
      </w:r>
      <w:r w:rsidR="006B15E2">
        <w:t>t</w:t>
      </w:r>
      <w:r w:rsidR="006B15E2">
        <w:softHyphen/>
      </w:r>
      <w:r w:rsidR="0013056F">
        <w:t xml:space="preserve">miseks </w:t>
      </w:r>
      <w:r w:rsidR="0013056F" w:rsidRPr="007F586F">
        <w:t>Põhjamaade</w:t>
      </w:r>
      <w:r w:rsidR="0013056F">
        <w:t>s</w:t>
      </w:r>
      <w:r w:rsidR="00F33555">
        <w:t>,</w:t>
      </w:r>
      <w:r w:rsidRPr="007F586F">
        <w:t xml:space="preserve"> sama</w:t>
      </w:r>
      <w:r w:rsidR="0013056F">
        <w:t xml:space="preserve">l ajal </w:t>
      </w:r>
      <w:r w:rsidRPr="007F586F">
        <w:t xml:space="preserve">kui tarbimine </w:t>
      </w:r>
      <w:r w:rsidR="0013056F">
        <w:t>kasvas taga</w:t>
      </w:r>
      <w:r w:rsidR="006B15E2">
        <w:softHyphen/>
      </w:r>
      <w:r w:rsidR="0013056F">
        <w:t>sihoidlikult (alla protsendi)</w:t>
      </w:r>
      <w:r w:rsidRPr="007F586F">
        <w:t xml:space="preserve">. </w:t>
      </w:r>
    </w:p>
    <w:p w14:paraId="02BDE909" w14:textId="77777777" w:rsidR="005C13A5" w:rsidRDefault="005C13A5" w:rsidP="0022344D"/>
    <w:p w14:paraId="38801A50" w14:textId="12C17A77" w:rsidR="005C13A5" w:rsidRDefault="005C13A5" w:rsidP="0022344D">
      <w:r>
        <w:rPr>
          <w:noProof/>
        </w:rPr>
        <w:lastRenderedPageBreak/>
        <w:drawing>
          <wp:inline distT="0" distB="0" distL="0" distR="0" wp14:anchorId="3463E77D" wp14:editId="34328FC0">
            <wp:extent cx="2971800" cy="17811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1800" cy="1781175"/>
                    </a:xfrm>
                    <a:prstGeom prst="rect">
                      <a:avLst/>
                    </a:prstGeom>
                    <a:noFill/>
                    <a:ln>
                      <a:noFill/>
                    </a:ln>
                  </pic:spPr>
                </pic:pic>
              </a:graphicData>
            </a:graphic>
          </wp:inline>
        </w:drawing>
      </w:r>
    </w:p>
    <w:p w14:paraId="2383E62C" w14:textId="03CF89FF" w:rsidR="005C13A5" w:rsidRDefault="006A4ABC" w:rsidP="0022344D">
      <w:r>
        <w:rPr>
          <w:rStyle w:val="SubtleEmphasis"/>
        </w:rPr>
        <w:t>Põhjamaade veereservuaaride täituvus ja NPS SYS hinnad</w:t>
      </w:r>
    </w:p>
    <w:p w14:paraId="4AA1B3EB" w14:textId="77777777" w:rsidR="005C13A5" w:rsidRDefault="005C13A5" w:rsidP="0022344D"/>
    <w:p w14:paraId="3A0A1E36" w14:textId="16A36AC8" w:rsidR="007F586F" w:rsidRDefault="000D4921" w:rsidP="0022344D">
      <w:r>
        <w:t xml:space="preserve">Hinnalangus oli suurim Rootsi ja Norra piirkondades, kus hind oli </w:t>
      </w:r>
      <w:r w:rsidR="006D5F65">
        <w:t>keskmiselt vastavalt 31% ja 30</w:t>
      </w:r>
      <w:r>
        <w:t>% võrra 2014. aasta hinnast madalam</w:t>
      </w:r>
      <w:r w:rsidR="007F586F" w:rsidRPr="007F586F">
        <w:t xml:space="preserve">. </w:t>
      </w:r>
      <w:r w:rsidR="00D1636D">
        <w:t xml:space="preserve">Kõrgeima aasta keskmise hinnaga oli </w:t>
      </w:r>
      <w:r w:rsidR="007F586F" w:rsidRPr="007F586F">
        <w:t>NPS elektribörsi</w:t>
      </w:r>
      <w:r w:rsidR="00D1636D">
        <w:t xml:space="preserve">l </w:t>
      </w:r>
      <w:r w:rsidR="007F586F" w:rsidRPr="007F586F">
        <w:t>Leedu hinnapiirkon</w:t>
      </w:r>
      <w:r w:rsidR="00D1636D">
        <w:t>d</w:t>
      </w:r>
      <w:r w:rsidR="007F586F" w:rsidRPr="007F586F">
        <w:t xml:space="preserve"> hin</w:t>
      </w:r>
      <w:r w:rsidR="00D1636D">
        <w:t>naga</w:t>
      </w:r>
      <w:r w:rsidR="007F586F" w:rsidRPr="007F586F">
        <w:t xml:space="preserve"> </w:t>
      </w:r>
      <w:r>
        <w:t>41,92</w:t>
      </w:r>
      <w:r w:rsidR="007F586F" w:rsidRPr="007F586F">
        <w:t xml:space="preserve"> </w:t>
      </w:r>
      <w:r>
        <w:t>€</w:t>
      </w:r>
      <w:r w:rsidR="007F586F" w:rsidRPr="007F586F">
        <w:t xml:space="preserve">/MWh ja </w:t>
      </w:r>
      <w:r w:rsidRPr="000D4921">
        <w:t>madalaim</w:t>
      </w:r>
      <w:r w:rsidR="00D61A3A">
        <w:t>a aasta keskmise hinnaga</w:t>
      </w:r>
      <w:r w:rsidR="00D1636D">
        <w:t xml:space="preserve"> oli</w:t>
      </w:r>
      <w:r w:rsidRPr="000D4921">
        <w:t xml:space="preserve"> NPS Norra Bergen</w:t>
      </w:r>
      <w:r w:rsidR="005C13A5">
        <w:t>i</w:t>
      </w:r>
      <w:r w:rsidRPr="000D4921">
        <w:t xml:space="preserve"> piirkon</w:t>
      </w:r>
      <w:r w:rsidR="00D1636D">
        <w:t>d</w:t>
      </w:r>
      <w:r w:rsidRPr="000D4921">
        <w:t xml:space="preserve"> hin</w:t>
      </w:r>
      <w:r w:rsidR="00D1636D">
        <w:t>naga</w:t>
      </w:r>
      <w:r w:rsidRPr="000D4921">
        <w:t xml:space="preserve"> </w:t>
      </w:r>
      <w:r w:rsidR="005C13A5">
        <w:t>19,75</w:t>
      </w:r>
      <w:r w:rsidRPr="000D4921">
        <w:t xml:space="preserve"> </w:t>
      </w:r>
      <w:r>
        <w:t>€</w:t>
      </w:r>
      <w:r w:rsidRPr="000D4921">
        <w:t>/MWh</w:t>
      </w:r>
      <w:r>
        <w:t>.</w:t>
      </w:r>
    </w:p>
    <w:p w14:paraId="37045113" w14:textId="77777777" w:rsidR="006A4ABC" w:rsidRDefault="006A4ABC" w:rsidP="0022344D"/>
    <w:p w14:paraId="454645DE" w14:textId="3B3B525B" w:rsidR="00CA69AD" w:rsidRDefault="00CA69AD" w:rsidP="00CA69AD">
      <w:r w:rsidRPr="00D756E3">
        <w:t>2015</w:t>
      </w:r>
      <w:r>
        <w:t>. a juunis</w:t>
      </w:r>
      <w:r w:rsidRPr="00D756E3">
        <w:t xml:space="preserve"> </w:t>
      </w:r>
      <w:r>
        <w:t>avas</w:t>
      </w:r>
      <w:r w:rsidRPr="00D756E3">
        <w:t xml:space="preserve"> NPS Soome ja Venemaa vahelise kau</w:t>
      </w:r>
      <w:r>
        <w:softHyphen/>
      </w:r>
      <w:r w:rsidRPr="00D756E3">
        <w:t>banduse piirkon</w:t>
      </w:r>
      <w:r>
        <w:t>na</w:t>
      </w:r>
      <w:r w:rsidRPr="00D756E3">
        <w:t xml:space="preserve"> ehk FRE hinnapiirkon</w:t>
      </w:r>
      <w:r>
        <w:t>na, mis</w:t>
      </w:r>
      <w:r w:rsidRPr="00D756E3">
        <w:t xml:space="preserve"> tähendab, et turul tekib Soome ja Venemaa vahelise elektrikauban</w:t>
      </w:r>
      <w:r>
        <w:softHyphen/>
      </w:r>
      <w:r w:rsidRPr="00D756E3">
        <w:t>duse tehingute hind. Turule antav võimsus on maksi</w:t>
      </w:r>
      <w:r>
        <w:softHyphen/>
      </w:r>
      <w:r w:rsidRPr="00D756E3">
        <w:t xml:space="preserve">maalselt 140 MW mõlemas suunas. Reaalselt anti börsile võimsust esimest korda 8. augustil 2015 ja vaid osadeks tundideks. Esimene </w:t>
      </w:r>
      <w:r>
        <w:t>tehing tehti 4. septembri kohta, kus</w:t>
      </w:r>
      <w:r>
        <w:softHyphen/>
        <w:t>juures t</w:t>
      </w:r>
      <w:r w:rsidRPr="00D756E3">
        <w:t>arned on ajal, mil Venemaa poolt võimsustasu ei rakendu</w:t>
      </w:r>
      <w:r>
        <w:t>.</w:t>
      </w:r>
    </w:p>
    <w:p w14:paraId="67012344" w14:textId="77777777" w:rsidR="00CA69AD" w:rsidRDefault="00CA69AD" w:rsidP="00CA69AD">
      <w:r>
        <w:t xml:space="preserve"> </w:t>
      </w:r>
    </w:p>
    <w:tbl>
      <w:tblPr>
        <w:tblStyle w:val="TableGrid"/>
        <w:tblW w:w="0" w:type="auto"/>
        <w:tblLook w:val="04A0" w:firstRow="1" w:lastRow="0" w:firstColumn="1" w:lastColumn="0" w:noHBand="0" w:noVBand="1"/>
      </w:tblPr>
      <w:tblGrid>
        <w:gridCol w:w="1696"/>
        <w:gridCol w:w="993"/>
        <w:gridCol w:w="992"/>
        <w:gridCol w:w="987"/>
      </w:tblGrid>
      <w:tr w:rsidR="00CA69AD" w:rsidRPr="00D231C5" w14:paraId="327A84B5" w14:textId="77777777" w:rsidTr="00BB02A8">
        <w:tc>
          <w:tcPr>
            <w:tcW w:w="1696" w:type="dxa"/>
            <w:shd w:val="clear" w:color="auto" w:fill="007087"/>
            <w:vAlign w:val="center"/>
          </w:tcPr>
          <w:p w14:paraId="31B2DD44" w14:textId="46E8F13C" w:rsidR="00CA69AD" w:rsidRPr="00D231C5" w:rsidRDefault="00CA69AD" w:rsidP="00B963A9">
            <w:pPr>
              <w:pStyle w:val="NoSpacing"/>
              <w:spacing w:before="60" w:after="60"/>
              <w:jc w:val="center"/>
              <w:rPr>
                <w:b/>
                <w:color w:val="FFFFFF" w:themeColor="background1"/>
                <w:sz w:val="16"/>
                <w:szCs w:val="16"/>
              </w:rPr>
            </w:pPr>
            <w:r>
              <w:rPr>
                <w:b/>
                <w:color w:val="FFFFFF" w:themeColor="background1"/>
                <w:sz w:val="16"/>
                <w:szCs w:val="16"/>
              </w:rPr>
              <w:t>FRE hind, €/MWh</w:t>
            </w:r>
          </w:p>
        </w:tc>
        <w:tc>
          <w:tcPr>
            <w:tcW w:w="993" w:type="dxa"/>
            <w:shd w:val="clear" w:color="auto" w:fill="007087"/>
            <w:vAlign w:val="center"/>
          </w:tcPr>
          <w:p w14:paraId="35DF5351" w14:textId="20E328B6" w:rsidR="00CA69AD" w:rsidRPr="00D231C5" w:rsidRDefault="00CA69AD" w:rsidP="00CA69AD">
            <w:pPr>
              <w:pStyle w:val="NoSpacing"/>
              <w:spacing w:before="60" w:after="60"/>
              <w:jc w:val="center"/>
              <w:rPr>
                <w:b/>
                <w:color w:val="FFFFFF" w:themeColor="background1"/>
                <w:sz w:val="16"/>
                <w:szCs w:val="16"/>
              </w:rPr>
            </w:pPr>
            <w:r>
              <w:rPr>
                <w:b/>
                <w:color w:val="FFFFFF" w:themeColor="background1"/>
                <w:sz w:val="16"/>
                <w:szCs w:val="16"/>
              </w:rPr>
              <w:t>Min</w:t>
            </w:r>
          </w:p>
        </w:tc>
        <w:tc>
          <w:tcPr>
            <w:tcW w:w="992" w:type="dxa"/>
            <w:shd w:val="clear" w:color="auto" w:fill="007087"/>
            <w:vAlign w:val="center"/>
          </w:tcPr>
          <w:p w14:paraId="538C2D8E" w14:textId="37EE7156" w:rsidR="00CA69AD" w:rsidRPr="00D231C5" w:rsidRDefault="00CA69AD" w:rsidP="00B963A9">
            <w:pPr>
              <w:pStyle w:val="NoSpacing"/>
              <w:spacing w:before="60" w:after="60"/>
              <w:jc w:val="center"/>
              <w:rPr>
                <w:b/>
                <w:color w:val="FFFFFF" w:themeColor="background1"/>
                <w:sz w:val="16"/>
                <w:szCs w:val="16"/>
              </w:rPr>
            </w:pPr>
            <w:r>
              <w:rPr>
                <w:b/>
                <w:color w:val="FFFFFF" w:themeColor="background1"/>
                <w:sz w:val="16"/>
                <w:szCs w:val="16"/>
              </w:rPr>
              <w:t>Keskmine</w:t>
            </w:r>
          </w:p>
        </w:tc>
        <w:tc>
          <w:tcPr>
            <w:tcW w:w="987" w:type="dxa"/>
            <w:shd w:val="clear" w:color="auto" w:fill="007087"/>
          </w:tcPr>
          <w:p w14:paraId="43BC8657" w14:textId="13679EEB" w:rsidR="00CA69AD" w:rsidRPr="00D231C5" w:rsidRDefault="00CA69AD" w:rsidP="00B963A9">
            <w:pPr>
              <w:pStyle w:val="NoSpacing"/>
              <w:spacing w:before="60" w:after="60"/>
              <w:jc w:val="center"/>
              <w:rPr>
                <w:b/>
                <w:color w:val="FFFFFF" w:themeColor="background1"/>
                <w:sz w:val="16"/>
                <w:szCs w:val="16"/>
              </w:rPr>
            </w:pPr>
            <w:r>
              <w:rPr>
                <w:b/>
                <w:color w:val="FFFFFF" w:themeColor="background1"/>
                <w:sz w:val="16"/>
                <w:szCs w:val="16"/>
              </w:rPr>
              <w:t>Max</w:t>
            </w:r>
          </w:p>
        </w:tc>
      </w:tr>
      <w:tr w:rsidR="00CA69AD" w:rsidRPr="00D231C5" w14:paraId="553DA530" w14:textId="77777777" w:rsidTr="00BB02A8">
        <w:tc>
          <w:tcPr>
            <w:tcW w:w="1696" w:type="dxa"/>
            <w:vAlign w:val="center"/>
          </w:tcPr>
          <w:p w14:paraId="2141EA13" w14:textId="122CE2A0" w:rsidR="00CA69AD" w:rsidRPr="00D231C5" w:rsidRDefault="00CA69AD" w:rsidP="00B963A9">
            <w:pPr>
              <w:pStyle w:val="NoSpacing"/>
              <w:spacing w:before="60" w:after="60"/>
              <w:jc w:val="left"/>
              <w:rPr>
                <w:sz w:val="16"/>
                <w:szCs w:val="16"/>
              </w:rPr>
            </w:pPr>
            <w:r>
              <w:rPr>
                <w:sz w:val="16"/>
                <w:szCs w:val="16"/>
              </w:rPr>
              <w:t>September</w:t>
            </w:r>
          </w:p>
        </w:tc>
        <w:tc>
          <w:tcPr>
            <w:tcW w:w="993" w:type="dxa"/>
            <w:vAlign w:val="center"/>
          </w:tcPr>
          <w:p w14:paraId="78BD97F7" w14:textId="6B15098A" w:rsidR="00CA69AD" w:rsidRPr="00D231C5" w:rsidRDefault="00CA69AD" w:rsidP="00B963A9">
            <w:pPr>
              <w:pStyle w:val="NoSpacing"/>
              <w:spacing w:before="60" w:after="60"/>
              <w:jc w:val="center"/>
              <w:rPr>
                <w:sz w:val="16"/>
                <w:szCs w:val="16"/>
              </w:rPr>
            </w:pPr>
            <w:r>
              <w:rPr>
                <w:sz w:val="16"/>
                <w:szCs w:val="16"/>
              </w:rPr>
              <w:t>12,04</w:t>
            </w:r>
          </w:p>
        </w:tc>
        <w:tc>
          <w:tcPr>
            <w:tcW w:w="992" w:type="dxa"/>
            <w:vAlign w:val="center"/>
          </w:tcPr>
          <w:p w14:paraId="1C7BE05C" w14:textId="1B5A17FD" w:rsidR="00CA69AD" w:rsidRPr="00D231C5" w:rsidRDefault="00CA69AD" w:rsidP="00B963A9">
            <w:pPr>
              <w:pStyle w:val="NoSpacing"/>
              <w:spacing w:before="60" w:after="60"/>
              <w:jc w:val="center"/>
              <w:rPr>
                <w:sz w:val="16"/>
                <w:szCs w:val="16"/>
              </w:rPr>
            </w:pPr>
            <w:r>
              <w:rPr>
                <w:sz w:val="16"/>
                <w:szCs w:val="16"/>
              </w:rPr>
              <w:t>23,54</w:t>
            </w:r>
          </w:p>
        </w:tc>
        <w:tc>
          <w:tcPr>
            <w:tcW w:w="987" w:type="dxa"/>
            <w:vAlign w:val="center"/>
          </w:tcPr>
          <w:p w14:paraId="575AE630" w14:textId="265CC43A" w:rsidR="00CA69AD" w:rsidRPr="00D231C5" w:rsidRDefault="00CA69AD" w:rsidP="00B963A9">
            <w:pPr>
              <w:pStyle w:val="NoSpacing"/>
              <w:spacing w:before="60" w:after="60"/>
              <w:jc w:val="center"/>
              <w:rPr>
                <w:sz w:val="16"/>
                <w:szCs w:val="16"/>
              </w:rPr>
            </w:pPr>
            <w:r>
              <w:rPr>
                <w:sz w:val="16"/>
                <w:szCs w:val="16"/>
              </w:rPr>
              <w:t>34,54</w:t>
            </w:r>
          </w:p>
        </w:tc>
      </w:tr>
      <w:tr w:rsidR="00CA69AD" w:rsidRPr="00D231C5" w14:paraId="30BB6DBB" w14:textId="77777777" w:rsidTr="00BB02A8">
        <w:tc>
          <w:tcPr>
            <w:tcW w:w="1696" w:type="dxa"/>
            <w:vAlign w:val="center"/>
          </w:tcPr>
          <w:p w14:paraId="38F715E7" w14:textId="5EFEC042" w:rsidR="00CA69AD" w:rsidRPr="00D231C5" w:rsidRDefault="00CA69AD" w:rsidP="00B963A9">
            <w:pPr>
              <w:pStyle w:val="NoSpacing"/>
              <w:spacing w:before="60" w:after="60"/>
              <w:jc w:val="left"/>
              <w:rPr>
                <w:sz w:val="16"/>
                <w:szCs w:val="16"/>
              </w:rPr>
            </w:pPr>
            <w:r>
              <w:rPr>
                <w:sz w:val="16"/>
                <w:szCs w:val="16"/>
              </w:rPr>
              <w:t>Oktoober</w:t>
            </w:r>
          </w:p>
        </w:tc>
        <w:tc>
          <w:tcPr>
            <w:tcW w:w="993" w:type="dxa"/>
            <w:vAlign w:val="center"/>
          </w:tcPr>
          <w:p w14:paraId="7A10153B" w14:textId="79C14811" w:rsidR="00CA69AD" w:rsidRPr="00D231C5" w:rsidRDefault="00CA69AD" w:rsidP="00B963A9">
            <w:pPr>
              <w:pStyle w:val="NoSpacing"/>
              <w:spacing w:before="60" w:after="60"/>
              <w:jc w:val="center"/>
              <w:rPr>
                <w:sz w:val="16"/>
                <w:szCs w:val="16"/>
              </w:rPr>
            </w:pPr>
            <w:r>
              <w:rPr>
                <w:sz w:val="16"/>
                <w:szCs w:val="16"/>
              </w:rPr>
              <w:t>15,00</w:t>
            </w:r>
          </w:p>
        </w:tc>
        <w:tc>
          <w:tcPr>
            <w:tcW w:w="992" w:type="dxa"/>
            <w:vAlign w:val="center"/>
          </w:tcPr>
          <w:p w14:paraId="560B823A" w14:textId="6A56FADB" w:rsidR="00CA69AD" w:rsidRPr="00D231C5" w:rsidRDefault="00CA69AD" w:rsidP="00B963A9">
            <w:pPr>
              <w:pStyle w:val="NoSpacing"/>
              <w:spacing w:before="60" w:after="60"/>
              <w:jc w:val="center"/>
              <w:rPr>
                <w:sz w:val="16"/>
                <w:szCs w:val="16"/>
              </w:rPr>
            </w:pPr>
            <w:r>
              <w:rPr>
                <w:sz w:val="16"/>
                <w:szCs w:val="16"/>
              </w:rPr>
              <w:t>24,31</w:t>
            </w:r>
          </w:p>
        </w:tc>
        <w:tc>
          <w:tcPr>
            <w:tcW w:w="987" w:type="dxa"/>
            <w:vAlign w:val="center"/>
          </w:tcPr>
          <w:p w14:paraId="128FC669" w14:textId="4FE0AFB3" w:rsidR="00CA69AD" w:rsidRPr="00D231C5" w:rsidRDefault="00CA69AD" w:rsidP="00B963A9">
            <w:pPr>
              <w:pStyle w:val="NoSpacing"/>
              <w:spacing w:before="60" w:after="60"/>
              <w:jc w:val="center"/>
              <w:rPr>
                <w:sz w:val="16"/>
                <w:szCs w:val="16"/>
              </w:rPr>
            </w:pPr>
            <w:r>
              <w:rPr>
                <w:sz w:val="16"/>
                <w:szCs w:val="16"/>
              </w:rPr>
              <w:t>82,70</w:t>
            </w:r>
          </w:p>
        </w:tc>
      </w:tr>
      <w:tr w:rsidR="00CA69AD" w:rsidRPr="00D231C5" w14:paraId="628975F5" w14:textId="77777777" w:rsidTr="00BB02A8">
        <w:tc>
          <w:tcPr>
            <w:tcW w:w="1696" w:type="dxa"/>
            <w:vAlign w:val="center"/>
          </w:tcPr>
          <w:p w14:paraId="216D72A1" w14:textId="6E227D4A" w:rsidR="00CA69AD" w:rsidRPr="00D231C5" w:rsidRDefault="00CA69AD" w:rsidP="00B963A9">
            <w:pPr>
              <w:pStyle w:val="NoSpacing"/>
              <w:spacing w:before="60" w:after="60"/>
              <w:jc w:val="left"/>
              <w:rPr>
                <w:sz w:val="16"/>
                <w:szCs w:val="16"/>
              </w:rPr>
            </w:pPr>
            <w:r>
              <w:rPr>
                <w:sz w:val="16"/>
                <w:szCs w:val="16"/>
              </w:rPr>
              <w:t>November</w:t>
            </w:r>
          </w:p>
        </w:tc>
        <w:tc>
          <w:tcPr>
            <w:tcW w:w="993" w:type="dxa"/>
            <w:vAlign w:val="center"/>
          </w:tcPr>
          <w:p w14:paraId="7ED36034" w14:textId="06F6BB33" w:rsidR="00CA69AD" w:rsidRPr="00D231C5" w:rsidRDefault="00CA69AD" w:rsidP="00B963A9">
            <w:pPr>
              <w:pStyle w:val="NoSpacing"/>
              <w:spacing w:before="60" w:after="60"/>
              <w:jc w:val="center"/>
              <w:rPr>
                <w:sz w:val="16"/>
                <w:szCs w:val="16"/>
              </w:rPr>
            </w:pPr>
            <w:r>
              <w:rPr>
                <w:sz w:val="16"/>
                <w:szCs w:val="16"/>
              </w:rPr>
              <w:t>15,00</w:t>
            </w:r>
          </w:p>
        </w:tc>
        <w:tc>
          <w:tcPr>
            <w:tcW w:w="992" w:type="dxa"/>
            <w:vAlign w:val="center"/>
          </w:tcPr>
          <w:p w14:paraId="0E1EA34E" w14:textId="25E29B5F" w:rsidR="00CA69AD" w:rsidRPr="00D231C5" w:rsidRDefault="00CA69AD" w:rsidP="00B963A9">
            <w:pPr>
              <w:pStyle w:val="NoSpacing"/>
              <w:spacing w:before="60" w:after="60"/>
              <w:jc w:val="center"/>
              <w:rPr>
                <w:sz w:val="16"/>
                <w:szCs w:val="16"/>
              </w:rPr>
            </w:pPr>
            <w:r>
              <w:rPr>
                <w:sz w:val="16"/>
                <w:szCs w:val="16"/>
              </w:rPr>
              <w:t>24,45</w:t>
            </w:r>
          </w:p>
        </w:tc>
        <w:tc>
          <w:tcPr>
            <w:tcW w:w="987" w:type="dxa"/>
            <w:vAlign w:val="center"/>
          </w:tcPr>
          <w:p w14:paraId="486B96EA" w14:textId="768ADFBA" w:rsidR="00CA69AD" w:rsidRPr="00D231C5" w:rsidRDefault="00CA69AD" w:rsidP="00CA69AD">
            <w:pPr>
              <w:pStyle w:val="NoSpacing"/>
              <w:spacing w:before="60" w:after="60"/>
              <w:jc w:val="center"/>
              <w:rPr>
                <w:sz w:val="16"/>
                <w:szCs w:val="16"/>
              </w:rPr>
            </w:pPr>
            <w:r>
              <w:rPr>
                <w:sz w:val="16"/>
                <w:szCs w:val="16"/>
              </w:rPr>
              <w:t>60,71</w:t>
            </w:r>
          </w:p>
        </w:tc>
      </w:tr>
      <w:tr w:rsidR="00CA69AD" w:rsidRPr="00D231C5" w14:paraId="59F9FE78" w14:textId="77777777" w:rsidTr="00BB02A8">
        <w:tc>
          <w:tcPr>
            <w:tcW w:w="1696" w:type="dxa"/>
            <w:vAlign w:val="center"/>
          </w:tcPr>
          <w:p w14:paraId="4E7F27DF" w14:textId="1D202DD4" w:rsidR="00CA69AD" w:rsidRDefault="00CA69AD" w:rsidP="00B963A9">
            <w:pPr>
              <w:pStyle w:val="NoSpacing"/>
              <w:spacing w:before="60" w:after="60"/>
              <w:jc w:val="left"/>
              <w:rPr>
                <w:sz w:val="16"/>
                <w:szCs w:val="16"/>
              </w:rPr>
            </w:pPr>
            <w:r>
              <w:rPr>
                <w:sz w:val="16"/>
                <w:szCs w:val="16"/>
              </w:rPr>
              <w:t>Detsember</w:t>
            </w:r>
          </w:p>
        </w:tc>
        <w:tc>
          <w:tcPr>
            <w:tcW w:w="993" w:type="dxa"/>
            <w:vAlign w:val="center"/>
          </w:tcPr>
          <w:p w14:paraId="7F29771E" w14:textId="175B0EF9" w:rsidR="00CA69AD" w:rsidRPr="00D231C5" w:rsidRDefault="00CA69AD" w:rsidP="00B963A9">
            <w:pPr>
              <w:pStyle w:val="NoSpacing"/>
              <w:spacing w:before="60" w:after="60"/>
              <w:jc w:val="center"/>
              <w:rPr>
                <w:sz w:val="16"/>
                <w:szCs w:val="16"/>
              </w:rPr>
            </w:pPr>
            <w:r>
              <w:rPr>
                <w:sz w:val="16"/>
                <w:szCs w:val="16"/>
              </w:rPr>
              <w:t>13,13</w:t>
            </w:r>
          </w:p>
        </w:tc>
        <w:tc>
          <w:tcPr>
            <w:tcW w:w="992" w:type="dxa"/>
            <w:vAlign w:val="center"/>
          </w:tcPr>
          <w:p w14:paraId="74CBA352" w14:textId="016F5000" w:rsidR="00CA69AD" w:rsidRPr="00D231C5" w:rsidRDefault="00CA69AD" w:rsidP="00B963A9">
            <w:pPr>
              <w:pStyle w:val="NoSpacing"/>
              <w:spacing w:before="60" w:after="60"/>
              <w:jc w:val="center"/>
              <w:rPr>
                <w:sz w:val="16"/>
                <w:szCs w:val="16"/>
              </w:rPr>
            </w:pPr>
            <w:r>
              <w:rPr>
                <w:sz w:val="16"/>
                <w:szCs w:val="16"/>
              </w:rPr>
              <w:t>19,83</w:t>
            </w:r>
          </w:p>
        </w:tc>
        <w:tc>
          <w:tcPr>
            <w:tcW w:w="987" w:type="dxa"/>
            <w:vAlign w:val="center"/>
          </w:tcPr>
          <w:p w14:paraId="43457082" w14:textId="48B5C7E0" w:rsidR="00CA69AD" w:rsidRPr="00D231C5" w:rsidRDefault="00CA69AD" w:rsidP="00B963A9">
            <w:pPr>
              <w:pStyle w:val="NoSpacing"/>
              <w:spacing w:before="60" w:after="60"/>
              <w:jc w:val="center"/>
              <w:rPr>
                <w:sz w:val="16"/>
                <w:szCs w:val="16"/>
              </w:rPr>
            </w:pPr>
            <w:r>
              <w:rPr>
                <w:sz w:val="16"/>
                <w:szCs w:val="16"/>
              </w:rPr>
              <w:t>33,91</w:t>
            </w:r>
          </w:p>
        </w:tc>
      </w:tr>
    </w:tbl>
    <w:p w14:paraId="21E2D82B" w14:textId="77777777" w:rsidR="00CA69AD" w:rsidRDefault="00CA69AD" w:rsidP="00CA69AD"/>
    <w:p w14:paraId="36E7FC64" w14:textId="195D7F4B" w:rsidR="00CA69AD" w:rsidRDefault="006A4ABC" w:rsidP="00CA69AD">
      <w:r w:rsidRPr="006A4ABC">
        <w:t>Kes</w:t>
      </w:r>
      <w:r w:rsidR="00D9767D">
        <w:t>k-Euroopa elektribörsi indeksi</w:t>
      </w:r>
      <w:r w:rsidRPr="006A4ABC">
        <w:t xml:space="preserve"> ELIX baaskoormuse </w:t>
      </w:r>
      <w:r w:rsidR="006D5F65">
        <w:t xml:space="preserve">keskmine hind oli 32,83 €/MWh. Hind </w:t>
      </w:r>
      <w:r w:rsidR="00D9767D">
        <w:t>kasvas võrreldes 2014. aastaga 2,6%</w:t>
      </w:r>
      <w:r w:rsidR="006D5F65">
        <w:t>.</w:t>
      </w:r>
      <w:r w:rsidRPr="006A4ABC">
        <w:t xml:space="preserve"> </w:t>
      </w:r>
      <w:r w:rsidR="006D5F65">
        <w:t>T</w:t>
      </w:r>
      <w:r w:rsidRPr="006A4ABC">
        <w:t>ipukoormuse kesk</w:t>
      </w:r>
      <w:r w:rsidR="00D9767D">
        <w:softHyphen/>
      </w:r>
      <w:r w:rsidRPr="006A4ABC">
        <w:t>mi</w:t>
      </w:r>
      <w:r w:rsidR="00D9767D">
        <w:t>ne</w:t>
      </w:r>
      <w:r w:rsidRPr="006A4ABC">
        <w:t xml:space="preserve"> hin</w:t>
      </w:r>
      <w:r w:rsidR="00D9767D">
        <w:t>d jäi 2014. aasta tasemele</w:t>
      </w:r>
      <w:r w:rsidR="006D5F65">
        <w:t xml:space="preserve"> (36,49 €/MWh)</w:t>
      </w:r>
      <w:r w:rsidRPr="006A4ABC">
        <w:t>.</w:t>
      </w:r>
      <w:r w:rsidR="00D9767D">
        <w:t xml:space="preserve"> </w:t>
      </w:r>
      <w:r w:rsidR="006D5F65">
        <w:t xml:space="preserve">Saksamaa (PHELIX) hinnad pisut langesid aastaga – baaskoormuse hind 0,9% ja tipukoormuse hind 2,6%, olles vastavalt 32,44 ja 35,82 €/MWh. </w:t>
      </w:r>
      <w:r w:rsidR="00D9767D">
        <w:t>Prantsusmaa elektri</w:t>
      </w:r>
      <w:r w:rsidR="006B15E2">
        <w:softHyphen/>
      </w:r>
      <w:r w:rsidR="00D9767D">
        <w:t xml:space="preserve">börsi hinnad </w:t>
      </w:r>
      <w:r w:rsidR="006D5F65">
        <w:t xml:space="preserve">on Saksamaa </w:t>
      </w:r>
      <w:r w:rsidR="00CD31CB">
        <w:t xml:space="preserve">hindadega </w:t>
      </w:r>
      <w:r w:rsidR="006D5F65">
        <w:t xml:space="preserve">võrreldes </w:t>
      </w:r>
      <w:r w:rsidR="00CD31CB">
        <w:t xml:space="preserve">megavatt-tunni kohta </w:t>
      </w:r>
      <w:r w:rsidR="006D5F65">
        <w:t>ca 5 euro võrra kallimad</w:t>
      </w:r>
      <w:r w:rsidR="00D9767D">
        <w:t xml:space="preserve">– baaskoormuse </w:t>
      </w:r>
      <w:r w:rsidR="006D5F65">
        <w:t xml:space="preserve">hinnaks oli 2015. a keskmisena 37,68 €/MWh (kasv </w:t>
      </w:r>
      <w:r w:rsidR="00D9767D">
        <w:t>8,8%</w:t>
      </w:r>
      <w:r w:rsidR="006D5F65">
        <w:t>)</w:t>
      </w:r>
      <w:r w:rsidR="00D9767D">
        <w:t xml:space="preserve"> ja tipu</w:t>
      </w:r>
      <w:r w:rsidR="006B15E2">
        <w:softHyphen/>
      </w:r>
      <w:r w:rsidR="00D9767D">
        <w:t xml:space="preserve">koormuse </w:t>
      </w:r>
      <w:r w:rsidR="006D5F65">
        <w:t>hind 41,48 €/MWh (+</w:t>
      </w:r>
      <w:r w:rsidR="00D9767D">
        <w:t>6,4%</w:t>
      </w:r>
      <w:r w:rsidR="006D5F65">
        <w:t>)</w:t>
      </w:r>
      <w:r w:rsidR="00D9767D">
        <w:t>.</w:t>
      </w:r>
    </w:p>
    <w:p w14:paraId="5CBFD98A" w14:textId="77777777" w:rsidR="006A4ABC" w:rsidRDefault="006A4ABC" w:rsidP="006A4ABC"/>
    <w:tbl>
      <w:tblPr>
        <w:tblStyle w:val="TableGrid"/>
        <w:tblW w:w="0" w:type="auto"/>
        <w:tblLook w:val="04A0" w:firstRow="1" w:lastRow="0" w:firstColumn="1" w:lastColumn="0" w:noHBand="0" w:noVBand="1"/>
      </w:tblPr>
      <w:tblGrid>
        <w:gridCol w:w="2122"/>
        <w:gridCol w:w="1273"/>
        <w:gridCol w:w="1273"/>
      </w:tblGrid>
      <w:tr w:rsidR="006A4ABC" w:rsidRPr="00D231C5" w14:paraId="302B1DCD" w14:textId="77777777" w:rsidTr="004D3E87">
        <w:tc>
          <w:tcPr>
            <w:tcW w:w="2122" w:type="dxa"/>
            <w:vMerge w:val="restart"/>
            <w:shd w:val="clear" w:color="auto" w:fill="007087"/>
            <w:vAlign w:val="center"/>
          </w:tcPr>
          <w:p w14:paraId="47097819" w14:textId="77777777" w:rsidR="006A4ABC" w:rsidRPr="00D231C5" w:rsidRDefault="006A4ABC" w:rsidP="004D3E87">
            <w:pPr>
              <w:pStyle w:val="NoSpacing"/>
              <w:spacing w:before="60" w:after="60"/>
              <w:jc w:val="left"/>
              <w:rPr>
                <w:b/>
                <w:color w:val="FFFFFF" w:themeColor="background1"/>
                <w:sz w:val="16"/>
                <w:szCs w:val="16"/>
              </w:rPr>
            </w:pPr>
            <w:r>
              <w:rPr>
                <w:b/>
                <w:color w:val="FFFFFF" w:themeColor="background1"/>
                <w:sz w:val="16"/>
                <w:szCs w:val="16"/>
              </w:rPr>
              <w:t>Elektribörs</w:t>
            </w:r>
          </w:p>
        </w:tc>
        <w:tc>
          <w:tcPr>
            <w:tcW w:w="2546" w:type="dxa"/>
            <w:gridSpan w:val="2"/>
            <w:shd w:val="clear" w:color="auto" w:fill="007087"/>
            <w:vAlign w:val="center"/>
          </w:tcPr>
          <w:p w14:paraId="51511F50" w14:textId="77777777" w:rsidR="006A4ABC" w:rsidRPr="00D231C5" w:rsidRDefault="006A4ABC" w:rsidP="004D3E87">
            <w:pPr>
              <w:pStyle w:val="NoSpacing"/>
              <w:spacing w:before="60" w:after="60"/>
              <w:jc w:val="center"/>
              <w:rPr>
                <w:b/>
                <w:color w:val="FFFFFF" w:themeColor="background1"/>
                <w:sz w:val="16"/>
                <w:szCs w:val="16"/>
              </w:rPr>
            </w:pPr>
            <w:r w:rsidRPr="00D231C5">
              <w:rPr>
                <w:b/>
                <w:color w:val="FFFFFF" w:themeColor="background1"/>
                <w:sz w:val="16"/>
                <w:szCs w:val="16"/>
              </w:rPr>
              <w:t>Keskmine hind (€/MWh)</w:t>
            </w:r>
          </w:p>
        </w:tc>
      </w:tr>
      <w:tr w:rsidR="006A4ABC" w:rsidRPr="00D231C5" w14:paraId="7BFC2FF0" w14:textId="77777777" w:rsidTr="004D3E87">
        <w:tc>
          <w:tcPr>
            <w:tcW w:w="2122" w:type="dxa"/>
            <w:vMerge/>
            <w:shd w:val="clear" w:color="auto" w:fill="007087"/>
            <w:vAlign w:val="center"/>
          </w:tcPr>
          <w:p w14:paraId="0122FDDE" w14:textId="77777777" w:rsidR="006A4ABC" w:rsidRPr="00D231C5" w:rsidRDefault="006A4ABC" w:rsidP="004D3E87">
            <w:pPr>
              <w:pStyle w:val="NoSpacing"/>
              <w:spacing w:before="60" w:after="60"/>
              <w:jc w:val="center"/>
              <w:rPr>
                <w:b/>
                <w:color w:val="FFFFFF" w:themeColor="background1"/>
                <w:sz w:val="16"/>
                <w:szCs w:val="16"/>
              </w:rPr>
            </w:pPr>
          </w:p>
        </w:tc>
        <w:tc>
          <w:tcPr>
            <w:tcW w:w="1273" w:type="dxa"/>
            <w:shd w:val="clear" w:color="auto" w:fill="007087"/>
            <w:vAlign w:val="center"/>
          </w:tcPr>
          <w:p w14:paraId="3671F08F" w14:textId="33B06776" w:rsidR="006A4ABC" w:rsidRPr="00D231C5" w:rsidRDefault="006A4ABC" w:rsidP="004D3E87">
            <w:pPr>
              <w:pStyle w:val="NoSpacing"/>
              <w:spacing w:before="60" w:after="60"/>
              <w:jc w:val="center"/>
              <w:rPr>
                <w:b/>
                <w:color w:val="FFFFFF" w:themeColor="background1"/>
                <w:sz w:val="16"/>
                <w:szCs w:val="16"/>
              </w:rPr>
            </w:pPr>
            <w:r>
              <w:rPr>
                <w:b/>
                <w:color w:val="FFFFFF" w:themeColor="background1"/>
                <w:sz w:val="16"/>
                <w:szCs w:val="16"/>
              </w:rPr>
              <w:t>2015</w:t>
            </w:r>
          </w:p>
        </w:tc>
        <w:tc>
          <w:tcPr>
            <w:tcW w:w="1273" w:type="dxa"/>
            <w:shd w:val="clear" w:color="auto" w:fill="007087"/>
            <w:vAlign w:val="center"/>
          </w:tcPr>
          <w:p w14:paraId="4C267FA8" w14:textId="267A09C2" w:rsidR="006A4ABC" w:rsidRPr="00D231C5" w:rsidRDefault="006A4ABC" w:rsidP="004D3E87">
            <w:pPr>
              <w:pStyle w:val="NoSpacing"/>
              <w:spacing w:before="60" w:after="60"/>
              <w:jc w:val="center"/>
              <w:rPr>
                <w:b/>
                <w:color w:val="FFFFFF" w:themeColor="background1"/>
                <w:sz w:val="16"/>
                <w:szCs w:val="16"/>
              </w:rPr>
            </w:pPr>
            <w:r>
              <w:rPr>
                <w:b/>
                <w:color w:val="FFFFFF" w:themeColor="background1"/>
                <w:sz w:val="16"/>
                <w:szCs w:val="16"/>
              </w:rPr>
              <w:t>2014</w:t>
            </w:r>
          </w:p>
        </w:tc>
      </w:tr>
      <w:tr w:rsidR="006A4ABC" w:rsidRPr="00D231C5" w14:paraId="6895C589" w14:textId="77777777" w:rsidTr="004D3E87">
        <w:tc>
          <w:tcPr>
            <w:tcW w:w="2122" w:type="dxa"/>
            <w:vAlign w:val="center"/>
          </w:tcPr>
          <w:p w14:paraId="14C7F736" w14:textId="77777777" w:rsidR="006A4ABC" w:rsidRPr="005D3A6D" w:rsidRDefault="006A4ABC" w:rsidP="004D3E87">
            <w:pPr>
              <w:pStyle w:val="NoSpacing"/>
              <w:spacing w:before="60" w:after="60"/>
              <w:jc w:val="left"/>
              <w:rPr>
                <w:sz w:val="16"/>
                <w:szCs w:val="16"/>
                <w:lang w:val="en-GB"/>
              </w:rPr>
            </w:pPr>
            <w:r w:rsidRPr="005D3A6D">
              <w:rPr>
                <w:sz w:val="16"/>
                <w:szCs w:val="16"/>
                <w:lang w:val="en-GB"/>
              </w:rPr>
              <w:t>Nord Pool Spot (SYS)</w:t>
            </w:r>
          </w:p>
        </w:tc>
        <w:tc>
          <w:tcPr>
            <w:tcW w:w="1273" w:type="dxa"/>
            <w:vAlign w:val="center"/>
          </w:tcPr>
          <w:p w14:paraId="5663912E" w14:textId="450B3D29" w:rsidR="006A4ABC" w:rsidRPr="00D231C5" w:rsidRDefault="006A4ABC" w:rsidP="004D3E87">
            <w:pPr>
              <w:pStyle w:val="NoSpacing"/>
              <w:spacing w:before="60" w:after="60"/>
              <w:jc w:val="center"/>
              <w:rPr>
                <w:sz w:val="16"/>
                <w:szCs w:val="16"/>
              </w:rPr>
            </w:pPr>
            <w:r>
              <w:rPr>
                <w:sz w:val="16"/>
                <w:szCs w:val="16"/>
              </w:rPr>
              <w:t>20,98</w:t>
            </w:r>
          </w:p>
        </w:tc>
        <w:tc>
          <w:tcPr>
            <w:tcW w:w="1273" w:type="dxa"/>
            <w:vAlign w:val="center"/>
          </w:tcPr>
          <w:p w14:paraId="44C58540" w14:textId="5B361F91" w:rsidR="006A4ABC" w:rsidRPr="00D231C5" w:rsidRDefault="006A4ABC" w:rsidP="004D3E87">
            <w:pPr>
              <w:pStyle w:val="NoSpacing"/>
              <w:spacing w:before="60" w:after="60"/>
              <w:jc w:val="center"/>
              <w:rPr>
                <w:sz w:val="16"/>
                <w:szCs w:val="16"/>
              </w:rPr>
            </w:pPr>
            <w:r>
              <w:rPr>
                <w:sz w:val="16"/>
                <w:szCs w:val="16"/>
              </w:rPr>
              <w:t>29,61</w:t>
            </w:r>
          </w:p>
        </w:tc>
      </w:tr>
      <w:tr w:rsidR="006A4ABC" w:rsidRPr="00D231C5" w14:paraId="6AF5B772" w14:textId="77777777" w:rsidTr="004D3E87">
        <w:tc>
          <w:tcPr>
            <w:tcW w:w="2122" w:type="dxa"/>
            <w:vAlign w:val="center"/>
          </w:tcPr>
          <w:p w14:paraId="54C7F814" w14:textId="77777777" w:rsidR="006A4ABC" w:rsidRPr="005D3A6D" w:rsidRDefault="006A4ABC" w:rsidP="004D3E87">
            <w:pPr>
              <w:pStyle w:val="NoSpacing"/>
              <w:spacing w:before="60" w:after="60"/>
              <w:jc w:val="left"/>
              <w:rPr>
                <w:sz w:val="16"/>
                <w:szCs w:val="16"/>
                <w:lang w:val="en-GB"/>
              </w:rPr>
            </w:pPr>
            <w:r w:rsidRPr="005D3A6D">
              <w:rPr>
                <w:sz w:val="16"/>
                <w:szCs w:val="16"/>
                <w:lang w:val="en-GB"/>
              </w:rPr>
              <w:t>European Power Exchange (ELIX Base/Peak)</w:t>
            </w:r>
          </w:p>
        </w:tc>
        <w:tc>
          <w:tcPr>
            <w:tcW w:w="1273" w:type="dxa"/>
            <w:vAlign w:val="center"/>
          </w:tcPr>
          <w:p w14:paraId="1684F2E8" w14:textId="40D34C91" w:rsidR="006A4ABC" w:rsidRPr="00D231C5" w:rsidRDefault="006A4ABC" w:rsidP="004D3E87">
            <w:pPr>
              <w:pStyle w:val="NoSpacing"/>
              <w:spacing w:before="60" w:after="60"/>
              <w:jc w:val="center"/>
              <w:rPr>
                <w:sz w:val="16"/>
                <w:szCs w:val="16"/>
              </w:rPr>
            </w:pPr>
            <w:r>
              <w:rPr>
                <w:sz w:val="16"/>
                <w:szCs w:val="16"/>
              </w:rPr>
              <w:t>32,83/36,49</w:t>
            </w:r>
          </w:p>
        </w:tc>
        <w:tc>
          <w:tcPr>
            <w:tcW w:w="1273" w:type="dxa"/>
            <w:vAlign w:val="center"/>
          </w:tcPr>
          <w:p w14:paraId="05676761" w14:textId="316E89B2" w:rsidR="006A4ABC" w:rsidRPr="00D231C5" w:rsidRDefault="006A4ABC" w:rsidP="004D3E87">
            <w:pPr>
              <w:pStyle w:val="NoSpacing"/>
              <w:spacing w:before="60" w:after="60"/>
              <w:jc w:val="center"/>
              <w:rPr>
                <w:sz w:val="16"/>
                <w:szCs w:val="16"/>
              </w:rPr>
            </w:pPr>
            <w:r w:rsidRPr="006A4ABC">
              <w:rPr>
                <w:sz w:val="16"/>
                <w:szCs w:val="16"/>
              </w:rPr>
              <w:t>32,00/36,48</w:t>
            </w:r>
          </w:p>
        </w:tc>
      </w:tr>
      <w:tr w:rsidR="006A4ABC" w:rsidRPr="00D231C5" w14:paraId="182E785A" w14:textId="77777777" w:rsidTr="004D3E87">
        <w:tc>
          <w:tcPr>
            <w:tcW w:w="2122" w:type="dxa"/>
            <w:vAlign w:val="center"/>
          </w:tcPr>
          <w:p w14:paraId="426E7A1C" w14:textId="5F83D7ED" w:rsidR="006A4ABC" w:rsidRPr="005D3A6D" w:rsidRDefault="006A4ABC" w:rsidP="004D3E87">
            <w:pPr>
              <w:pStyle w:val="NoSpacing"/>
              <w:spacing w:before="60" w:after="60"/>
              <w:jc w:val="left"/>
              <w:rPr>
                <w:sz w:val="16"/>
                <w:szCs w:val="16"/>
                <w:lang w:val="en-GB"/>
              </w:rPr>
            </w:pPr>
            <w:r w:rsidRPr="006A4ABC">
              <w:rPr>
                <w:sz w:val="16"/>
                <w:szCs w:val="16"/>
                <w:lang w:val="en-GB"/>
              </w:rPr>
              <w:t>European Power Exchange (PHELIX Base/Peak*)</w:t>
            </w:r>
          </w:p>
        </w:tc>
        <w:tc>
          <w:tcPr>
            <w:tcW w:w="1273" w:type="dxa"/>
            <w:vAlign w:val="center"/>
          </w:tcPr>
          <w:p w14:paraId="234F503A" w14:textId="03EFB2C6" w:rsidR="006A4ABC" w:rsidRDefault="00E25B11" w:rsidP="00E25B11">
            <w:pPr>
              <w:pStyle w:val="NoSpacing"/>
              <w:spacing w:before="60" w:after="60"/>
              <w:jc w:val="center"/>
              <w:rPr>
                <w:sz w:val="16"/>
                <w:szCs w:val="16"/>
              </w:rPr>
            </w:pPr>
            <w:r>
              <w:rPr>
                <w:sz w:val="16"/>
                <w:szCs w:val="16"/>
              </w:rPr>
              <w:t>31,82</w:t>
            </w:r>
            <w:r w:rsidR="006A4ABC">
              <w:rPr>
                <w:sz w:val="16"/>
                <w:szCs w:val="16"/>
              </w:rPr>
              <w:t>/</w:t>
            </w:r>
            <w:r>
              <w:rPr>
                <w:sz w:val="16"/>
                <w:szCs w:val="16"/>
              </w:rPr>
              <w:t>35,26</w:t>
            </w:r>
          </w:p>
        </w:tc>
        <w:tc>
          <w:tcPr>
            <w:tcW w:w="1273" w:type="dxa"/>
            <w:vAlign w:val="center"/>
          </w:tcPr>
          <w:p w14:paraId="34C5828F" w14:textId="480F3F13" w:rsidR="006A4ABC" w:rsidRDefault="006A4ABC" w:rsidP="004D3E87">
            <w:pPr>
              <w:pStyle w:val="NoSpacing"/>
              <w:spacing w:before="60" w:after="60"/>
              <w:jc w:val="center"/>
              <w:rPr>
                <w:sz w:val="16"/>
                <w:szCs w:val="16"/>
              </w:rPr>
            </w:pPr>
            <w:r w:rsidRPr="006A4ABC">
              <w:rPr>
                <w:sz w:val="16"/>
                <w:szCs w:val="16"/>
              </w:rPr>
              <w:t>32,74/36,79</w:t>
            </w:r>
          </w:p>
        </w:tc>
      </w:tr>
      <w:tr w:rsidR="006A4ABC" w:rsidRPr="00D231C5" w14:paraId="2ECCFDEB" w14:textId="77777777" w:rsidTr="004D3E87">
        <w:tc>
          <w:tcPr>
            <w:tcW w:w="2122" w:type="dxa"/>
            <w:vAlign w:val="center"/>
          </w:tcPr>
          <w:p w14:paraId="5F718B55" w14:textId="3FA631CB" w:rsidR="006A4ABC" w:rsidRPr="006A4ABC" w:rsidRDefault="006A4ABC" w:rsidP="006A4ABC">
            <w:pPr>
              <w:pStyle w:val="NoSpacing"/>
              <w:spacing w:before="60" w:after="60"/>
              <w:jc w:val="left"/>
              <w:rPr>
                <w:sz w:val="16"/>
                <w:szCs w:val="16"/>
                <w:lang w:val="en-GB"/>
              </w:rPr>
            </w:pPr>
            <w:r w:rsidRPr="006A4ABC">
              <w:rPr>
                <w:sz w:val="16"/>
                <w:szCs w:val="16"/>
                <w:lang w:val="en-GB"/>
              </w:rPr>
              <w:t>European Power Exchange (</w:t>
            </w:r>
            <w:r>
              <w:rPr>
                <w:sz w:val="16"/>
                <w:szCs w:val="16"/>
                <w:lang w:val="en-GB"/>
              </w:rPr>
              <w:t>France</w:t>
            </w:r>
            <w:r w:rsidRPr="006A4ABC">
              <w:rPr>
                <w:sz w:val="16"/>
                <w:szCs w:val="16"/>
                <w:lang w:val="en-GB"/>
              </w:rPr>
              <w:t xml:space="preserve"> Base/Peak*)</w:t>
            </w:r>
          </w:p>
        </w:tc>
        <w:tc>
          <w:tcPr>
            <w:tcW w:w="1273" w:type="dxa"/>
            <w:vAlign w:val="center"/>
          </w:tcPr>
          <w:p w14:paraId="21FB2934" w14:textId="73833AE3" w:rsidR="006A4ABC" w:rsidRDefault="006A4ABC" w:rsidP="00E25B11">
            <w:pPr>
              <w:pStyle w:val="NoSpacing"/>
              <w:spacing w:before="60" w:after="60"/>
              <w:jc w:val="center"/>
              <w:rPr>
                <w:sz w:val="16"/>
                <w:szCs w:val="16"/>
              </w:rPr>
            </w:pPr>
            <w:r>
              <w:rPr>
                <w:sz w:val="16"/>
                <w:szCs w:val="16"/>
              </w:rPr>
              <w:t>38</w:t>
            </w:r>
            <w:r w:rsidR="00E25B11">
              <w:rPr>
                <w:sz w:val="16"/>
                <w:szCs w:val="16"/>
              </w:rPr>
              <w:t>,30</w:t>
            </w:r>
            <w:r>
              <w:rPr>
                <w:sz w:val="16"/>
                <w:szCs w:val="16"/>
              </w:rPr>
              <w:t>/</w:t>
            </w:r>
            <w:r w:rsidR="00E25B11">
              <w:rPr>
                <w:sz w:val="16"/>
                <w:szCs w:val="16"/>
              </w:rPr>
              <w:t>42,04</w:t>
            </w:r>
          </w:p>
        </w:tc>
        <w:tc>
          <w:tcPr>
            <w:tcW w:w="1273" w:type="dxa"/>
            <w:vAlign w:val="center"/>
          </w:tcPr>
          <w:p w14:paraId="3B6863E4" w14:textId="65D10E2A" w:rsidR="006A4ABC" w:rsidRPr="006A4ABC" w:rsidRDefault="006A4ABC" w:rsidP="004D3E87">
            <w:pPr>
              <w:pStyle w:val="NoSpacing"/>
              <w:spacing w:before="60" w:after="60"/>
              <w:jc w:val="center"/>
              <w:rPr>
                <w:sz w:val="16"/>
                <w:szCs w:val="16"/>
              </w:rPr>
            </w:pPr>
            <w:r>
              <w:rPr>
                <w:sz w:val="16"/>
                <w:szCs w:val="16"/>
              </w:rPr>
              <w:t>34,63/38,99</w:t>
            </w:r>
          </w:p>
        </w:tc>
      </w:tr>
    </w:tbl>
    <w:p w14:paraId="6F8B8DFE" w14:textId="77777777" w:rsidR="006A4ABC" w:rsidRDefault="006A4ABC" w:rsidP="006A4ABC"/>
    <w:p w14:paraId="3BA71720" w14:textId="32E92A0D" w:rsidR="006A4ABC" w:rsidRDefault="006A4ABC" w:rsidP="006A4ABC">
      <w:r w:rsidRPr="006A4ABC">
        <w:lastRenderedPageBreak/>
        <w:t>CO</w:t>
      </w:r>
      <w:r w:rsidRPr="00D9767D">
        <w:rPr>
          <w:vertAlign w:val="subscript"/>
        </w:rPr>
        <w:t>2</w:t>
      </w:r>
      <w:r w:rsidRPr="006A4ABC">
        <w:t xml:space="preserve"> emissioonikvootide hinnad </w:t>
      </w:r>
      <w:r w:rsidR="00F33555">
        <w:t xml:space="preserve">tõusid </w:t>
      </w:r>
      <w:r w:rsidR="00D9767D" w:rsidRPr="006A4ABC">
        <w:t>201</w:t>
      </w:r>
      <w:r w:rsidR="00D9767D">
        <w:t>5</w:t>
      </w:r>
      <w:r w:rsidR="00D9767D" w:rsidRPr="006A4ABC">
        <w:t xml:space="preserve">. aastal </w:t>
      </w:r>
      <w:r w:rsidR="00D9767D">
        <w:t xml:space="preserve">jätkuvalt </w:t>
      </w:r>
      <w:r w:rsidRPr="006A4ABC">
        <w:t xml:space="preserve"> </w:t>
      </w:r>
      <w:r w:rsidR="00D9767D">
        <w:t xml:space="preserve">ja saavutasid aasta lõpuks viimase kolme aasta </w:t>
      </w:r>
      <w:r w:rsidR="00B824BE">
        <w:t xml:space="preserve">kõrgeima </w:t>
      </w:r>
      <w:r w:rsidR="00D9767D">
        <w:t>taseme</w:t>
      </w:r>
      <w:r w:rsidRPr="006A4ABC">
        <w:t xml:space="preserve">. </w:t>
      </w:r>
      <w:r w:rsidR="00D9767D">
        <w:t xml:space="preserve">Kui 2014. </w:t>
      </w:r>
      <w:r w:rsidRPr="006A4ABC">
        <w:t xml:space="preserve">aastal jäid hinnad 4,34 </w:t>
      </w:r>
      <w:r w:rsidR="00D9767D">
        <w:t xml:space="preserve">ja </w:t>
      </w:r>
      <w:r w:rsidRPr="006A4ABC">
        <w:t xml:space="preserve">7,12 </w:t>
      </w:r>
      <w:r w:rsidR="00D9767D">
        <w:t xml:space="preserve">€/t vahele, siis 2015. aastal liikusid hinnad vahemikus 6,41…8,67 €/t. </w:t>
      </w:r>
      <w:r w:rsidRPr="006A4ABC">
        <w:t>CO</w:t>
      </w:r>
      <w:r w:rsidRPr="00B824BE">
        <w:rPr>
          <w:vertAlign w:val="subscript"/>
        </w:rPr>
        <w:t>2</w:t>
      </w:r>
      <w:r w:rsidRPr="006A4ABC">
        <w:t xml:space="preserve"> emissiooni</w:t>
      </w:r>
      <w:r w:rsidR="00B824BE">
        <w:t>kvooti</w:t>
      </w:r>
      <w:r w:rsidRPr="006A4ABC">
        <w:t>de hinnad mõjutavad oluliselt fossiilkütustel põhinevate tootmisjaamade konkurentsivõimet.</w:t>
      </w:r>
    </w:p>
    <w:p w14:paraId="142EFC92" w14:textId="77777777" w:rsidR="006A4ABC" w:rsidRDefault="006A4ABC" w:rsidP="0022344D"/>
    <w:p w14:paraId="568AE7A7" w14:textId="5A678BB1" w:rsidR="00052F09" w:rsidRDefault="00F33555" w:rsidP="002F6E28">
      <w:pPr>
        <w:pStyle w:val="Heading2"/>
      </w:pPr>
      <w:r>
        <w:t>H</w:t>
      </w:r>
      <w:r w:rsidR="002E69A8">
        <w:t>ind</w:t>
      </w:r>
      <w:r>
        <w:t xml:space="preserve"> Eestis</w:t>
      </w:r>
    </w:p>
    <w:p w14:paraId="4D09BA8D" w14:textId="7E45ECB4" w:rsidR="001671F8" w:rsidRDefault="001671F8" w:rsidP="0022344D">
      <w:r>
        <w:rPr>
          <w:noProof/>
        </w:rPr>
        <w:drawing>
          <wp:inline distT="0" distB="0" distL="0" distR="0" wp14:anchorId="72713BAE" wp14:editId="0B1E8BB4">
            <wp:extent cx="2971800" cy="17811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71800" cy="1781175"/>
                    </a:xfrm>
                    <a:prstGeom prst="rect">
                      <a:avLst/>
                    </a:prstGeom>
                    <a:noFill/>
                    <a:ln>
                      <a:noFill/>
                    </a:ln>
                  </pic:spPr>
                </pic:pic>
              </a:graphicData>
            </a:graphic>
          </wp:inline>
        </w:drawing>
      </w:r>
      <w:r w:rsidRPr="00A04C61">
        <w:rPr>
          <w:rStyle w:val="SubtleEmphasis"/>
        </w:rPr>
        <w:t>NPS E</w:t>
      </w:r>
      <w:r>
        <w:rPr>
          <w:rStyle w:val="SubtleEmphasis"/>
        </w:rPr>
        <w:t>esti hinnapiirkonna tunnihinnad 2015. aastal</w:t>
      </w:r>
    </w:p>
    <w:p w14:paraId="09468BCB" w14:textId="77777777" w:rsidR="001671F8" w:rsidRDefault="001671F8" w:rsidP="0022344D"/>
    <w:p w14:paraId="3CCD5BE7" w14:textId="51E42DAA" w:rsidR="001671F8" w:rsidRDefault="001671F8" w:rsidP="0022344D">
      <w:r w:rsidRPr="001671F8">
        <w:t>NPS Eesti hinnapiirkonna hind oli 201</w:t>
      </w:r>
      <w:r w:rsidR="00C2350A">
        <w:t>5</w:t>
      </w:r>
      <w:r w:rsidRPr="001671F8">
        <w:t xml:space="preserve">. aastal NPS süsteemihinnast keskmiselt </w:t>
      </w:r>
      <w:r w:rsidR="00C2350A">
        <w:t>10,1</w:t>
      </w:r>
      <w:r w:rsidRPr="001671F8">
        <w:t xml:space="preserve"> eurot </w:t>
      </w:r>
      <w:r w:rsidR="00C2350A">
        <w:t>megavatt-tunni kohta</w:t>
      </w:r>
      <w:r w:rsidR="00CD31CB">
        <w:t xml:space="preserve"> </w:t>
      </w:r>
      <w:r w:rsidR="00CD31CB" w:rsidRPr="00CD31CB">
        <w:t>kallim</w:t>
      </w:r>
      <w:r w:rsidR="00C2350A">
        <w:t>, hinnavahe on suurem kui 2014. aastal, mil see oli 8 €/MWh</w:t>
      </w:r>
      <w:r w:rsidRPr="001671F8">
        <w:t>. NPS elektribörsi kõrgeimad hinnad olid 201</w:t>
      </w:r>
      <w:r w:rsidR="00AA2491">
        <w:t>5</w:t>
      </w:r>
      <w:r w:rsidRPr="001671F8">
        <w:t xml:space="preserve">. aastal </w:t>
      </w:r>
      <w:r w:rsidR="00AA2491">
        <w:t>Läti</w:t>
      </w:r>
      <w:r w:rsidRPr="001671F8">
        <w:t xml:space="preserve"> ja Leedu hinnapiirkondades, </w:t>
      </w:r>
      <w:r w:rsidR="00C2350A">
        <w:t>kusjuures</w:t>
      </w:r>
      <w:r w:rsidRPr="001671F8">
        <w:t xml:space="preserve"> Läti ja Leedu päev-ette elektribörsi hinnad erinesid terve aasta jooksul </w:t>
      </w:r>
      <w:r w:rsidR="00C2350A">
        <w:t>74</w:t>
      </w:r>
      <w:r w:rsidRPr="001671F8">
        <w:t xml:space="preserve"> tunnil</w:t>
      </w:r>
      <w:r w:rsidR="00C2350A">
        <w:t xml:space="preserve"> (2014. a</w:t>
      </w:r>
      <w:r w:rsidR="00CD31CB">
        <w:t>.</w:t>
      </w:r>
      <w:r w:rsidR="00C2350A">
        <w:t xml:space="preserve"> 30 tunnil)</w:t>
      </w:r>
      <w:r w:rsidRPr="001671F8">
        <w:t>.</w:t>
      </w:r>
    </w:p>
    <w:p w14:paraId="19E51DB3" w14:textId="77777777" w:rsidR="00AA2491" w:rsidRDefault="00AA2491" w:rsidP="0022344D"/>
    <w:p w14:paraId="05B12D07" w14:textId="19D3A937" w:rsidR="00AA2491" w:rsidRDefault="00AA2491" w:rsidP="0022344D">
      <w:r>
        <w:rPr>
          <w:noProof/>
        </w:rPr>
        <w:drawing>
          <wp:inline distT="0" distB="0" distL="0" distR="0" wp14:anchorId="1FF9B5B2" wp14:editId="04B11DDF">
            <wp:extent cx="2971800" cy="17811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71800" cy="1781175"/>
                    </a:xfrm>
                    <a:prstGeom prst="rect">
                      <a:avLst/>
                    </a:prstGeom>
                    <a:noFill/>
                    <a:ln>
                      <a:noFill/>
                    </a:ln>
                  </pic:spPr>
                </pic:pic>
              </a:graphicData>
            </a:graphic>
          </wp:inline>
        </w:drawing>
      </w:r>
    </w:p>
    <w:p w14:paraId="680F551B" w14:textId="7CB07B62" w:rsidR="00AA2491" w:rsidRDefault="00384C3D" w:rsidP="0022344D">
      <w:r>
        <w:rPr>
          <w:rStyle w:val="SubtleEmphasis"/>
        </w:rPr>
        <w:t>Kuu keskmine hind 2015. aastal</w:t>
      </w:r>
    </w:p>
    <w:p w14:paraId="4A73D293" w14:textId="77777777" w:rsidR="00AA2491" w:rsidRDefault="00AA2491" w:rsidP="0022344D"/>
    <w:p w14:paraId="06E8F167" w14:textId="39B8C3AD" w:rsidR="005C448E" w:rsidRDefault="00384C3D" w:rsidP="0022344D">
      <w:r w:rsidRPr="00384C3D">
        <w:t xml:space="preserve">NPS Soome ja NPS Eesti hinnad erinesid </w:t>
      </w:r>
      <w:r>
        <w:t>1054</w:t>
      </w:r>
      <w:r w:rsidRPr="00384C3D">
        <w:t xml:space="preserve"> tunnil ehk </w:t>
      </w:r>
      <w:r>
        <w:t>12</w:t>
      </w:r>
      <w:r w:rsidRPr="00384C3D">
        <w:t>% ajast</w:t>
      </w:r>
      <w:r>
        <w:t xml:space="preserve"> (2014. aastal 812 tunnil ehk 9,3% ajast).</w:t>
      </w:r>
      <w:r w:rsidRPr="00384C3D">
        <w:t xml:space="preserve"> </w:t>
      </w:r>
      <w:r>
        <w:t>H</w:t>
      </w:r>
      <w:r w:rsidRPr="00384C3D">
        <w:t xml:space="preserve">innaerinevus esines valdavalt erirežiimil, mil EstLinkide võimsus oli piiratud. </w:t>
      </w:r>
      <w:r>
        <w:t>K</w:t>
      </w:r>
      <w:r w:rsidRPr="00384C3D">
        <w:t>eskmi</w:t>
      </w:r>
      <w:r>
        <w:t>ne hinnaerinevus</w:t>
      </w:r>
      <w:r w:rsidRPr="00384C3D">
        <w:t xml:space="preserve"> Eesti ja Soome vahel </w:t>
      </w:r>
      <w:r>
        <w:t>oli 1,42 €</w:t>
      </w:r>
      <w:r w:rsidRPr="00384C3D">
        <w:t>/MWh</w:t>
      </w:r>
      <w:r>
        <w:t xml:space="preserve"> (2014. aastal 1,59 €/MWh)</w:t>
      </w:r>
      <w:r w:rsidR="005C448E">
        <w:t xml:space="preserve">, kusjuures septembris oli </w:t>
      </w:r>
      <w:r w:rsidRPr="00384C3D">
        <w:t xml:space="preserve">Eesti </w:t>
      </w:r>
      <w:r w:rsidR="005C448E">
        <w:t>hind Soome hinnast madalam.</w:t>
      </w:r>
    </w:p>
    <w:p w14:paraId="59F796D3" w14:textId="77777777" w:rsidR="005C448E" w:rsidRDefault="005C448E" w:rsidP="0022344D"/>
    <w:p w14:paraId="58623701" w14:textId="3790E018" w:rsidR="00AA2491" w:rsidRDefault="00384C3D" w:rsidP="0022344D">
      <w:r w:rsidRPr="00384C3D">
        <w:t>NPS Eesti ja Läti pakkumuspiirkondade keskmine hinnaerinevus 201</w:t>
      </w:r>
      <w:r w:rsidR="005C448E">
        <w:t>5</w:t>
      </w:r>
      <w:r w:rsidRPr="00384C3D">
        <w:t xml:space="preserve">. aastal </w:t>
      </w:r>
      <w:r w:rsidR="005C448E">
        <w:t>oli 10,77 €/MWh (2014. aastal 12,51 €/MWh)</w:t>
      </w:r>
      <w:r w:rsidRPr="00384C3D">
        <w:t xml:space="preserve">. </w:t>
      </w:r>
      <w:r w:rsidR="005C448E">
        <w:t xml:space="preserve">Kui </w:t>
      </w:r>
      <w:r w:rsidRPr="00384C3D">
        <w:t>2014. aastal erinesid NPS Eesti ja Läti pakkumuspiirkondade hinnad 69,6% tundidest</w:t>
      </w:r>
      <w:r w:rsidR="005C448E">
        <w:t>, siis 2015. aastal oli see näitaja pisut väiksem – 66,1%</w:t>
      </w:r>
      <w:r w:rsidRPr="00384C3D">
        <w:t>.</w:t>
      </w:r>
    </w:p>
    <w:p w14:paraId="4AE506E4" w14:textId="77777777" w:rsidR="00AA2491" w:rsidRDefault="00AA2491" w:rsidP="0022344D"/>
    <w:tbl>
      <w:tblPr>
        <w:tblStyle w:val="TableGrid"/>
        <w:tblW w:w="0" w:type="auto"/>
        <w:tblLayout w:type="fixed"/>
        <w:tblLook w:val="04A0" w:firstRow="1" w:lastRow="0" w:firstColumn="1" w:lastColumn="0" w:noHBand="0" w:noVBand="1"/>
      </w:tblPr>
      <w:tblGrid>
        <w:gridCol w:w="1271"/>
        <w:gridCol w:w="992"/>
        <w:gridCol w:w="709"/>
        <w:gridCol w:w="709"/>
        <w:gridCol w:w="987"/>
      </w:tblGrid>
      <w:tr w:rsidR="005C448E" w:rsidRPr="00D231C5" w14:paraId="08E09347" w14:textId="77777777" w:rsidTr="005C448E">
        <w:tc>
          <w:tcPr>
            <w:tcW w:w="1271" w:type="dxa"/>
            <w:vMerge w:val="restart"/>
            <w:shd w:val="clear" w:color="auto" w:fill="007087"/>
            <w:vAlign w:val="center"/>
          </w:tcPr>
          <w:p w14:paraId="6DAD42EE" w14:textId="14DEF022" w:rsidR="005C448E" w:rsidRPr="00D231C5" w:rsidRDefault="005C448E" w:rsidP="004D3E87">
            <w:pPr>
              <w:pStyle w:val="NoSpacing"/>
              <w:spacing w:before="60" w:after="60"/>
              <w:jc w:val="center"/>
              <w:rPr>
                <w:b/>
                <w:color w:val="FFFFFF" w:themeColor="background1"/>
                <w:sz w:val="16"/>
                <w:szCs w:val="16"/>
              </w:rPr>
            </w:pPr>
            <w:r>
              <w:rPr>
                <w:b/>
                <w:color w:val="FFFFFF" w:themeColor="background1"/>
                <w:sz w:val="16"/>
                <w:szCs w:val="16"/>
              </w:rPr>
              <w:t>€/MWh</w:t>
            </w:r>
          </w:p>
        </w:tc>
        <w:tc>
          <w:tcPr>
            <w:tcW w:w="2410" w:type="dxa"/>
            <w:gridSpan w:val="3"/>
            <w:shd w:val="clear" w:color="auto" w:fill="007087"/>
            <w:vAlign w:val="center"/>
          </w:tcPr>
          <w:p w14:paraId="79D5BF4C" w14:textId="58350C68" w:rsidR="005C448E" w:rsidRPr="00D231C5" w:rsidRDefault="005C448E" w:rsidP="005C448E">
            <w:pPr>
              <w:pStyle w:val="NoSpacing"/>
              <w:spacing w:before="60" w:after="60"/>
              <w:jc w:val="center"/>
              <w:rPr>
                <w:b/>
                <w:color w:val="FFFFFF" w:themeColor="background1"/>
                <w:sz w:val="16"/>
                <w:szCs w:val="16"/>
              </w:rPr>
            </w:pPr>
            <w:r>
              <w:rPr>
                <w:b/>
                <w:color w:val="FFFFFF" w:themeColor="background1"/>
                <w:sz w:val="16"/>
                <w:szCs w:val="16"/>
              </w:rPr>
              <w:t>2015 hind</w:t>
            </w:r>
          </w:p>
        </w:tc>
        <w:tc>
          <w:tcPr>
            <w:tcW w:w="987" w:type="dxa"/>
            <w:shd w:val="clear" w:color="auto" w:fill="007087"/>
          </w:tcPr>
          <w:p w14:paraId="1818C23E" w14:textId="578E2160" w:rsidR="005C448E" w:rsidRPr="00D231C5" w:rsidRDefault="005C448E" w:rsidP="005C448E">
            <w:pPr>
              <w:pStyle w:val="NoSpacing"/>
              <w:spacing w:before="60" w:after="60"/>
              <w:jc w:val="center"/>
              <w:rPr>
                <w:b/>
                <w:color w:val="FFFFFF" w:themeColor="background1"/>
                <w:sz w:val="16"/>
                <w:szCs w:val="16"/>
              </w:rPr>
            </w:pPr>
            <w:r>
              <w:rPr>
                <w:b/>
                <w:color w:val="FFFFFF" w:themeColor="background1"/>
                <w:sz w:val="16"/>
                <w:szCs w:val="16"/>
              </w:rPr>
              <w:t>2014 hind</w:t>
            </w:r>
          </w:p>
        </w:tc>
      </w:tr>
      <w:tr w:rsidR="005C448E" w:rsidRPr="00D231C5" w14:paraId="415432FF" w14:textId="77777777" w:rsidTr="005C448E">
        <w:tc>
          <w:tcPr>
            <w:tcW w:w="1271" w:type="dxa"/>
            <w:vMerge/>
            <w:shd w:val="clear" w:color="auto" w:fill="007087"/>
            <w:vAlign w:val="center"/>
          </w:tcPr>
          <w:p w14:paraId="4D398CE6" w14:textId="77777777" w:rsidR="005C448E" w:rsidRPr="00D231C5" w:rsidRDefault="005C448E" w:rsidP="004D3E87">
            <w:pPr>
              <w:pStyle w:val="NoSpacing"/>
              <w:spacing w:before="60" w:after="60"/>
              <w:jc w:val="center"/>
              <w:rPr>
                <w:b/>
                <w:color w:val="FFFFFF" w:themeColor="background1"/>
                <w:sz w:val="16"/>
                <w:szCs w:val="16"/>
              </w:rPr>
            </w:pPr>
          </w:p>
        </w:tc>
        <w:tc>
          <w:tcPr>
            <w:tcW w:w="992" w:type="dxa"/>
            <w:shd w:val="clear" w:color="auto" w:fill="007087"/>
            <w:vAlign w:val="center"/>
          </w:tcPr>
          <w:p w14:paraId="33DF4213" w14:textId="0E8EEC41" w:rsidR="005C448E" w:rsidRDefault="005C448E" w:rsidP="005C448E">
            <w:pPr>
              <w:pStyle w:val="NoSpacing"/>
              <w:spacing w:before="60" w:after="60"/>
              <w:jc w:val="center"/>
              <w:rPr>
                <w:b/>
                <w:color w:val="FFFFFF" w:themeColor="background1"/>
                <w:sz w:val="16"/>
                <w:szCs w:val="16"/>
              </w:rPr>
            </w:pPr>
            <w:r>
              <w:rPr>
                <w:b/>
                <w:color w:val="FFFFFF" w:themeColor="background1"/>
                <w:sz w:val="16"/>
                <w:szCs w:val="16"/>
              </w:rPr>
              <w:t>Keskmine</w:t>
            </w:r>
          </w:p>
        </w:tc>
        <w:tc>
          <w:tcPr>
            <w:tcW w:w="709" w:type="dxa"/>
            <w:shd w:val="clear" w:color="auto" w:fill="007087"/>
          </w:tcPr>
          <w:p w14:paraId="16F6A9AC" w14:textId="4CDE039F" w:rsidR="005C448E" w:rsidRDefault="005C448E" w:rsidP="005C448E">
            <w:pPr>
              <w:pStyle w:val="NoSpacing"/>
              <w:spacing w:before="60" w:after="60"/>
              <w:jc w:val="center"/>
              <w:rPr>
                <w:b/>
                <w:color w:val="FFFFFF" w:themeColor="background1"/>
                <w:sz w:val="16"/>
                <w:szCs w:val="16"/>
              </w:rPr>
            </w:pPr>
            <w:r>
              <w:rPr>
                <w:b/>
                <w:color w:val="FFFFFF" w:themeColor="background1"/>
                <w:sz w:val="16"/>
                <w:szCs w:val="16"/>
              </w:rPr>
              <w:t>Max</w:t>
            </w:r>
          </w:p>
        </w:tc>
        <w:tc>
          <w:tcPr>
            <w:tcW w:w="709" w:type="dxa"/>
            <w:shd w:val="clear" w:color="auto" w:fill="007087"/>
            <w:vAlign w:val="center"/>
          </w:tcPr>
          <w:p w14:paraId="0FD7EC00" w14:textId="6B5B1AB5" w:rsidR="005C448E" w:rsidRDefault="005C448E" w:rsidP="005C448E">
            <w:pPr>
              <w:pStyle w:val="NoSpacing"/>
              <w:spacing w:before="60" w:after="60"/>
              <w:jc w:val="center"/>
              <w:rPr>
                <w:b/>
                <w:color w:val="FFFFFF" w:themeColor="background1"/>
                <w:sz w:val="16"/>
                <w:szCs w:val="16"/>
              </w:rPr>
            </w:pPr>
            <w:r>
              <w:rPr>
                <w:b/>
                <w:color w:val="FFFFFF" w:themeColor="background1"/>
                <w:sz w:val="16"/>
                <w:szCs w:val="16"/>
              </w:rPr>
              <w:t>Min</w:t>
            </w:r>
          </w:p>
        </w:tc>
        <w:tc>
          <w:tcPr>
            <w:tcW w:w="987" w:type="dxa"/>
            <w:shd w:val="clear" w:color="auto" w:fill="007087"/>
          </w:tcPr>
          <w:p w14:paraId="69857E89" w14:textId="5C2A2303" w:rsidR="005C448E" w:rsidRDefault="005C448E" w:rsidP="005C448E">
            <w:pPr>
              <w:pStyle w:val="NoSpacing"/>
              <w:spacing w:before="60" w:after="60"/>
              <w:jc w:val="center"/>
              <w:rPr>
                <w:b/>
                <w:color w:val="FFFFFF" w:themeColor="background1"/>
                <w:sz w:val="16"/>
                <w:szCs w:val="16"/>
              </w:rPr>
            </w:pPr>
            <w:r>
              <w:rPr>
                <w:b/>
                <w:color w:val="FFFFFF" w:themeColor="background1"/>
                <w:sz w:val="16"/>
                <w:szCs w:val="16"/>
              </w:rPr>
              <w:t>Keskmine</w:t>
            </w:r>
          </w:p>
        </w:tc>
      </w:tr>
      <w:tr w:rsidR="005C448E" w:rsidRPr="00D231C5" w14:paraId="6EB22F05" w14:textId="77777777" w:rsidTr="005C448E">
        <w:tc>
          <w:tcPr>
            <w:tcW w:w="1271" w:type="dxa"/>
            <w:vAlign w:val="center"/>
          </w:tcPr>
          <w:p w14:paraId="2A7EBA99" w14:textId="47958653" w:rsidR="005C448E" w:rsidRPr="00D231C5" w:rsidRDefault="005C448E" w:rsidP="004D3E87">
            <w:pPr>
              <w:pStyle w:val="NoSpacing"/>
              <w:spacing w:before="60" w:after="60"/>
              <w:jc w:val="left"/>
              <w:rPr>
                <w:sz w:val="16"/>
                <w:szCs w:val="16"/>
              </w:rPr>
            </w:pPr>
            <w:r>
              <w:rPr>
                <w:sz w:val="16"/>
                <w:szCs w:val="16"/>
              </w:rPr>
              <w:lastRenderedPageBreak/>
              <w:t>NPS Süsteem</w:t>
            </w:r>
          </w:p>
        </w:tc>
        <w:tc>
          <w:tcPr>
            <w:tcW w:w="992" w:type="dxa"/>
            <w:vAlign w:val="center"/>
          </w:tcPr>
          <w:p w14:paraId="5AC95513" w14:textId="4C1B3384" w:rsidR="005C448E" w:rsidRPr="00D231C5" w:rsidRDefault="005C448E" w:rsidP="004D3E87">
            <w:pPr>
              <w:pStyle w:val="NoSpacing"/>
              <w:spacing w:before="60" w:after="60"/>
              <w:jc w:val="center"/>
              <w:rPr>
                <w:sz w:val="16"/>
                <w:szCs w:val="16"/>
              </w:rPr>
            </w:pPr>
            <w:r>
              <w:rPr>
                <w:sz w:val="16"/>
                <w:szCs w:val="16"/>
              </w:rPr>
              <w:t>20,98</w:t>
            </w:r>
          </w:p>
        </w:tc>
        <w:tc>
          <w:tcPr>
            <w:tcW w:w="709" w:type="dxa"/>
          </w:tcPr>
          <w:p w14:paraId="357849F4" w14:textId="4A9436A7" w:rsidR="005C448E" w:rsidRDefault="005C448E" w:rsidP="004D3E87">
            <w:pPr>
              <w:pStyle w:val="NoSpacing"/>
              <w:spacing w:before="60" w:after="60"/>
              <w:jc w:val="center"/>
              <w:rPr>
                <w:sz w:val="16"/>
                <w:szCs w:val="16"/>
              </w:rPr>
            </w:pPr>
            <w:r>
              <w:rPr>
                <w:sz w:val="16"/>
                <w:szCs w:val="16"/>
              </w:rPr>
              <w:t>69,94</w:t>
            </w:r>
          </w:p>
        </w:tc>
        <w:tc>
          <w:tcPr>
            <w:tcW w:w="709" w:type="dxa"/>
            <w:vAlign w:val="center"/>
          </w:tcPr>
          <w:p w14:paraId="78D19D67" w14:textId="33018D7E" w:rsidR="005C448E" w:rsidRPr="00D231C5" w:rsidRDefault="005C448E" w:rsidP="004D3E87">
            <w:pPr>
              <w:pStyle w:val="NoSpacing"/>
              <w:spacing w:before="60" w:after="60"/>
              <w:jc w:val="center"/>
              <w:rPr>
                <w:sz w:val="16"/>
                <w:szCs w:val="16"/>
              </w:rPr>
            </w:pPr>
            <w:r>
              <w:rPr>
                <w:sz w:val="16"/>
                <w:szCs w:val="16"/>
              </w:rPr>
              <w:t>1,14</w:t>
            </w:r>
          </w:p>
        </w:tc>
        <w:tc>
          <w:tcPr>
            <w:tcW w:w="987" w:type="dxa"/>
            <w:vAlign w:val="center"/>
          </w:tcPr>
          <w:p w14:paraId="1C908104" w14:textId="47AF06D7" w:rsidR="005C448E" w:rsidRPr="00D231C5" w:rsidRDefault="005C448E" w:rsidP="004D3E87">
            <w:pPr>
              <w:pStyle w:val="NoSpacing"/>
              <w:spacing w:before="60" w:after="60"/>
              <w:jc w:val="center"/>
              <w:rPr>
                <w:sz w:val="16"/>
                <w:szCs w:val="16"/>
              </w:rPr>
            </w:pPr>
            <w:r>
              <w:rPr>
                <w:sz w:val="16"/>
                <w:szCs w:val="16"/>
              </w:rPr>
              <w:t>29,61</w:t>
            </w:r>
          </w:p>
        </w:tc>
      </w:tr>
      <w:tr w:rsidR="005C448E" w:rsidRPr="00D231C5" w14:paraId="5E9E0B63" w14:textId="77777777" w:rsidTr="005C448E">
        <w:tc>
          <w:tcPr>
            <w:tcW w:w="1271" w:type="dxa"/>
            <w:vAlign w:val="center"/>
          </w:tcPr>
          <w:p w14:paraId="44C2D857" w14:textId="489205AB" w:rsidR="005C448E" w:rsidRPr="00D231C5" w:rsidRDefault="005C448E" w:rsidP="004D3E87">
            <w:pPr>
              <w:pStyle w:val="NoSpacing"/>
              <w:spacing w:before="60" w:after="60"/>
              <w:jc w:val="left"/>
              <w:rPr>
                <w:sz w:val="16"/>
                <w:szCs w:val="16"/>
              </w:rPr>
            </w:pPr>
            <w:r>
              <w:rPr>
                <w:sz w:val="16"/>
                <w:szCs w:val="16"/>
              </w:rPr>
              <w:t>NPS Soome</w:t>
            </w:r>
          </w:p>
        </w:tc>
        <w:tc>
          <w:tcPr>
            <w:tcW w:w="992" w:type="dxa"/>
            <w:vAlign w:val="center"/>
          </w:tcPr>
          <w:p w14:paraId="01F24F76" w14:textId="2741FA08" w:rsidR="005C448E" w:rsidRPr="00D231C5" w:rsidRDefault="00682FC0" w:rsidP="004D3E87">
            <w:pPr>
              <w:pStyle w:val="NoSpacing"/>
              <w:spacing w:before="60" w:after="60"/>
              <w:jc w:val="center"/>
              <w:rPr>
                <w:sz w:val="16"/>
                <w:szCs w:val="16"/>
              </w:rPr>
            </w:pPr>
            <w:r>
              <w:rPr>
                <w:sz w:val="16"/>
                <w:szCs w:val="16"/>
              </w:rPr>
              <w:t>29,66</w:t>
            </w:r>
          </w:p>
        </w:tc>
        <w:tc>
          <w:tcPr>
            <w:tcW w:w="709" w:type="dxa"/>
          </w:tcPr>
          <w:p w14:paraId="12A0ADCC" w14:textId="2921DDEC" w:rsidR="005C448E" w:rsidRDefault="00682FC0" w:rsidP="004D3E87">
            <w:pPr>
              <w:pStyle w:val="NoSpacing"/>
              <w:spacing w:before="60" w:after="60"/>
              <w:jc w:val="center"/>
              <w:rPr>
                <w:sz w:val="16"/>
                <w:szCs w:val="16"/>
              </w:rPr>
            </w:pPr>
            <w:r>
              <w:rPr>
                <w:sz w:val="16"/>
                <w:szCs w:val="16"/>
              </w:rPr>
              <w:t>150,06</w:t>
            </w:r>
          </w:p>
        </w:tc>
        <w:tc>
          <w:tcPr>
            <w:tcW w:w="709" w:type="dxa"/>
            <w:vAlign w:val="center"/>
          </w:tcPr>
          <w:p w14:paraId="47DF0AC7" w14:textId="134B787C" w:rsidR="005C448E" w:rsidRPr="00D231C5" w:rsidRDefault="00682FC0" w:rsidP="004D3E87">
            <w:pPr>
              <w:pStyle w:val="NoSpacing"/>
              <w:spacing w:before="60" w:after="60"/>
              <w:jc w:val="center"/>
              <w:rPr>
                <w:sz w:val="16"/>
                <w:szCs w:val="16"/>
              </w:rPr>
            </w:pPr>
            <w:r>
              <w:rPr>
                <w:sz w:val="16"/>
                <w:szCs w:val="16"/>
              </w:rPr>
              <w:t>0,32</w:t>
            </w:r>
          </w:p>
        </w:tc>
        <w:tc>
          <w:tcPr>
            <w:tcW w:w="987" w:type="dxa"/>
            <w:vAlign w:val="center"/>
          </w:tcPr>
          <w:p w14:paraId="52AD54E1" w14:textId="20A652AE" w:rsidR="005C448E" w:rsidRPr="00D231C5" w:rsidRDefault="005C448E" w:rsidP="004D3E87">
            <w:pPr>
              <w:pStyle w:val="NoSpacing"/>
              <w:spacing w:before="60" w:after="60"/>
              <w:jc w:val="center"/>
              <w:rPr>
                <w:sz w:val="16"/>
                <w:szCs w:val="16"/>
              </w:rPr>
            </w:pPr>
            <w:r>
              <w:rPr>
                <w:sz w:val="16"/>
                <w:szCs w:val="16"/>
              </w:rPr>
              <w:t>36,02</w:t>
            </w:r>
          </w:p>
        </w:tc>
      </w:tr>
      <w:tr w:rsidR="005C448E" w:rsidRPr="00D231C5" w14:paraId="44197DA3" w14:textId="77777777" w:rsidTr="005C448E">
        <w:tc>
          <w:tcPr>
            <w:tcW w:w="1271" w:type="dxa"/>
            <w:vAlign w:val="center"/>
          </w:tcPr>
          <w:p w14:paraId="7027B206" w14:textId="2F78E80F" w:rsidR="005C448E" w:rsidRPr="00D231C5" w:rsidRDefault="005C448E" w:rsidP="004D3E87">
            <w:pPr>
              <w:pStyle w:val="NoSpacing"/>
              <w:spacing w:before="60" w:after="60"/>
              <w:jc w:val="left"/>
              <w:rPr>
                <w:sz w:val="16"/>
                <w:szCs w:val="16"/>
              </w:rPr>
            </w:pPr>
            <w:r>
              <w:rPr>
                <w:sz w:val="16"/>
                <w:szCs w:val="16"/>
              </w:rPr>
              <w:t>NPS Eesti</w:t>
            </w:r>
          </w:p>
        </w:tc>
        <w:tc>
          <w:tcPr>
            <w:tcW w:w="992" w:type="dxa"/>
            <w:vAlign w:val="center"/>
          </w:tcPr>
          <w:p w14:paraId="3DE580F2" w14:textId="5159E70A" w:rsidR="005C448E" w:rsidRPr="00D231C5" w:rsidRDefault="00682FC0" w:rsidP="004D3E87">
            <w:pPr>
              <w:pStyle w:val="NoSpacing"/>
              <w:spacing w:before="60" w:after="60"/>
              <w:jc w:val="center"/>
              <w:rPr>
                <w:sz w:val="16"/>
                <w:szCs w:val="16"/>
              </w:rPr>
            </w:pPr>
            <w:r>
              <w:rPr>
                <w:sz w:val="16"/>
                <w:szCs w:val="16"/>
              </w:rPr>
              <w:t>31,08</w:t>
            </w:r>
          </w:p>
        </w:tc>
        <w:tc>
          <w:tcPr>
            <w:tcW w:w="709" w:type="dxa"/>
          </w:tcPr>
          <w:p w14:paraId="3B1979B9" w14:textId="01015B1B" w:rsidR="005C448E" w:rsidRDefault="00682FC0" w:rsidP="004D3E87">
            <w:pPr>
              <w:pStyle w:val="NoSpacing"/>
              <w:spacing w:before="60" w:after="60"/>
              <w:jc w:val="center"/>
              <w:rPr>
                <w:sz w:val="16"/>
                <w:szCs w:val="16"/>
              </w:rPr>
            </w:pPr>
            <w:r>
              <w:rPr>
                <w:sz w:val="16"/>
                <w:szCs w:val="16"/>
              </w:rPr>
              <w:t>150,06</w:t>
            </w:r>
          </w:p>
        </w:tc>
        <w:tc>
          <w:tcPr>
            <w:tcW w:w="709" w:type="dxa"/>
            <w:vAlign w:val="center"/>
          </w:tcPr>
          <w:p w14:paraId="2890ABFE" w14:textId="2C10C093" w:rsidR="005C448E" w:rsidRPr="00D231C5" w:rsidRDefault="00682FC0" w:rsidP="004D3E87">
            <w:pPr>
              <w:pStyle w:val="NoSpacing"/>
              <w:spacing w:before="60" w:after="60"/>
              <w:jc w:val="center"/>
              <w:rPr>
                <w:sz w:val="16"/>
                <w:szCs w:val="16"/>
              </w:rPr>
            </w:pPr>
            <w:r>
              <w:rPr>
                <w:sz w:val="16"/>
                <w:szCs w:val="16"/>
              </w:rPr>
              <w:t>0,32</w:t>
            </w:r>
          </w:p>
        </w:tc>
        <w:tc>
          <w:tcPr>
            <w:tcW w:w="987" w:type="dxa"/>
            <w:vAlign w:val="center"/>
          </w:tcPr>
          <w:p w14:paraId="5122EE36" w14:textId="27BE9842" w:rsidR="005C448E" w:rsidRPr="00D231C5" w:rsidRDefault="005C448E" w:rsidP="004D3E87">
            <w:pPr>
              <w:pStyle w:val="NoSpacing"/>
              <w:spacing w:before="60" w:after="60"/>
              <w:jc w:val="center"/>
              <w:rPr>
                <w:sz w:val="16"/>
                <w:szCs w:val="16"/>
              </w:rPr>
            </w:pPr>
            <w:r>
              <w:rPr>
                <w:sz w:val="16"/>
                <w:szCs w:val="16"/>
              </w:rPr>
              <w:t>37,61</w:t>
            </w:r>
          </w:p>
        </w:tc>
      </w:tr>
      <w:tr w:rsidR="005C448E" w:rsidRPr="00D231C5" w14:paraId="4D9E04A1" w14:textId="77777777" w:rsidTr="005C448E">
        <w:tc>
          <w:tcPr>
            <w:tcW w:w="1271" w:type="dxa"/>
            <w:vAlign w:val="center"/>
          </w:tcPr>
          <w:p w14:paraId="20F59EE6" w14:textId="4F211E50" w:rsidR="005C448E" w:rsidRDefault="005C448E" w:rsidP="004D3E87">
            <w:pPr>
              <w:pStyle w:val="NoSpacing"/>
              <w:spacing w:before="60" w:after="60"/>
              <w:jc w:val="left"/>
              <w:rPr>
                <w:sz w:val="16"/>
                <w:szCs w:val="16"/>
              </w:rPr>
            </w:pPr>
            <w:r>
              <w:rPr>
                <w:sz w:val="16"/>
                <w:szCs w:val="16"/>
              </w:rPr>
              <w:t>NPS Läti</w:t>
            </w:r>
          </w:p>
        </w:tc>
        <w:tc>
          <w:tcPr>
            <w:tcW w:w="992" w:type="dxa"/>
            <w:vAlign w:val="center"/>
          </w:tcPr>
          <w:p w14:paraId="09DD9861" w14:textId="19B88FDD" w:rsidR="005C448E" w:rsidRPr="00D231C5" w:rsidRDefault="00682FC0" w:rsidP="004D3E87">
            <w:pPr>
              <w:pStyle w:val="NoSpacing"/>
              <w:spacing w:before="60" w:after="60"/>
              <w:jc w:val="center"/>
              <w:rPr>
                <w:sz w:val="16"/>
                <w:szCs w:val="16"/>
              </w:rPr>
            </w:pPr>
            <w:r>
              <w:rPr>
                <w:sz w:val="16"/>
                <w:szCs w:val="16"/>
              </w:rPr>
              <w:t>41,85</w:t>
            </w:r>
          </w:p>
        </w:tc>
        <w:tc>
          <w:tcPr>
            <w:tcW w:w="709" w:type="dxa"/>
          </w:tcPr>
          <w:p w14:paraId="79243AD9" w14:textId="5873C2B3" w:rsidR="005C448E" w:rsidRDefault="00682FC0" w:rsidP="004D3E87">
            <w:pPr>
              <w:pStyle w:val="NoSpacing"/>
              <w:spacing w:before="60" w:after="60"/>
              <w:jc w:val="center"/>
              <w:rPr>
                <w:sz w:val="16"/>
                <w:szCs w:val="16"/>
              </w:rPr>
            </w:pPr>
            <w:r>
              <w:rPr>
                <w:sz w:val="16"/>
                <w:szCs w:val="16"/>
              </w:rPr>
              <w:t>200,11</w:t>
            </w:r>
          </w:p>
        </w:tc>
        <w:tc>
          <w:tcPr>
            <w:tcW w:w="709" w:type="dxa"/>
            <w:vAlign w:val="center"/>
          </w:tcPr>
          <w:p w14:paraId="152B64E8" w14:textId="6C013211" w:rsidR="005C448E" w:rsidRPr="00D231C5" w:rsidRDefault="00682FC0" w:rsidP="004D3E87">
            <w:pPr>
              <w:pStyle w:val="NoSpacing"/>
              <w:spacing w:before="60" w:after="60"/>
              <w:jc w:val="center"/>
              <w:rPr>
                <w:sz w:val="16"/>
                <w:szCs w:val="16"/>
              </w:rPr>
            </w:pPr>
            <w:r>
              <w:rPr>
                <w:sz w:val="16"/>
                <w:szCs w:val="16"/>
              </w:rPr>
              <w:t>4,05</w:t>
            </w:r>
          </w:p>
        </w:tc>
        <w:tc>
          <w:tcPr>
            <w:tcW w:w="987" w:type="dxa"/>
            <w:vAlign w:val="center"/>
          </w:tcPr>
          <w:p w14:paraId="3CCADD71" w14:textId="55E3D48C" w:rsidR="005C448E" w:rsidRPr="00D231C5" w:rsidRDefault="005C448E" w:rsidP="004D3E87">
            <w:pPr>
              <w:pStyle w:val="NoSpacing"/>
              <w:spacing w:before="60" w:after="60"/>
              <w:jc w:val="center"/>
              <w:rPr>
                <w:sz w:val="16"/>
                <w:szCs w:val="16"/>
              </w:rPr>
            </w:pPr>
            <w:r>
              <w:rPr>
                <w:sz w:val="16"/>
                <w:szCs w:val="16"/>
              </w:rPr>
              <w:t>50,12</w:t>
            </w:r>
          </w:p>
        </w:tc>
      </w:tr>
      <w:tr w:rsidR="00682FC0" w:rsidRPr="00D231C5" w14:paraId="4C19B2CB" w14:textId="77777777" w:rsidTr="005C448E">
        <w:tc>
          <w:tcPr>
            <w:tcW w:w="1271" w:type="dxa"/>
            <w:vAlign w:val="center"/>
          </w:tcPr>
          <w:p w14:paraId="42246064" w14:textId="18F77D67" w:rsidR="00682FC0" w:rsidRPr="00B02333" w:rsidRDefault="00682FC0" w:rsidP="00682FC0">
            <w:pPr>
              <w:pStyle w:val="NoSpacing"/>
              <w:spacing w:before="60" w:after="60"/>
              <w:jc w:val="left"/>
              <w:rPr>
                <w:sz w:val="16"/>
                <w:szCs w:val="16"/>
              </w:rPr>
            </w:pPr>
            <w:r>
              <w:rPr>
                <w:sz w:val="16"/>
                <w:szCs w:val="16"/>
              </w:rPr>
              <w:t>NPS Leedu</w:t>
            </w:r>
          </w:p>
        </w:tc>
        <w:tc>
          <w:tcPr>
            <w:tcW w:w="992" w:type="dxa"/>
            <w:vAlign w:val="center"/>
          </w:tcPr>
          <w:p w14:paraId="0892B63F" w14:textId="4459F19A" w:rsidR="00682FC0" w:rsidRPr="00D231C5" w:rsidRDefault="00682FC0" w:rsidP="00682FC0">
            <w:pPr>
              <w:pStyle w:val="NoSpacing"/>
              <w:spacing w:before="60" w:after="60"/>
              <w:jc w:val="center"/>
              <w:rPr>
                <w:sz w:val="16"/>
                <w:szCs w:val="16"/>
              </w:rPr>
            </w:pPr>
            <w:r>
              <w:rPr>
                <w:sz w:val="16"/>
                <w:szCs w:val="16"/>
              </w:rPr>
              <w:t>41,92</w:t>
            </w:r>
          </w:p>
        </w:tc>
        <w:tc>
          <w:tcPr>
            <w:tcW w:w="709" w:type="dxa"/>
          </w:tcPr>
          <w:p w14:paraId="6039D330" w14:textId="78CCF9F3" w:rsidR="00682FC0" w:rsidRDefault="00682FC0" w:rsidP="00682FC0">
            <w:pPr>
              <w:pStyle w:val="NoSpacing"/>
              <w:spacing w:before="60" w:after="60"/>
              <w:jc w:val="center"/>
              <w:rPr>
                <w:sz w:val="16"/>
                <w:szCs w:val="16"/>
              </w:rPr>
            </w:pPr>
            <w:r>
              <w:rPr>
                <w:sz w:val="16"/>
                <w:szCs w:val="16"/>
              </w:rPr>
              <w:t>200,11</w:t>
            </w:r>
          </w:p>
        </w:tc>
        <w:tc>
          <w:tcPr>
            <w:tcW w:w="709" w:type="dxa"/>
            <w:vAlign w:val="center"/>
          </w:tcPr>
          <w:p w14:paraId="7F664129" w14:textId="6A9DD74F" w:rsidR="00682FC0" w:rsidRPr="00D231C5" w:rsidRDefault="00682FC0" w:rsidP="00682FC0">
            <w:pPr>
              <w:pStyle w:val="NoSpacing"/>
              <w:spacing w:before="60" w:after="60"/>
              <w:jc w:val="center"/>
              <w:rPr>
                <w:sz w:val="16"/>
                <w:szCs w:val="16"/>
              </w:rPr>
            </w:pPr>
            <w:r>
              <w:rPr>
                <w:sz w:val="16"/>
                <w:szCs w:val="16"/>
              </w:rPr>
              <w:t>4,05</w:t>
            </w:r>
          </w:p>
        </w:tc>
        <w:tc>
          <w:tcPr>
            <w:tcW w:w="987" w:type="dxa"/>
            <w:vAlign w:val="center"/>
          </w:tcPr>
          <w:p w14:paraId="10DEBD88" w14:textId="205DDE05" w:rsidR="00682FC0" w:rsidRPr="00D231C5" w:rsidRDefault="00682FC0" w:rsidP="00682FC0">
            <w:pPr>
              <w:pStyle w:val="NoSpacing"/>
              <w:spacing w:before="60" w:after="60"/>
              <w:jc w:val="center"/>
              <w:rPr>
                <w:sz w:val="16"/>
                <w:szCs w:val="16"/>
              </w:rPr>
            </w:pPr>
            <w:r>
              <w:rPr>
                <w:sz w:val="16"/>
                <w:szCs w:val="16"/>
              </w:rPr>
              <w:t>50,13</w:t>
            </w:r>
          </w:p>
        </w:tc>
      </w:tr>
    </w:tbl>
    <w:p w14:paraId="4BF1B915" w14:textId="77777777" w:rsidR="005C448E" w:rsidRDefault="005C448E" w:rsidP="0022344D"/>
    <w:p w14:paraId="13563598" w14:textId="0975DC02" w:rsidR="005C448E" w:rsidRDefault="00682FC0" w:rsidP="0022344D">
      <w:r w:rsidRPr="00682FC0">
        <w:t>NPS Eesti hinnapiirkonna kuu keskmi</w:t>
      </w:r>
      <w:r w:rsidR="00F56D8D">
        <w:t>s</w:t>
      </w:r>
      <w:r w:rsidRPr="00682FC0">
        <w:t>e</w:t>
      </w:r>
      <w:r w:rsidR="00F56D8D">
        <w:t>d</w:t>
      </w:r>
      <w:r w:rsidRPr="00682FC0">
        <w:t xml:space="preserve"> hin</w:t>
      </w:r>
      <w:r w:rsidR="00F56D8D">
        <w:t>na</w:t>
      </w:r>
      <w:r w:rsidRPr="00682FC0">
        <w:t>d jäi</w:t>
      </w:r>
      <w:r w:rsidR="00F56D8D">
        <w:t>d 2015. aastal</w:t>
      </w:r>
      <w:r w:rsidRPr="00682FC0">
        <w:t xml:space="preserve"> </w:t>
      </w:r>
      <w:r w:rsidR="00606A6C">
        <w:t>26</w:t>
      </w:r>
      <w:r w:rsidRPr="00682FC0">
        <w:t xml:space="preserve"> ja </w:t>
      </w:r>
      <w:r w:rsidR="00606A6C">
        <w:t>3</w:t>
      </w:r>
      <w:r w:rsidRPr="00682FC0">
        <w:t xml:space="preserve">5 euro vahele. </w:t>
      </w:r>
      <w:r w:rsidR="00606A6C" w:rsidRPr="00606A6C">
        <w:t>Seejuures oli 53</w:t>
      </w:r>
      <w:r w:rsidR="00606A6C">
        <w:t>%</w:t>
      </w:r>
      <w:r w:rsidR="00606A6C" w:rsidRPr="00606A6C">
        <w:t xml:space="preserve"> eelmise aasta tundidest elektri börsihind alla 30,7</w:t>
      </w:r>
      <w:r w:rsidR="00606A6C">
        <w:t>0</w:t>
      </w:r>
      <w:r w:rsidR="00606A6C" w:rsidRPr="00606A6C">
        <w:t xml:space="preserve"> euro ehk alla omaaegse reguleeritud hinna</w:t>
      </w:r>
      <w:r w:rsidR="00606A6C">
        <w:t xml:space="preserve">. </w:t>
      </w:r>
      <w:r w:rsidRPr="00682FC0">
        <w:t xml:space="preserve">Tunnihinna </w:t>
      </w:r>
      <w:r w:rsidR="00144F3F">
        <w:t>madalaim</w:t>
      </w:r>
      <w:r w:rsidR="00144F3F" w:rsidRPr="00682FC0">
        <w:t xml:space="preserve"> </w:t>
      </w:r>
      <w:r w:rsidRPr="00682FC0">
        <w:t xml:space="preserve">ja </w:t>
      </w:r>
      <w:r w:rsidR="00144F3F">
        <w:t>kõrgeim</w:t>
      </w:r>
      <w:r w:rsidR="00144F3F" w:rsidRPr="00682FC0">
        <w:t xml:space="preserve"> </w:t>
      </w:r>
      <w:r w:rsidRPr="00682FC0">
        <w:t xml:space="preserve">väärtus </w:t>
      </w:r>
      <w:r>
        <w:t xml:space="preserve">oli 0,32 €/MWh </w:t>
      </w:r>
      <w:r w:rsidR="00144F3F">
        <w:t xml:space="preserve">25. detsembril </w:t>
      </w:r>
      <w:r>
        <w:t xml:space="preserve">ja 150,06 €/MWh </w:t>
      </w:r>
      <w:r w:rsidR="00144F3F">
        <w:t xml:space="preserve">23. novembril </w:t>
      </w:r>
      <w:r>
        <w:t>(</w:t>
      </w:r>
      <w:r w:rsidRPr="00682FC0">
        <w:t xml:space="preserve">2014. aastal </w:t>
      </w:r>
      <w:r>
        <w:t>vastavalt</w:t>
      </w:r>
      <w:r w:rsidRPr="00682FC0">
        <w:t xml:space="preserve"> 1,95 </w:t>
      </w:r>
      <w:r>
        <w:t>€</w:t>
      </w:r>
      <w:r w:rsidRPr="00682FC0">
        <w:t xml:space="preserve">/MWh ja 210,08 </w:t>
      </w:r>
      <w:r>
        <w:t>€/MWh)</w:t>
      </w:r>
      <w:r w:rsidRPr="00682FC0">
        <w:t xml:space="preserve">. </w:t>
      </w:r>
    </w:p>
    <w:p w14:paraId="6B834380" w14:textId="77777777" w:rsidR="00682FC0" w:rsidRDefault="00682FC0" w:rsidP="0022344D"/>
    <w:p w14:paraId="25C1833B" w14:textId="68DDBE3B" w:rsidR="00682FC0" w:rsidRDefault="00682FC0" w:rsidP="0022344D">
      <w:r>
        <w:rPr>
          <w:noProof/>
        </w:rPr>
        <w:drawing>
          <wp:inline distT="0" distB="0" distL="0" distR="0" wp14:anchorId="1916E095" wp14:editId="1D05215D">
            <wp:extent cx="2971800" cy="17811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71800" cy="1781175"/>
                    </a:xfrm>
                    <a:prstGeom prst="rect">
                      <a:avLst/>
                    </a:prstGeom>
                    <a:noFill/>
                    <a:ln>
                      <a:noFill/>
                    </a:ln>
                  </pic:spPr>
                </pic:pic>
              </a:graphicData>
            </a:graphic>
          </wp:inline>
        </w:drawing>
      </w:r>
    </w:p>
    <w:p w14:paraId="1DD7C849" w14:textId="0985F59C" w:rsidR="00682FC0" w:rsidRDefault="00CA69AD" w:rsidP="0022344D">
      <w:r>
        <w:rPr>
          <w:rStyle w:val="SubtleEmphasis"/>
        </w:rPr>
        <w:t>Eesti h</w:t>
      </w:r>
      <w:r w:rsidR="00682FC0">
        <w:rPr>
          <w:rStyle w:val="SubtleEmphasis"/>
        </w:rPr>
        <w:t>indade volatiilsus 2015. aastal</w:t>
      </w:r>
    </w:p>
    <w:p w14:paraId="0BD4407C" w14:textId="77777777" w:rsidR="00682FC0" w:rsidRDefault="00682FC0" w:rsidP="0022344D"/>
    <w:p w14:paraId="53ED7941" w14:textId="4C2428B3" w:rsidR="00682FC0" w:rsidRDefault="00682FC0" w:rsidP="002F6E28">
      <w:pPr>
        <w:pStyle w:val="Heading2"/>
      </w:pPr>
      <w:r>
        <w:t>Võimsusvoog</w:t>
      </w:r>
    </w:p>
    <w:p w14:paraId="3D431E4A" w14:textId="0A83FB2D" w:rsidR="002F6E28" w:rsidRDefault="002F6E28" w:rsidP="002F6E28">
      <w:pPr>
        <w:pStyle w:val="Subtitle"/>
      </w:pPr>
      <w:r>
        <w:t>Eesti-Soome</w:t>
      </w:r>
    </w:p>
    <w:p w14:paraId="68BA848D" w14:textId="081F600B" w:rsidR="00682FC0" w:rsidRDefault="004A1769" w:rsidP="0022344D">
      <w:r>
        <w:t>Aasta kokkuvõttes oli Eesti-Soome ristlõikel elektri voog suunatud Soomest Eestisse 98% ajast ja 2% ajast Eestist Soome.</w:t>
      </w:r>
      <w:r w:rsidR="00A36B7D" w:rsidDel="00A36B7D">
        <w:t xml:space="preserve"> </w:t>
      </w:r>
    </w:p>
    <w:p w14:paraId="7E3530D6" w14:textId="77777777" w:rsidR="00682FC0" w:rsidRDefault="00682FC0" w:rsidP="0022344D"/>
    <w:p w14:paraId="15C30E5C" w14:textId="204591AF" w:rsidR="0070270C" w:rsidRDefault="003F5260" w:rsidP="0022344D">
      <w:r>
        <w:rPr>
          <w:noProof/>
        </w:rPr>
        <w:drawing>
          <wp:inline distT="0" distB="0" distL="0" distR="0" wp14:anchorId="49B8DEA8" wp14:editId="2F09A682">
            <wp:extent cx="2971800" cy="1762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71800" cy="1762125"/>
                    </a:xfrm>
                    <a:prstGeom prst="rect">
                      <a:avLst/>
                    </a:prstGeom>
                    <a:noFill/>
                    <a:ln>
                      <a:noFill/>
                    </a:ln>
                  </pic:spPr>
                </pic:pic>
              </a:graphicData>
            </a:graphic>
          </wp:inline>
        </w:drawing>
      </w:r>
    </w:p>
    <w:p w14:paraId="14C903E5" w14:textId="72C6E364" w:rsidR="003F5260" w:rsidRDefault="003F5260" w:rsidP="003F5260">
      <w:r w:rsidRPr="003F5260">
        <w:rPr>
          <w:rStyle w:val="SubtleEmphasis"/>
        </w:rPr>
        <w:t>NPS Eesti ja NPS Soome vahelised võimsusvood 201</w:t>
      </w:r>
      <w:r>
        <w:rPr>
          <w:rStyle w:val="SubtleEmphasis"/>
        </w:rPr>
        <w:t>5</w:t>
      </w:r>
      <w:r w:rsidRPr="003F5260">
        <w:rPr>
          <w:rStyle w:val="SubtleEmphasis"/>
        </w:rPr>
        <w:t>. aastal</w:t>
      </w:r>
    </w:p>
    <w:p w14:paraId="770AA63A" w14:textId="77777777" w:rsidR="0070270C" w:rsidRDefault="0070270C" w:rsidP="0022344D"/>
    <w:p w14:paraId="65975527" w14:textId="77777777" w:rsidR="00A36B7D" w:rsidRDefault="00A36B7D" w:rsidP="0022344D">
      <w:r w:rsidRPr="0070270C">
        <w:t>Eesti ja Soome vahelised EstLink ühendused olid päev-ette kauplemise tulemust</w:t>
      </w:r>
      <w:r>
        <w:t xml:space="preserve">e põhjal maksimaalselt jaotatud </w:t>
      </w:r>
      <w:r w:rsidRPr="0070270C">
        <w:t xml:space="preserve">suunal Eestist Soome </w:t>
      </w:r>
      <w:r>
        <w:t>0,2</w:t>
      </w:r>
      <w:r w:rsidRPr="0070270C">
        <w:t xml:space="preserve"> ja Soomest Eestisse </w:t>
      </w:r>
      <w:r>
        <w:t>11,7</w:t>
      </w:r>
      <w:r w:rsidRPr="0070270C">
        <w:t xml:space="preserve"> protsendil tundidest</w:t>
      </w:r>
      <w:r>
        <w:t xml:space="preserve"> (2014. aastal vastavalt 1,3% ja 9,2% ajast)</w:t>
      </w:r>
      <w:r w:rsidRPr="0070270C">
        <w:t>.</w:t>
      </w:r>
      <w:r>
        <w:t xml:space="preserve"> Päevasisese kauplemise järel ülekandevõimsuste puudujääk mõnevõrra vähenes – Eesti-Soome suunal 0,1 %-le ja Soome-Eesti suunal 10,3%-le.</w:t>
      </w:r>
    </w:p>
    <w:p w14:paraId="2123F666" w14:textId="77777777" w:rsidR="00A36B7D" w:rsidRDefault="00A36B7D" w:rsidP="0022344D"/>
    <w:p w14:paraId="599F6B8A" w14:textId="36B44D41" w:rsidR="00682FC0" w:rsidRDefault="00CE123D" w:rsidP="0022344D">
      <w:r>
        <w:t>Ü</w:t>
      </w:r>
      <w:r w:rsidRPr="00CE123D">
        <w:t xml:space="preserve">lekandevõimsuste puudujäägist tulenev ülekoormuse tulu </w:t>
      </w:r>
      <w:r w:rsidR="00A36B7D">
        <w:t>ühenduste</w:t>
      </w:r>
      <w:r w:rsidRPr="00CE123D">
        <w:t xml:space="preserve"> omanikele moodustas 201</w:t>
      </w:r>
      <w:r>
        <w:t>5</w:t>
      </w:r>
      <w:r w:rsidRPr="00CE123D">
        <w:t xml:space="preserve">. aastal </w:t>
      </w:r>
      <w:r>
        <w:t>8,4</w:t>
      </w:r>
      <w:r w:rsidRPr="00CE123D">
        <w:t xml:space="preserve"> </w:t>
      </w:r>
      <w:r w:rsidR="007C0CDE">
        <w:t>m</w:t>
      </w:r>
      <w:r>
        <w:t>ln eurot</w:t>
      </w:r>
      <w:r w:rsidRPr="00CE123D">
        <w:t xml:space="preserve"> (201</w:t>
      </w:r>
      <w:r>
        <w:t>4</w:t>
      </w:r>
      <w:r w:rsidRPr="00CE123D">
        <w:t xml:space="preserve">. aastal </w:t>
      </w:r>
      <w:r>
        <w:t>4,8</w:t>
      </w:r>
      <w:r w:rsidRPr="00CE123D">
        <w:t xml:space="preserve"> </w:t>
      </w:r>
      <w:r w:rsidR="007C0CDE">
        <w:t>mln</w:t>
      </w:r>
      <w:r>
        <w:t xml:space="preserve"> eurot</w:t>
      </w:r>
      <w:r w:rsidRPr="00CE123D">
        <w:t xml:space="preserve">), millest Eleringi </w:t>
      </w:r>
      <w:r w:rsidRPr="00CE123D">
        <w:lastRenderedPageBreak/>
        <w:t xml:space="preserve">osa moodustab 50% ehk </w:t>
      </w:r>
      <w:r>
        <w:t>4,2</w:t>
      </w:r>
      <w:r w:rsidRPr="00CE123D">
        <w:t xml:space="preserve"> </w:t>
      </w:r>
      <w:r w:rsidR="007C0CDE">
        <w:t>mln</w:t>
      </w:r>
      <w:r>
        <w:t xml:space="preserve"> eurot</w:t>
      </w:r>
      <w:r w:rsidRPr="00CE123D">
        <w:t>. Vastukaubanduse kulu Eleringile Soome suunal oli 201</w:t>
      </w:r>
      <w:r>
        <w:t>5</w:t>
      </w:r>
      <w:r w:rsidRPr="00CE123D">
        <w:t>. aastal 181 697,54</w:t>
      </w:r>
      <w:r>
        <w:t xml:space="preserve"> </w:t>
      </w:r>
      <w:r w:rsidRPr="00CE123D">
        <w:t>eurot (201</w:t>
      </w:r>
      <w:r>
        <w:t>4</w:t>
      </w:r>
      <w:r w:rsidRPr="00CE123D">
        <w:t>. aastal 255 375,34</w:t>
      </w:r>
      <w:r>
        <w:t xml:space="preserve"> </w:t>
      </w:r>
      <w:r w:rsidRPr="00CE123D">
        <w:t>eurot).</w:t>
      </w:r>
    </w:p>
    <w:p w14:paraId="6943BC38" w14:textId="77777777" w:rsidR="002F6E28" w:rsidRDefault="002F6E28" w:rsidP="0022344D"/>
    <w:p w14:paraId="0ACAFBC2" w14:textId="25DEADE7" w:rsidR="002F6E28" w:rsidRDefault="002F6E28" w:rsidP="0022344D">
      <w:r>
        <w:rPr>
          <w:noProof/>
        </w:rPr>
        <w:drawing>
          <wp:inline distT="0" distB="0" distL="0" distR="0" wp14:anchorId="71B033A0" wp14:editId="3CC9D434">
            <wp:extent cx="2971800" cy="1781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71800" cy="1781175"/>
                    </a:xfrm>
                    <a:prstGeom prst="rect">
                      <a:avLst/>
                    </a:prstGeom>
                    <a:noFill/>
                    <a:ln>
                      <a:noFill/>
                    </a:ln>
                  </pic:spPr>
                </pic:pic>
              </a:graphicData>
            </a:graphic>
          </wp:inline>
        </w:drawing>
      </w:r>
    </w:p>
    <w:p w14:paraId="6698B0FE" w14:textId="1B54E065" w:rsidR="002F6E28" w:rsidRDefault="002F6E28" w:rsidP="002F6E28">
      <w:pPr>
        <w:jc w:val="left"/>
      </w:pPr>
      <w:r w:rsidRPr="002F6E28">
        <w:rPr>
          <w:rStyle w:val="SubtleEmphasis"/>
        </w:rPr>
        <w:t xml:space="preserve">Ülekandevõimsuse tulu EstLink 1 ja EstLink 2 omanikele </w:t>
      </w:r>
      <w:r>
        <w:rPr>
          <w:rStyle w:val="SubtleEmphasis"/>
        </w:rPr>
        <w:t>2015. aastal</w:t>
      </w:r>
    </w:p>
    <w:p w14:paraId="6AC236AE" w14:textId="77777777" w:rsidR="002F6E28" w:rsidRDefault="002F6E28" w:rsidP="0022344D"/>
    <w:p w14:paraId="7FB79844" w14:textId="45EE7D25" w:rsidR="002F6E28" w:rsidRDefault="002F6E28" w:rsidP="002F6E28">
      <w:pPr>
        <w:pStyle w:val="Subtitle"/>
      </w:pPr>
      <w:r>
        <w:t>Eesti-Läti</w:t>
      </w:r>
    </w:p>
    <w:p w14:paraId="4F5A527D" w14:textId="69ABB863" w:rsidR="00742226" w:rsidRDefault="002F6E28" w:rsidP="0022344D">
      <w:r w:rsidRPr="002F6E28">
        <w:t>201</w:t>
      </w:r>
      <w:r w:rsidR="007C0CDE">
        <w:t>5</w:t>
      </w:r>
      <w:r w:rsidRPr="002F6E28">
        <w:t>. aasta</w:t>
      </w:r>
      <w:r w:rsidR="007C0CDE">
        <w:t>l</w:t>
      </w:r>
      <w:r w:rsidRPr="002F6E28">
        <w:t xml:space="preserve"> liikus elektrienergia kaubanduslik voog Eestist Lätti pärast päev-ette kaubandust 99,8 protsendil tundidest. </w:t>
      </w:r>
      <w:r w:rsidR="007C0CDE">
        <w:t>P</w:t>
      </w:r>
      <w:r w:rsidRPr="002F6E28">
        <w:t>äev-ette kauplemise tulemuste põhjal</w:t>
      </w:r>
      <w:r w:rsidR="007C0CDE" w:rsidRPr="007C0CDE">
        <w:t xml:space="preserve"> olid</w:t>
      </w:r>
      <w:r w:rsidR="007C0CDE" w:rsidRPr="002F6E28">
        <w:t xml:space="preserve"> </w:t>
      </w:r>
      <w:r w:rsidR="007C0CDE" w:rsidRPr="007C0CDE">
        <w:t xml:space="preserve">Eesti ja Läti ühendused </w:t>
      </w:r>
      <w:r w:rsidRPr="002F6E28">
        <w:t xml:space="preserve">suunal Eestist Lätti maksimaalselt jaotatud </w:t>
      </w:r>
      <w:r w:rsidR="007C0CDE">
        <w:t>66,1</w:t>
      </w:r>
      <w:r w:rsidRPr="002F6E28">
        <w:t xml:space="preserve">% tundidest ja pärast päevasisest kauplemist </w:t>
      </w:r>
      <w:r w:rsidR="007C0CDE">
        <w:t>54,8</w:t>
      </w:r>
      <w:r w:rsidRPr="002F6E28">
        <w:t>% tundidest. Seejuures normaalrežiimil (ehk ajal</w:t>
      </w:r>
      <w:r w:rsidR="0071162D">
        <w:t>,</w:t>
      </w:r>
      <w:r w:rsidRPr="002F6E28">
        <w:t xml:space="preserve"> kui ülekandevõimsus ei olnud remonttööde tõttu piiratud) esines ülekandevõimsuse puudujääk </w:t>
      </w:r>
      <w:r w:rsidR="007C0CDE">
        <w:t>5</w:t>
      </w:r>
      <w:r w:rsidRPr="002F6E28">
        <w:t>% tundidest.</w:t>
      </w:r>
    </w:p>
    <w:p w14:paraId="18C7CA31" w14:textId="77777777" w:rsidR="002F6E28" w:rsidRDefault="002F6E28" w:rsidP="0022344D"/>
    <w:p w14:paraId="33643959" w14:textId="21EE4A8C" w:rsidR="002F6E28" w:rsidRDefault="00750CC2" w:rsidP="0022344D">
      <w:r>
        <w:rPr>
          <w:noProof/>
        </w:rPr>
        <w:drawing>
          <wp:inline distT="0" distB="0" distL="0" distR="0" wp14:anchorId="0506413F" wp14:editId="1123B548">
            <wp:extent cx="2971800" cy="17811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71800" cy="1781175"/>
                    </a:xfrm>
                    <a:prstGeom prst="rect">
                      <a:avLst/>
                    </a:prstGeom>
                    <a:noFill/>
                    <a:ln>
                      <a:noFill/>
                    </a:ln>
                  </pic:spPr>
                </pic:pic>
              </a:graphicData>
            </a:graphic>
          </wp:inline>
        </w:drawing>
      </w:r>
    </w:p>
    <w:p w14:paraId="26F8ECD1" w14:textId="688A771A" w:rsidR="002F6E28" w:rsidRDefault="00750CC2" w:rsidP="0022344D">
      <w:r w:rsidRPr="003F5260">
        <w:rPr>
          <w:rStyle w:val="SubtleEmphasis"/>
        </w:rPr>
        <w:t xml:space="preserve">NPS Eesti ja NPS </w:t>
      </w:r>
      <w:r>
        <w:rPr>
          <w:rStyle w:val="SubtleEmphasis"/>
        </w:rPr>
        <w:t>Läti</w:t>
      </w:r>
      <w:r w:rsidRPr="003F5260">
        <w:rPr>
          <w:rStyle w:val="SubtleEmphasis"/>
        </w:rPr>
        <w:t xml:space="preserve"> vahelised võimsusvood 201</w:t>
      </w:r>
      <w:r>
        <w:rPr>
          <w:rStyle w:val="SubtleEmphasis"/>
        </w:rPr>
        <w:t>5</w:t>
      </w:r>
      <w:r w:rsidRPr="003F5260">
        <w:rPr>
          <w:rStyle w:val="SubtleEmphasis"/>
        </w:rPr>
        <w:t>. aastal</w:t>
      </w:r>
    </w:p>
    <w:p w14:paraId="36A1CD77" w14:textId="77777777" w:rsidR="002F6E28" w:rsidRDefault="002F6E28" w:rsidP="0022344D"/>
    <w:p w14:paraId="098BB579" w14:textId="238BA10B" w:rsidR="00750CC2" w:rsidRDefault="00750CC2" w:rsidP="0022344D">
      <w:r w:rsidRPr="00750CC2">
        <w:t xml:space="preserve">Ülekandevõimsuste puudujäägist tulenev ülekoormuse tulu </w:t>
      </w:r>
      <w:r w:rsidR="0071162D" w:rsidRPr="00750CC2">
        <w:t>Eesti ja Läti süsteemi</w:t>
      </w:r>
      <w:r w:rsidR="0071162D">
        <w:softHyphen/>
      </w:r>
      <w:r w:rsidR="0071162D" w:rsidRPr="00750CC2">
        <w:t xml:space="preserve">halduritele </w:t>
      </w:r>
      <w:r w:rsidRPr="00750CC2">
        <w:t>moodustas 201</w:t>
      </w:r>
      <w:r w:rsidR="007C0CDE">
        <w:t>5</w:t>
      </w:r>
      <w:r w:rsidRPr="00750CC2">
        <w:t xml:space="preserve">. aastal </w:t>
      </w:r>
      <w:r w:rsidR="007C0CDE">
        <w:t>63,9 mln eurot</w:t>
      </w:r>
      <w:r w:rsidRPr="00750CC2">
        <w:t xml:space="preserve"> (201</w:t>
      </w:r>
      <w:r w:rsidR="007C0CDE">
        <w:t>4</w:t>
      </w:r>
      <w:r w:rsidRPr="00750CC2">
        <w:t xml:space="preserve">. aastal </w:t>
      </w:r>
      <w:r w:rsidR="007C0CDE">
        <w:t>77,8</w:t>
      </w:r>
      <w:r w:rsidRPr="00750CC2">
        <w:t xml:space="preserve"> </w:t>
      </w:r>
      <w:r w:rsidR="007C0CDE">
        <w:t>mln eurot</w:t>
      </w:r>
      <w:r w:rsidRPr="00750CC2">
        <w:t xml:space="preserve">), mis jaotatakse võrdselt Eleringi ja Augstprieguma tīkls vahel. Vastukaubanduse kulu oli Eleringile Läti suunal 2014. aastal </w:t>
      </w:r>
      <w:r w:rsidR="007C0CDE">
        <w:t>1 563 950,58</w:t>
      </w:r>
      <w:r w:rsidRPr="00750CC2">
        <w:t xml:space="preserve"> eurot (201</w:t>
      </w:r>
      <w:r w:rsidR="007C0CDE">
        <w:t>4</w:t>
      </w:r>
      <w:r w:rsidRPr="00750CC2">
        <w:t xml:space="preserve">. aastal </w:t>
      </w:r>
      <w:r w:rsidR="007C0CDE" w:rsidRPr="00750CC2">
        <w:t>459 757,41 eurot</w:t>
      </w:r>
      <w:r w:rsidRPr="00750CC2">
        <w:t>).</w:t>
      </w:r>
    </w:p>
    <w:p w14:paraId="4FBD9229" w14:textId="77777777" w:rsidR="00750CC2" w:rsidRDefault="00750CC2" w:rsidP="0022344D"/>
    <w:p w14:paraId="571B69D0" w14:textId="53B037B5" w:rsidR="00742226" w:rsidRDefault="002F6E28" w:rsidP="0022344D">
      <w:r>
        <w:rPr>
          <w:noProof/>
        </w:rPr>
        <w:lastRenderedPageBreak/>
        <w:drawing>
          <wp:inline distT="0" distB="0" distL="0" distR="0" wp14:anchorId="441616C3" wp14:editId="784D973F">
            <wp:extent cx="2971800" cy="17811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71800" cy="1781175"/>
                    </a:xfrm>
                    <a:prstGeom prst="rect">
                      <a:avLst/>
                    </a:prstGeom>
                    <a:noFill/>
                    <a:ln>
                      <a:noFill/>
                    </a:ln>
                  </pic:spPr>
                </pic:pic>
              </a:graphicData>
            </a:graphic>
          </wp:inline>
        </w:drawing>
      </w:r>
    </w:p>
    <w:p w14:paraId="394DCBC9" w14:textId="4BE53662" w:rsidR="002F6E28" w:rsidRDefault="002F6E28" w:rsidP="002F6E28">
      <w:pPr>
        <w:jc w:val="left"/>
      </w:pPr>
      <w:r w:rsidRPr="002F6E28">
        <w:rPr>
          <w:rStyle w:val="SubtleEmphasis"/>
        </w:rPr>
        <w:t xml:space="preserve">Ülekandevõimsuse tulu </w:t>
      </w:r>
      <w:r>
        <w:rPr>
          <w:rStyle w:val="SubtleEmphasis"/>
        </w:rPr>
        <w:t>põhivõrguettevõtetele Eesti-Läti piiril</w:t>
      </w:r>
      <w:r w:rsidRPr="002F6E28">
        <w:rPr>
          <w:rStyle w:val="SubtleEmphasis"/>
        </w:rPr>
        <w:t xml:space="preserve"> </w:t>
      </w:r>
      <w:r>
        <w:rPr>
          <w:rStyle w:val="SubtleEmphasis"/>
        </w:rPr>
        <w:t>2015. aastal</w:t>
      </w:r>
    </w:p>
    <w:p w14:paraId="40C8A38B" w14:textId="77777777" w:rsidR="002F6E28" w:rsidRDefault="002F6E28" w:rsidP="0022344D"/>
    <w:p w14:paraId="230D4687" w14:textId="1F01F4F9" w:rsidR="00750CC2" w:rsidRDefault="00871E5A" w:rsidP="00750CC2">
      <w:pPr>
        <w:pStyle w:val="Heading2"/>
      </w:pPr>
      <w:r>
        <w:t>Kogused ja käive</w:t>
      </w:r>
    </w:p>
    <w:p w14:paraId="6C36E2C9" w14:textId="3EADF2A5" w:rsidR="002F6E28" w:rsidRDefault="007A6A8C" w:rsidP="007A6A8C">
      <w:r>
        <w:t xml:space="preserve">2015. aastal müüsid Eesti turuosalised NPS Eesti hinnapiirkonnas kokku päev-ette ja päevasisesel turul </w:t>
      </w:r>
      <w:r w:rsidR="003F0909">
        <w:t>7</w:t>
      </w:r>
      <w:r>
        <w:t>,8 TWh elektrienergiat (201</w:t>
      </w:r>
      <w:r w:rsidR="003F0909">
        <w:t>4</w:t>
      </w:r>
      <w:r>
        <w:t xml:space="preserve">. aastal </w:t>
      </w:r>
      <w:r w:rsidR="003F0909">
        <w:t>9,8</w:t>
      </w:r>
      <w:r>
        <w:t xml:space="preserve"> TWh). See moodustab </w:t>
      </w:r>
      <w:r w:rsidR="00327732">
        <w:t>86,6</w:t>
      </w:r>
      <w:r>
        <w:t>% Eesti elektritootmisest, mis 201</w:t>
      </w:r>
      <w:r w:rsidR="003F0909">
        <w:t>5</w:t>
      </w:r>
      <w:r>
        <w:t xml:space="preserve">. aastal oli </w:t>
      </w:r>
      <w:r w:rsidR="00327732">
        <w:t>9,1</w:t>
      </w:r>
      <w:r>
        <w:t xml:space="preserve"> TWh. Läti ja Leedu turuosalise</w:t>
      </w:r>
      <w:r w:rsidR="003F0909">
        <w:t>d</w:t>
      </w:r>
      <w:r>
        <w:t xml:space="preserve"> müü</w:t>
      </w:r>
      <w:r w:rsidR="003F0909">
        <w:t>s</w:t>
      </w:r>
      <w:r>
        <w:t>i</w:t>
      </w:r>
      <w:r w:rsidR="003F0909">
        <w:t>d</w:t>
      </w:r>
      <w:r>
        <w:t xml:space="preserve"> 201</w:t>
      </w:r>
      <w:r w:rsidR="003F0909">
        <w:t>5</w:t>
      </w:r>
      <w:r>
        <w:t xml:space="preserve">. aastal päev-ette ja päevasisesel turul kokku vastavalt </w:t>
      </w:r>
      <w:r w:rsidR="00044B7E">
        <w:t>5,3</w:t>
      </w:r>
      <w:r>
        <w:t xml:space="preserve"> TWh ja </w:t>
      </w:r>
      <w:r w:rsidR="00044B7E">
        <w:t>6,4</w:t>
      </w:r>
      <w:r>
        <w:t xml:space="preserve"> TWh elektrienergiat, mis moodustab antud riikide toodangust vastavalt </w:t>
      </w:r>
      <w:r w:rsidR="00044B7E">
        <w:t>98,9</w:t>
      </w:r>
      <w:r>
        <w:t xml:space="preserve">% ja </w:t>
      </w:r>
      <w:r w:rsidR="00044B7E">
        <w:t>197</w:t>
      </w:r>
      <w:r>
        <w:t>%</w:t>
      </w:r>
      <w:r w:rsidR="003F0909">
        <w:t xml:space="preserve"> (2014. a</w:t>
      </w:r>
      <w:r w:rsidR="0071162D">
        <w:t>.</w:t>
      </w:r>
      <w:r w:rsidR="003F0909">
        <w:t xml:space="preserve"> Lätis 2,8 TWh ehk 57,3% riigi kogutoodangust ja Leedus 7,0 TWh ehk 235% riigis kokku toodetust).</w:t>
      </w:r>
    </w:p>
    <w:p w14:paraId="6BBE7E38" w14:textId="77777777" w:rsidR="007A6A8C" w:rsidRDefault="007A6A8C" w:rsidP="007A6A8C"/>
    <w:p w14:paraId="447B3AD7" w14:textId="4F08E686" w:rsidR="007A6A8C" w:rsidRDefault="007A6A8C" w:rsidP="0022344D">
      <w:r w:rsidRPr="007A6A8C">
        <w:t>Eesti turuosalised ostsid NPS Eesti hinnapiirkonnas 201</w:t>
      </w:r>
      <w:r w:rsidR="003F0909">
        <w:t>5</w:t>
      </w:r>
      <w:r w:rsidRPr="007A6A8C">
        <w:t xml:space="preserve">. aastal kokku 7,1 TWh elektrienergiat, mis moodustas Eesti siseriiklikust tarbimisest </w:t>
      </w:r>
      <w:r w:rsidR="00327732">
        <w:t>87,4</w:t>
      </w:r>
      <w:r w:rsidRPr="007A6A8C">
        <w:t>% (201</w:t>
      </w:r>
      <w:r w:rsidR="003F0909">
        <w:t>4</w:t>
      </w:r>
      <w:r w:rsidRPr="007A6A8C">
        <w:t>. aastal vastavalt 7,</w:t>
      </w:r>
      <w:r w:rsidR="003F0909">
        <w:t>1</w:t>
      </w:r>
      <w:r w:rsidRPr="007A6A8C">
        <w:t xml:space="preserve"> TWh ja </w:t>
      </w:r>
      <w:r w:rsidR="003F0909">
        <w:t>87,2</w:t>
      </w:r>
      <w:r w:rsidRPr="007A6A8C">
        <w:t>%). Kogu Eesti siseriiklik tarbimine oli 201</w:t>
      </w:r>
      <w:r w:rsidR="003F0909">
        <w:t>5</w:t>
      </w:r>
      <w:r w:rsidRPr="007A6A8C">
        <w:t xml:space="preserve">. aastal </w:t>
      </w:r>
      <w:r w:rsidR="00327732">
        <w:t>8,1</w:t>
      </w:r>
      <w:r>
        <w:t xml:space="preserve"> TWh (201</w:t>
      </w:r>
      <w:r w:rsidR="003F0909">
        <w:t>4</w:t>
      </w:r>
      <w:r>
        <w:t>. aastal 8,1 TWh).</w:t>
      </w:r>
    </w:p>
    <w:p w14:paraId="2D026B1C" w14:textId="77777777" w:rsidR="007A6A8C" w:rsidRDefault="007A6A8C" w:rsidP="0022344D"/>
    <w:p w14:paraId="2644DF1A" w14:textId="6E2A6D62" w:rsidR="00C879F9" w:rsidRDefault="00C879F9" w:rsidP="0022344D">
      <w:r>
        <w:rPr>
          <w:noProof/>
        </w:rPr>
        <w:drawing>
          <wp:inline distT="0" distB="0" distL="0" distR="0" wp14:anchorId="10F47938" wp14:editId="1348E29D">
            <wp:extent cx="2926080" cy="182880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6080" cy="1828800"/>
                    </a:xfrm>
                    <a:prstGeom prst="rect">
                      <a:avLst/>
                    </a:prstGeom>
                    <a:noFill/>
                    <a:ln>
                      <a:noFill/>
                    </a:ln>
                  </pic:spPr>
                </pic:pic>
              </a:graphicData>
            </a:graphic>
          </wp:inline>
        </w:drawing>
      </w:r>
    </w:p>
    <w:p w14:paraId="21FDFD4C" w14:textId="70AC512F" w:rsidR="00C879F9" w:rsidRDefault="00C879F9" w:rsidP="00C879F9">
      <w:r w:rsidRPr="003F5260">
        <w:rPr>
          <w:rStyle w:val="SubtleEmphasis"/>
        </w:rPr>
        <w:t xml:space="preserve">NPS Eesti </w:t>
      </w:r>
      <w:r>
        <w:rPr>
          <w:rStyle w:val="SubtleEmphasis"/>
        </w:rPr>
        <w:t xml:space="preserve">hinnapiirkonnas </w:t>
      </w:r>
      <w:r w:rsidR="00A50DDB">
        <w:rPr>
          <w:rStyle w:val="SubtleEmphasis"/>
        </w:rPr>
        <w:t xml:space="preserve">päev-ette turul </w:t>
      </w:r>
      <w:r>
        <w:rPr>
          <w:rStyle w:val="SubtleEmphasis"/>
        </w:rPr>
        <w:t>ostetud ja müüdud kogused</w:t>
      </w:r>
      <w:r w:rsidRPr="003F5260">
        <w:rPr>
          <w:rStyle w:val="SubtleEmphasis"/>
        </w:rPr>
        <w:t xml:space="preserve"> 201</w:t>
      </w:r>
      <w:r>
        <w:rPr>
          <w:rStyle w:val="SubtleEmphasis"/>
        </w:rPr>
        <w:t>5</w:t>
      </w:r>
      <w:r w:rsidRPr="003F5260">
        <w:rPr>
          <w:rStyle w:val="SubtleEmphasis"/>
        </w:rPr>
        <w:t>. aastal</w:t>
      </w:r>
    </w:p>
    <w:p w14:paraId="7A8A49F9" w14:textId="77777777" w:rsidR="00C879F9" w:rsidRDefault="00C879F9" w:rsidP="0022344D"/>
    <w:p w14:paraId="10A72A50" w14:textId="3C5BCDC5" w:rsidR="002F6E28" w:rsidRDefault="007A6A8C" w:rsidP="0022344D">
      <w:r w:rsidRPr="00044B7E">
        <w:t>Läti turuosalised ostsid 201</w:t>
      </w:r>
      <w:r w:rsidR="00044B7E" w:rsidRPr="00044B7E">
        <w:t>5</w:t>
      </w:r>
      <w:r w:rsidRPr="00044B7E">
        <w:t>. aastal elektrienerigat NPS Läti hinnapiirkonnast kokku 5,1 TWh, mis on 71% Läti elektritarbimisest</w:t>
      </w:r>
      <w:r w:rsidR="00044B7E" w:rsidRPr="00044B7E">
        <w:t xml:space="preserve"> (2014. a</w:t>
      </w:r>
      <w:r w:rsidR="0071162D">
        <w:t>.</w:t>
      </w:r>
      <w:r w:rsidR="00044B7E" w:rsidRPr="00044B7E">
        <w:t xml:space="preserve"> 5,1 TWh ehk 71%)</w:t>
      </w:r>
      <w:r w:rsidRPr="00044B7E">
        <w:t>. Leedu turuosalised ostsid aga 201</w:t>
      </w:r>
      <w:r w:rsidR="00044B7E" w:rsidRPr="00044B7E">
        <w:t>5</w:t>
      </w:r>
      <w:r w:rsidRPr="00044B7E">
        <w:t>. aastal kokku 10,</w:t>
      </w:r>
      <w:r w:rsidR="00044B7E" w:rsidRPr="00044B7E">
        <w:t>4</w:t>
      </w:r>
      <w:r w:rsidRPr="00044B7E">
        <w:t xml:space="preserve"> TWh elektrienergiat, mis on </w:t>
      </w:r>
      <w:r w:rsidR="00044B7E" w:rsidRPr="00044B7E">
        <w:t>99,7</w:t>
      </w:r>
      <w:r w:rsidRPr="00044B7E">
        <w:t>% Leedu tarbimisest</w:t>
      </w:r>
      <w:r w:rsidR="00044B7E" w:rsidRPr="00044B7E">
        <w:t xml:space="preserve"> (2014. a</w:t>
      </w:r>
      <w:r w:rsidR="0071162D">
        <w:t>.</w:t>
      </w:r>
      <w:r w:rsidR="00044B7E" w:rsidRPr="00044B7E">
        <w:t xml:space="preserve"> 10,9 TWh ehk 103%)</w:t>
      </w:r>
      <w:r w:rsidRPr="00044B7E">
        <w:t>. Leedus tarbimist ületavat ostukogust selgitatakse pump-hüdroelektrijaama tarbeks kuluva elektrienergia kogusega.</w:t>
      </w:r>
    </w:p>
    <w:p w14:paraId="50D3D1AF" w14:textId="4A69066D" w:rsidR="007A6A8C" w:rsidRDefault="007A6A8C" w:rsidP="0022344D"/>
    <w:p w14:paraId="3A28647B" w14:textId="5D676939" w:rsidR="007A6A8C" w:rsidRDefault="007A6A8C" w:rsidP="0022344D">
      <w:r w:rsidRPr="007A6A8C">
        <w:t>201</w:t>
      </w:r>
      <w:r w:rsidR="003F0909">
        <w:t>5</w:t>
      </w:r>
      <w:r w:rsidRPr="007A6A8C">
        <w:t>. aastal oli Elspot päev-ette turul eksport Eestist</w:t>
      </w:r>
      <w:r w:rsidR="003F0909">
        <w:t xml:space="preserve"> </w:t>
      </w:r>
      <w:r w:rsidRPr="007A6A8C">
        <w:t xml:space="preserve">Lätti </w:t>
      </w:r>
      <w:r w:rsidR="00722F1C">
        <w:t>5,9</w:t>
      </w:r>
      <w:r w:rsidRPr="007A6A8C">
        <w:t xml:space="preserve"> TWh ja import vaid </w:t>
      </w:r>
      <w:r w:rsidR="00722F1C">
        <w:t>2,9</w:t>
      </w:r>
      <w:r w:rsidRPr="007A6A8C">
        <w:t xml:space="preserve"> GWh</w:t>
      </w:r>
      <w:r w:rsidR="003F0909">
        <w:t xml:space="preserve"> (2014. a</w:t>
      </w:r>
      <w:r w:rsidR="0071162D">
        <w:t>.</w:t>
      </w:r>
      <w:r w:rsidR="003F0909">
        <w:t xml:space="preserve"> vastavalt 6,2 TWh ja 1 GWh)</w:t>
      </w:r>
      <w:r w:rsidRPr="007A6A8C">
        <w:t xml:space="preserve">. Eestist Soome eksporditi vaid </w:t>
      </w:r>
      <w:r w:rsidR="00722F1C">
        <w:t>24,5</w:t>
      </w:r>
      <w:r w:rsidRPr="007A6A8C">
        <w:t xml:space="preserve"> </w:t>
      </w:r>
      <w:r w:rsidRPr="007A6A8C">
        <w:lastRenderedPageBreak/>
        <w:t>GWh j</w:t>
      </w:r>
      <w:r w:rsidR="00722F1C">
        <w:t>a Soomest Eestisse imporditi 5,1</w:t>
      </w:r>
      <w:r w:rsidRPr="007A6A8C">
        <w:t xml:space="preserve"> TWh</w:t>
      </w:r>
      <w:r w:rsidR="003F0909">
        <w:t xml:space="preserve"> (2014. a</w:t>
      </w:r>
      <w:r w:rsidR="0071162D">
        <w:t>.</w:t>
      </w:r>
      <w:r w:rsidR="003F0909">
        <w:t xml:space="preserve"> vastavalt 39 GWh ja 3,5 TWh)</w:t>
      </w:r>
      <w:r w:rsidRPr="007A6A8C">
        <w:t>.</w:t>
      </w:r>
    </w:p>
    <w:p w14:paraId="4474606C" w14:textId="77777777" w:rsidR="007A6A8C" w:rsidRDefault="007A6A8C" w:rsidP="0022344D"/>
    <w:p w14:paraId="644CDF5D" w14:textId="15903DD1" w:rsidR="007A6A8C" w:rsidRDefault="007A6A8C" w:rsidP="0022344D">
      <w:r w:rsidRPr="007A6A8C">
        <w:t>Eesti päevasiseselt Elbas turult ostetud kogused olid 201</w:t>
      </w:r>
      <w:r w:rsidR="00D93ADE">
        <w:t>5</w:t>
      </w:r>
      <w:r w:rsidRPr="007A6A8C">
        <w:t xml:space="preserve">. aastal kokku </w:t>
      </w:r>
      <w:r w:rsidR="00D93ADE">
        <w:t>108,7</w:t>
      </w:r>
      <w:r w:rsidRPr="007A6A8C">
        <w:t xml:space="preserve"> GWh</w:t>
      </w:r>
      <w:r w:rsidR="0071162D">
        <w:t>,</w:t>
      </w:r>
      <w:r w:rsidRPr="007A6A8C">
        <w:t xml:space="preserve"> moodustades 1,</w:t>
      </w:r>
      <w:r w:rsidR="00D93ADE">
        <w:t>5</w:t>
      </w:r>
      <w:r w:rsidRPr="007A6A8C">
        <w:t>% kogu Eesti hinnapiirkonnas ostetud kogustest (201</w:t>
      </w:r>
      <w:r w:rsidR="00D93ADE">
        <w:t>4</w:t>
      </w:r>
      <w:r w:rsidRPr="007A6A8C">
        <w:t>. aastal 1</w:t>
      </w:r>
      <w:r w:rsidR="00D93ADE">
        <w:t>10</w:t>
      </w:r>
      <w:r w:rsidRPr="007A6A8C">
        <w:t>,</w:t>
      </w:r>
      <w:r w:rsidR="00D93ADE">
        <w:t>8</w:t>
      </w:r>
      <w:r w:rsidRPr="007A6A8C">
        <w:t xml:space="preserve"> GWh ja 1,</w:t>
      </w:r>
      <w:r w:rsidR="00D93ADE">
        <w:t>6</w:t>
      </w:r>
      <w:r w:rsidRPr="007A6A8C">
        <w:t xml:space="preserve">%). </w:t>
      </w:r>
      <w:r w:rsidR="00D93ADE">
        <w:t>Elbas turul müüdi</w:t>
      </w:r>
      <w:r w:rsidRPr="007A6A8C">
        <w:t xml:space="preserve"> </w:t>
      </w:r>
      <w:r w:rsidR="00D93ADE">
        <w:t xml:space="preserve">2015. </w:t>
      </w:r>
      <w:r w:rsidRPr="007A6A8C">
        <w:t xml:space="preserve">aastal kokku </w:t>
      </w:r>
      <w:r w:rsidR="00D93ADE">
        <w:t>44,3 GWh ehk 0,6</w:t>
      </w:r>
      <w:r w:rsidRPr="007A6A8C">
        <w:t>% kogu Elspot ja Elbas NPS Eesti hinnapiirkonnas müüdud kogustest (201</w:t>
      </w:r>
      <w:r w:rsidR="00D93ADE">
        <w:t>4</w:t>
      </w:r>
      <w:r w:rsidRPr="007A6A8C">
        <w:t>. aasta</w:t>
      </w:r>
      <w:r>
        <w:t xml:space="preserve">l </w:t>
      </w:r>
      <w:r w:rsidR="00D93ADE">
        <w:t>3</w:t>
      </w:r>
      <w:r>
        <w:t>7,</w:t>
      </w:r>
      <w:r w:rsidR="00D93ADE">
        <w:t>8</w:t>
      </w:r>
      <w:r>
        <w:t xml:space="preserve"> GWh ja 0,</w:t>
      </w:r>
      <w:r w:rsidR="00D93ADE">
        <w:t>4</w:t>
      </w:r>
      <w:r>
        <w:t>%).</w:t>
      </w:r>
    </w:p>
    <w:p w14:paraId="501E4303" w14:textId="77777777" w:rsidR="007A6A8C" w:rsidRDefault="007A6A8C" w:rsidP="0022344D"/>
    <w:p w14:paraId="36A45F06" w14:textId="1F93FD90" w:rsidR="00A50DDB" w:rsidRPr="00A50DDB" w:rsidRDefault="00A50DDB" w:rsidP="0022344D">
      <w:r w:rsidRPr="00A50DDB">
        <w:rPr>
          <w:noProof/>
        </w:rPr>
        <w:drawing>
          <wp:inline distT="0" distB="0" distL="0" distR="0" wp14:anchorId="197EC2E5" wp14:editId="1F6923ED">
            <wp:extent cx="2971800" cy="17811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71800" cy="1781175"/>
                    </a:xfrm>
                    <a:prstGeom prst="rect">
                      <a:avLst/>
                    </a:prstGeom>
                    <a:noFill/>
                    <a:ln>
                      <a:noFill/>
                    </a:ln>
                  </pic:spPr>
                </pic:pic>
              </a:graphicData>
            </a:graphic>
          </wp:inline>
        </w:drawing>
      </w:r>
    </w:p>
    <w:p w14:paraId="62E279F0" w14:textId="0285373A" w:rsidR="00A50DDB" w:rsidRDefault="00A50DDB" w:rsidP="00A50DDB">
      <w:r w:rsidRPr="003F5260">
        <w:rPr>
          <w:rStyle w:val="SubtleEmphasis"/>
        </w:rPr>
        <w:t xml:space="preserve">NPS Eesti </w:t>
      </w:r>
      <w:r>
        <w:rPr>
          <w:rStyle w:val="SubtleEmphasis"/>
        </w:rPr>
        <w:t>hinnapiirkonnas päevasisesel turul ostetud ja müüdud kogused</w:t>
      </w:r>
      <w:r w:rsidRPr="003F5260">
        <w:rPr>
          <w:rStyle w:val="SubtleEmphasis"/>
        </w:rPr>
        <w:t xml:space="preserve"> 201</w:t>
      </w:r>
      <w:r>
        <w:rPr>
          <w:rStyle w:val="SubtleEmphasis"/>
        </w:rPr>
        <w:t>5</w:t>
      </w:r>
      <w:r w:rsidRPr="003F5260">
        <w:rPr>
          <w:rStyle w:val="SubtleEmphasis"/>
        </w:rPr>
        <w:t>. aastal</w:t>
      </w:r>
    </w:p>
    <w:p w14:paraId="0B733536" w14:textId="77777777" w:rsidR="00A50DDB" w:rsidRDefault="00A50DDB" w:rsidP="0022344D">
      <w:pPr>
        <w:rPr>
          <w:highlight w:val="yellow"/>
        </w:rPr>
      </w:pPr>
    </w:p>
    <w:p w14:paraId="3FA3DF42" w14:textId="2CCAFA10" w:rsidR="007A6A8C" w:rsidRDefault="007A6A8C" w:rsidP="0022344D">
      <w:r w:rsidRPr="00327732">
        <w:t>201</w:t>
      </w:r>
      <w:r w:rsidR="00D93ADE" w:rsidRPr="00327732">
        <w:t>5</w:t>
      </w:r>
      <w:r w:rsidRPr="007A6A8C">
        <w:t>. aastal oli Elbas turul eksport Eestist</w:t>
      </w:r>
      <w:r w:rsidR="00327732">
        <w:t xml:space="preserve"> </w:t>
      </w:r>
      <w:r w:rsidRPr="007A6A8C">
        <w:t xml:space="preserve">Lätti </w:t>
      </w:r>
      <w:r w:rsidR="00327732">
        <w:t>32</w:t>
      </w:r>
      <w:r w:rsidRPr="007A6A8C">
        <w:t xml:space="preserve"> GWh ja import </w:t>
      </w:r>
      <w:r w:rsidR="00327732">
        <w:t>57</w:t>
      </w:r>
      <w:r w:rsidRPr="007A6A8C">
        <w:t xml:space="preserve"> GWh. Eestist Soome eksporditi Elbas platvormil </w:t>
      </w:r>
      <w:r w:rsidR="00327732">
        <w:t>77</w:t>
      </w:r>
      <w:r w:rsidRPr="007A6A8C">
        <w:t xml:space="preserve"> GWh ja Soomest Eestisse imporditi </w:t>
      </w:r>
      <w:r w:rsidR="00327732">
        <w:t>116</w:t>
      </w:r>
      <w:r w:rsidRPr="007A6A8C">
        <w:t xml:space="preserve"> GWh elektrienergiat.</w:t>
      </w:r>
    </w:p>
    <w:p w14:paraId="33FDA488" w14:textId="77777777" w:rsidR="007A6A8C" w:rsidRDefault="007A6A8C" w:rsidP="0022344D"/>
    <w:p w14:paraId="249DB21A" w14:textId="17030A26" w:rsidR="007A6A8C" w:rsidRDefault="007A6A8C" w:rsidP="0022344D">
      <w:r w:rsidRPr="006A1B2D">
        <w:t>Ostetud</w:t>
      </w:r>
      <w:r w:rsidRPr="007A6A8C">
        <w:t xml:space="preserve"> koguste käive oli 201</w:t>
      </w:r>
      <w:r w:rsidR="00A50DDB">
        <w:t>5</w:t>
      </w:r>
      <w:r w:rsidRPr="007A6A8C">
        <w:t>. aasta NPS Eesti hinnapiirkonnas kokku 2</w:t>
      </w:r>
      <w:r w:rsidR="00A50DDB">
        <w:t>31</w:t>
      </w:r>
      <w:r w:rsidRPr="007A6A8C">
        <w:t xml:space="preserve"> miljonit eurot (201</w:t>
      </w:r>
      <w:r w:rsidR="00A50DDB">
        <w:t>4</w:t>
      </w:r>
      <w:r w:rsidRPr="007A6A8C">
        <w:t>. aastal 2</w:t>
      </w:r>
      <w:r w:rsidR="00A50DDB">
        <w:t>74</w:t>
      </w:r>
      <w:r w:rsidRPr="007A6A8C">
        <w:t xml:space="preserve"> mln eurot). </w:t>
      </w:r>
      <w:r w:rsidR="00A50DDB">
        <w:t>M</w:t>
      </w:r>
      <w:r w:rsidRPr="007A6A8C">
        <w:t>üüdud kogus</w:t>
      </w:r>
      <w:r w:rsidR="00A50DDB">
        <w:t>te käive oli 267</w:t>
      </w:r>
      <w:r w:rsidRPr="007A6A8C">
        <w:t xml:space="preserve"> miljonit eurot (201</w:t>
      </w:r>
      <w:r w:rsidR="00A50DDB">
        <w:t>4</w:t>
      </w:r>
      <w:r w:rsidRPr="007A6A8C">
        <w:t xml:space="preserve">. aastal </w:t>
      </w:r>
      <w:r w:rsidR="00A50DDB">
        <w:t>376</w:t>
      </w:r>
      <w:r w:rsidRPr="007A6A8C">
        <w:t xml:space="preserve"> </w:t>
      </w:r>
      <w:r w:rsidR="00A50DDB">
        <w:t xml:space="preserve">mln </w:t>
      </w:r>
      <w:r w:rsidR="00327732">
        <w:t>eurot).</w:t>
      </w:r>
    </w:p>
    <w:p w14:paraId="6C12E0AC" w14:textId="77777777" w:rsidR="00CA69AD" w:rsidRDefault="00CA69AD" w:rsidP="0022344D"/>
    <w:p w14:paraId="3D1CDACF" w14:textId="6C624F64" w:rsidR="00327732" w:rsidRDefault="00327732" w:rsidP="0022344D">
      <w:r>
        <w:rPr>
          <w:noProof/>
        </w:rPr>
        <w:drawing>
          <wp:inline distT="0" distB="0" distL="0" distR="0" wp14:anchorId="04C05B8E" wp14:editId="62BF9FCC">
            <wp:extent cx="2971800" cy="17811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71800" cy="1781175"/>
                    </a:xfrm>
                    <a:prstGeom prst="rect">
                      <a:avLst/>
                    </a:prstGeom>
                    <a:noFill/>
                    <a:ln>
                      <a:noFill/>
                    </a:ln>
                  </pic:spPr>
                </pic:pic>
              </a:graphicData>
            </a:graphic>
          </wp:inline>
        </w:drawing>
      </w:r>
    </w:p>
    <w:p w14:paraId="2CE4C2F3" w14:textId="0EB2B13E" w:rsidR="00327732" w:rsidRDefault="00327732" w:rsidP="00327732">
      <w:r w:rsidRPr="003F5260">
        <w:rPr>
          <w:rStyle w:val="SubtleEmphasis"/>
        </w:rPr>
        <w:t xml:space="preserve">NPS Eesti </w:t>
      </w:r>
      <w:r>
        <w:rPr>
          <w:rStyle w:val="SubtleEmphasis"/>
        </w:rPr>
        <w:t>ja NPS Läti hinnapiirkondades päev-ette turul ostetud ja müüdud koguste</w:t>
      </w:r>
      <w:r w:rsidRPr="003F5260">
        <w:rPr>
          <w:rStyle w:val="SubtleEmphasis"/>
        </w:rPr>
        <w:t xml:space="preserve"> </w:t>
      </w:r>
      <w:r>
        <w:rPr>
          <w:rStyle w:val="SubtleEmphasis"/>
        </w:rPr>
        <w:t xml:space="preserve">käive </w:t>
      </w:r>
      <w:r w:rsidRPr="003F5260">
        <w:rPr>
          <w:rStyle w:val="SubtleEmphasis"/>
        </w:rPr>
        <w:t>201</w:t>
      </w:r>
      <w:r>
        <w:rPr>
          <w:rStyle w:val="SubtleEmphasis"/>
        </w:rPr>
        <w:t>5</w:t>
      </w:r>
      <w:r w:rsidRPr="003F5260">
        <w:rPr>
          <w:rStyle w:val="SubtleEmphasis"/>
        </w:rPr>
        <w:t>. aastal</w:t>
      </w:r>
    </w:p>
    <w:p w14:paraId="7D2CE8B4" w14:textId="77777777" w:rsidR="00742226" w:rsidRDefault="00742226" w:rsidP="0022344D"/>
    <w:p w14:paraId="22F81C90" w14:textId="3CC30FFB" w:rsidR="00871E5A" w:rsidRDefault="00871E5A" w:rsidP="00871E5A">
      <w:pPr>
        <w:pStyle w:val="Heading2"/>
      </w:pPr>
      <w:r>
        <w:t>Tulevikutehingud</w:t>
      </w:r>
    </w:p>
    <w:p w14:paraId="6D64001B" w14:textId="2B159ED5" w:rsidR="0014088F" w:rsidRDefault="00FB3CEA" w:rsidP="00871E5A">
      <w:r w:rsidRPr="00FB3CEA">
        <w:t xml:space="preserve">Nasdaq OMX Commodities </w:t>
      </w:r>
      <w:r w:rsidR="0014088F" w:rsidRPr="0014088F">
        <w:t>2016. aasta toote viimase kaup</w:t>
      </w:r>
      <w:r w:rsidR="006B15E2">
        <w:softHyphen/>
      </w:r>
      <w:r w:rsidR="0014088F" w:rsidRPr="0014088F">
        <w:t xml:space="preserve">lemispäeva (28.12.2015) hindade põhjal võib oodata </w:t>
      </w:r>
      <w:r w:rsidR="0014088F">
        <w:t>süs</w:t>
      </w:r>
      <w:r w:rsidR="006B15E2">
        <w:softHyphen/>
      </w:r>
      <w:r w:rsidR="0014088F">
        <w:t xml:space="preserve">teemihinnaks 2016. aastal 18,75 €/MWh. </w:t>
      </w:r>
      <w:r w:rsidRPr="00FB3CEA">
        <w:t>EPAD lepingute hindade põhjal võib oodata NPS Eesti hinnapiirkonna keskmiseks 201</w:t>
      </w:r>
      <w:r w:rsidR="0014088F">
        <w:t>6</w:t>
      </w:r>
      <w:r w:rsidRPr="00FB3CEA">
        <w:t xml:space="preserve">. aasta hinnaks </w:t>
      </w:r>
      <w:r w:rsidR="0014088F">
        <w:t>32,32</w:t>
      </w:r>
      <w:r w:rsidRPr="00FB3CEA">
        <w:t xml:space="preserve"> </w:t>
      </w:r>
      <w:r w:rsidR="0014088F">
        <w:t>€</w:t>
      </w:r>
      <w:r w:rsidRPr="00FB3CEA">
        <w:t>/MWh</w:t>
      </w:r>
      <w:r w:rsidR="0014088F">
        <w:t xml:space="preserve"> ning </w:t>
      </w:r>
      <w:r w:rsidRPr="00FB3CEA">
        <w:t xml:space="preserve">Läti hinnapiirkonna </w:t>
      </w:r>
      <w:r w:rsidR="0014088F">
        <w:t>hinnaks 37,1 €/MWh.</w:t>
      </w:r>
    </w:p>
    <w:p w14:paraId="2FFABBDE" w14:textId="77777777" w:rsidR="0014088F" w:rsidRDefault="0014088F" w:rsidP="00871E5A"/>
    <w:p w14:paraId="236C76A3" w14:textId="58FD5727" w:rsidR="00871E5A" w:rsidRDefault="00FB3CEA" w:rsidP="00871E5A">
      <w:r w:rsidRPr="00FB3CEA">
        <w:t>Saksamaa tulevikutehingute põhjal</w:t>
      </w:r>
      <w:r w:rsidR="0014088F">
        <w:t xml:space="preserve"> (kauplemispäeval 28.12.2015)</w:t>
      </w:r>
      <w:r w:rsidRPr="00FB3CEA">
        <w:t xml:space="preserve"> kujuneb elektrienergia keskmiseks baas</w:t>
      </w:r>
      <w:r w:rsidR="0014088F">
        <w:softHyphen/>
      </w:r>
      <w:r w:rsidRPr="00FB3CEA">
        <w:t>hinnaks 201</w:t>
      </w:r>
      <w:r w:rsidR="0014088F">
        <w:t>6</w:t>
      </w:r>
      <w:r w:rsidRPr="00FB3CEA">
        <w:t xml:space="preserve">. aastal </w:t>
      </w:r>
      <w:r w:rsidR="0014088F">
        <w:t>28,08</w:t>
      </w:r>
      <w:r w:rsidRPr="00FB3CEA">
        <w:t xml:space="preserve"> </w:t>
      </w:r>
      <w:r w:rsidR="0014088F">
        <w:t>€</w:t>
      </w:r>
      <w:r w:rsidRPr="00FB3CEA">
        <w:t>/MWh ja tiputundide kesk</w:t>
      </w:r>
      <w:r w:rsidR="0014088F">
        <w:softHyphen/>
      </w:r>
      <w:r w:rsidRPr="00FB3CEA">
        <w:lastRenderedPageBreak/>
        <w:t xml:space="preserve">miseks hinnaks </w:t>
      </w:r>
      <w:r w:rsidR="0014088F">
        <w:t>34,81</w:t>
      </w:r>
      <w:r w:rsidRPr="00FB3CEA">
        <w:t xml:space="preserve"> </w:t>
      </w:r>
      <w:r w:rsidR="0014088F">
        <w:t>€</w:t>
      </w:r>
      <w:r w:rsidRPr="00FB3CEA">
        <w:t>/MWh. Prantsusmaa novembrikuu finantstehingute alusel prognoositakse baasenergia hin</w:t>
      </w:r>
      <w:r w:rsidR="0014088F">
        <w:softHyphen/>
      </w:r>
      <w:r w:rsidRPr="00FB3CEA">
        <w:t xml:space="preserve">naks 2015. aastal </w:t>
      </w:r>
      <w:r w:rsidR="0014088F">
        <w:t>33,78</w:t>
      </w:r>
      <w:r w:rsidRPr="00FB3CEA">
        <w:t xml:space="preserve"> </w:t>
      </w:r>
      <w:r w:rsidR="0014088F">
        <w:t>€</w:t>
      </w:r>
      <w:r w:rsidRPr="00FB3CEA">
        <w:t xml:space="preserve">/MWh ja tiputundide hinnaks </w:t>
      </w:r>
      <w:r w:rsidR="0014088F">
        <w:t>42,34</w:t>
      </w:r>
      <w:r w:rsidRPr="00FB3CEA">
        <w:t xml:space="preserve"> </w:t>
      </w:r>
      <w:r w:rsidR="0014088F">
        <w:t>€</w:t>
      </w:r>
      <w:r w:rsidRPr="00FB3CEA">
        <w:t>/MWh.</w:t>
      </w:r>
    </w:p>
    <w:p w14:paraId="3EE84471" w14:textId="77777777" w:rsidR="00742226" w:rsidRDefault="00742226" w:rsidP="0022344D"/>
    <w:p w14:paraId="177F4D69" w14:textId="41FE69A8" w:rsidR="00871E5A" w:rsidRDefault="00871E5A" w:rsidP="00871E5A">
      <w:pPr>
        <w:pStyle w:val="Heading2"/>
      </w:pPr>
      <w:r>
        <w:t>Limiteeritud PTR-ide oksjon</w:t>
      </w:r>
    </w:p>
    <w:p w14:paraId="6643ECEC" w14:textId="200B4997" w:rsidR="00B82C56" w:rsidRDefault="00B75EC9" w:rsidP="0022344D">
      <w:r w:rsidRPr="00B75EC9">
        <w:t>Eesti ja Läti süsteemihaldurite Elering ja Augstsprieguma tīkls kokkuleppe kohaselt rakendatakse Eesti ja Läti vahe</w:t>
      </w:r>
      <w:r w:rsidR="000F51CF">
        <w:softHyphen/>
      </w:r>
      <w:r w:rsidRPr="00B75EC9">
        <w:t>lisel piiril osaliselt võimsuste limiteeritud otsest jaotus</w:t>
      </w:r>
      <w:r w:rsidR="000F51CF">
        <w:softHyphen/>
      </w:r>
      <w:r w:rsidRPr="00B75EC9">
        <w:t>mehhanismi</w:t>
      </w:r>
      <w:r>
        <w:t>.</w:t>
      </w:r>
      <w:r w:rsidRPr="00B75EC9">
        <w:t xml:space="preserve"> PTR-ide müük toimub võimsuse kohustusliku tagasimüügi tingimustel. Süsteemihaldurid maksavad turuosalisele tagasi ostetud ülekandevõimsuse eest tasu, mille suurus on võrdne elektri börsihinna erinevusega vastaval perioodil NPS Eesti ja Läti hinnapiirkonna vahel. Süsteemihaldurid annavad turuosalistelt tagasi ostetud ülekandevõimsuse NPS-ile jaotamiseks päev-ette turul. Seega ei vähenda </w:t>
      </w:r>
      <w:r>
        <w:t xml:space="preserve">see </w:t>
      </w:r>
      <w:r w:rsidRPr="00B75EC9">
        <w:t>jaotusmehhanism NPS-i poolt jaotatud ülekandevõimsuste kogumahtu.</w:t>
      </w:r>
    </w:p>
    <w:p w14:paraId="567B9136" w14:textId="77777777" w:rsidR="00B75EC9" w:rsidRDefault="00B75EC9" w:rsidP="0022344D"/>
    <w:p w14:paraId="29ABB134" w14:textId="71F87088" w:rsidR="00B82C56" w:rsidRDefault="000F51CF" w:rsidP="0022344D">
      <w:r>
        <w:rPr>
          <w:noProof/>
        </w:rPr>
        <w:drawing>
          <wp:inline distT="0" distB="0" distL="0" distR="0" wp14:anchorId="1F030B23" wp14:editId="1B890102">
            <wp:extent cx="2971800" cy="17811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71800" cy="1781175"/>
                    </a:xfrm>
                    <a:prstGeom prst="rect">
                      <a:avLst/>
                    </a:prstGeom>
                    <a:noFill/>
                    <a:ln>
                      <a:noFill/>
                    </a:ln>
                  </pic:spPr>
                </pic:pic>
              </a:graphicData>
            </a:graphic>
          </wp:inline>
        </w:drawing>
      </w:r>
    </w:p>
    <w:p w14:paraId="2A064604" w14:textId="39112F72" w:rsidR="00B75EC9" w:rsidRDefault="00B75EC9" w:rsidP="00B75EC9">
      <w:r>
        <w:rPr>
          <w:rStyle w:val="SubtleEmphasis"/>
        </w:rPr>
        <w:t xml:space="preserve">Limiteeritud PTR võrdlus NPS Eesti ja </w:t>
      </w:r>
      <w:r w:rsidR="00E00B69">
        <w:rPr>
          <w:rStyle w:val="SubtleEmphasis"/>
        </w:rPr>
        <w:t xml:space="preserve">NPS </w:t>
      </w:r>
      <w:r>
        <w:rPr>
          <w:rStyle w:val="SubtleEmphasis"/>
        </w:rPr>
        <w:t>Läti</w:t>
      </w:r>
      <w:r w:rsidR="00E00B69">
        <w:rPr>
          <w:rStyle w:val="SubtleEmphasis"/>
        </w:rPr>
        <w:t xml:space="preserve"> piirkondade hinnaerinevusega 2015. aastal</w:t>
      </w:r>
    </w:p>
    <w:p w14:paraId="343503E7" w14:textId="77777777" w:rsidR="000F51CF" w:rsidRDefault="000F51CF" w:rsidP="000F51CF"/>
    <w:p w14:paraId="06E9036C" w14:textId="056F0F77" w:rsidR="000F51CF" w:rsidRDefault="000F51CF" w:rsidP="000F51CF">
      <w:r w:rsidRPr="00B75EC9">
        <w:t>Limiteeritud PTR-e ostnud turuosalistele maksid süsteemi</w:t>
      </w:r>
      <w:r>
        <w:softHyphen/>
      </w:r>
      <w:r w:rsidRPr="00B75EC9">
        <w:t xml:space="preserve">haldurid tegeliku hinnaerinevuse alusel </w:t>
      </w:r>
      <w:r>
        <w:t>11,5 mln eurot (6,4 mln eurot aasta toote eest, 1,9 mln eurot kvartali toodete eest ja 3,2 mln eurot kuu toodete eest)</w:t>
      </w:r>
      <w:r w:rsidRPr="00B75EC9">
        <w:t>.</w:t>
      </w:r>
    </w:p>
    <w:p w14:paraId="52524ADE" w14:textId="77777777" w:rsidR="00B75EC9" w:rsidRDefault="00B75EC9" w:rsidP="0022344D"/>
    <w:tbl>
      <w:tblPr>
        <w:tblStyle w:val="TableGrid"/>
        <w:tblW w:w="4683" w:type="dxa"/>
        <w:tblLayout w:type="fixed"/>
        <w:tblLook w:val="04A0" w:firstRow="1" w:lastRow="0" w:firstColumn="1" w:lastColumn="0" w:noHBand="0" w:noVBand="1"/>
      </w:tblPr>
      <w:tblGrid>
        <w:gridCol w:w="988"/>
        <w:gridCol w:w="692"/>
        <w:gridCol w:w="851"/>
        <w:gridCol w:w="867"/>
        <w:gridCol w:w="1285"/>
      </w:tblGrid>
      <w:tr w:rsidR="00E00B69" w:rsidRPr="00D231C5" w14:paraId="28557BA7" w14:textId="7A8E18A2" w:rsidTr="009757D4">
        <w:tc>
          <w:tcPr>
            <w:tcW w:w="988" w:type="dxa"/>
            <w:vMerge w:val="restart"/>
            <w:shd w:val="clear" w:color="auto" w:fill="007087"/>
            <w:vAlign w:val="center"/>
          </w:tcPr>
          <w:p w14:paraId="0CE3AB45" w14:textId="5C750641" w:rsidR="00E00B69" w:rsidRPr="00D231C5" w:rsidRDefault="00E00B69" w:rsidP="002F305F">
            <w:pPr>
              <w:pStyle w:val="NoSpacing"/>
              <w:spacing w:before="60" w:after="60"/>
              <w:jc w:val="left"/>
              <w:rPr>
                <w:b/>
                <w:color w:val="FFFFFF" w:themeColor="background1"/>
                <w:sz w:val="16"/>
                <w:szCs w:val="16"/>
              </w:rPr>
            </w:pPr>
            <w:r>
              <w:rPr>
                <w:b/>
                <w:color w:val="FFFFFF" w:themeColor="background1"/>
                <w:sz w:val="16"/>
                <w:szCs w:val="16"/>
              </w:rPr>
              <w:t>Limitee</w:t>
            </w:r>
            <w:r>
              <w:rPr>
                <w:b/>
                <w:color w:val="FFFFFF" w:themeColor="background1"/>
                <w:sz w:val="16"/>
                <w:szCs w:val="16"/>
              </w:rPr>
              <w:softHyphen/>
              <w:t>ritud PTR-2015</w:t>
            </w:r>
          </w:p>
        </w:tc>
        <w:tc>
          <w:tcPr>
            <w:tcW w:w="3694" w:type="dxa"/>
            <w:gridSpan w:val="4"/>
            <w:shd w:val="clear" w:color="auto" w:fill="007087"/>
            <w:vAlign w:val="center"/>
          </w:tcPr>
          <w:p w14:paraId="3853F337" w14:textId="5032D890" w:rsidR="00E00B69" w:rsidRDefault="00E00B69" w:rsidP="002F305F">
            <w:pPr>
              <w:pStyle w:val="NoSpacing"/>
              <w:spacing w:before="60" w:after="60"/>
              <w:jc w:val="center"/>
              <w:rPr>
                <w:b/>
                <w:color w:val="FFFFFF" w:themeColor="background1"/>
                <w:sz w:val="16"/>
                <w:szCs w:val="16"/>
              </w:rPr>
            </w:pPr>
            <w:r>
              <w:rPr>
                <w:b/>
                <w:color w:val="FFFFFF" w:themeColor="background1"/>
                <w:sz w:val="16"/>
                <w:szCs w:val="16"/>
              </w:rPr>
              <w:t>Tulemused</w:t>
            </w:r>
          </w:p>
        </w:tc>
      </w:tr>
      <w:tr w:rsidR="00E00B69" w:rsidRPr="00D231C5" w14:paraId="5703DB76" w14:textId="07A66245" w:rsidTr="009757D4">
        <w:tc>
          <w:tcPr>
            <w:tcW w:w="988" w:type="dxa"/>
            <w:vMerge/>
            <w:shd w:val="clear" w:color="auto" w:fill="007087"/>
            <w:vAlign w:val="center"/>
          </w:tcPr>
          <w:p w14:paraId="72756CE3" w14:textId="77777777" w:rsidR="00E00B69" w:rsidRPr="00D231C5" w:rsidRDefault="00E00B69" w:rsidP="002F305F">
            <w:pPr>
              <w:pStyle w:val="NoSpacing"/>
              <w:spacing w:before="60" w:after="60"/>
              <w:jc w:val="center"/>
              <w:rPr>
                <w:b/>
                <w:color w:val="FFFFFF" w:themeColor="background1"/>
                <w:sz w:val="16"/>
                <w:szCs w:val="16"/>
              </w:rPr>
            </w:pPr>
          </w:p>
        </w:tc>
        <w:tc>
          <w:tcPr>
            <w:tcW w:w="692" w:type="dxa"/>
            <w:shd w:val="clear" w:color="auto" w:fill="007087"/>
            <w:vAlign w:val="center"/>
          </w:tcPr>
          <w:p w14:paraId="1DDF3BA6" w14:textId="2AB4C1B2" w:rsidR="00E00B69" w:rsidRPr="00D231C5" w:rsidRDefault="00E00B69" w:rsidP="002F305F">
            <w:pPr>
              <w:pStyle w:val="NoSpacing"/>
              <w:spacing w:before="60" w:after="60"/>
              <w:jc w:val="center"/>
              <w:rPr>
                <w:b/>
                <w:color w:val="FFFFFF" w:themeColor="background1"/>
                <w:sz w:val="16"/>
                <w:szCs w:val="16"/>
              </w:rPr>
            </w:pPr>
            <w:r>
              <w:rPr>
                <w:b/>
                <w:color w:val="FFFFFF" w:themeColor="background1"/>
                <w:sz w:val="16"/>
                <w:szCs w:val="16"/>
              </w:rPr>
              <w:t>Kogus (MW)</w:t>
            </w:r>
          </w:p>
        </w:tc>
        <w:tc>
          <w:tcPr>
            <w:tcW w:w="851" w:type="dxa"/>
            <w:shd w:val="clear" w:color="auto" w:fill="007087"/>
            <w:vAlign w:val="center"/>
          </w:tcPr>
          <w:p w14:paraId="18001A76" w14:textId="78A0639B" w:rsidR="00E00B69" w:rsidRPr="00D231C5" w:rsidRDefault="00E00B69" w:rsidP="002F305F">
            <w:pPr>
              <w:pStyle w:val="NoSpacing"/>
              <w:spacing w:before="60" w:after="60"/>
              <w:jc w:val="center"/>
              <w:rPr>
                <w:b/>
                <w:color w:val="FFFFFF" w:themeColor="background1"/>
                <w:sz w:val="16"/>
                <w:szCs w:val="16"/>
              </w:rPr>
            </w:pPr>
            <w:r>
              <w:rPr>
                <w:b/>
                <w:color w:val="FFFFFF" w:themeColor="background1"/>
                <w:sz w:val="16"/>
                <w:szCs w:val="16"/>
              </w:rPr>
              <w:t>Oksjoni hind (€/MWh)</w:t>
            </w:r>
          </w:p>
        </w:tc>
        <w:tc>
          <w:tcPr>
            <w:tcW w:w="867" w:type="dxa"/>
            <w:shd w:val="clear" w:color="auto" w:fill="007087"/>
          </w:tcPr>
          <w:p w14:paraId="544D8F18" w14:textId="4EA83503" w:rsidR="00E00B69" w:rsidRDefault="009757D4" w:rsidP="009757D4">
            <w:pPr>
              <w:pStyle w:val="NoSpacing"/>
              <w:spacing w:before="60" w:after="60"/>
              <w:jc w:val="center"/>
              <w:rPr>
                <w:b/>
                <w:color w:val="FFFFFF" w:themeColor="background1"/>
                <w:sz w:val="16"/>
                <w:szCs w:val="16"/>
              </w:rPr>
            </w:pPr>
            <w:r>
              <w:rPr>
                <w:b/>
                <w:color w:val="FFFFFF" w:themeColor="background1"/>
                <w:sz w:val="16"/>
                <w:szCs w:val="16"/>
              </w:rPr>
              <w:t>Tegelik hinna</w:t>
            </w:r>
            <w:r>
              <w:rPr>
                <w:b/>
                <w:color w:val="FFFFFF" w:themeColor="background1"/>
                <w:sz w:val="16"/>
                <w:szCs w:val="16"/>
              </w:rPr>
              <w:softHyphen/>
              <w:t>erinevus</w:t>
            </w:r>
          </w:p>
        </w:tc>
        <w:tc>
          <w:tcPr>
            <w:tcW w:w="1285" w:type="dxa"/>
            <w:shd w:val="clear" w:color="auto" w:fill="007087"/>
          </w:tcPr>
          <w:p w14:paraId="1514AA04" w14:textId="1F200434" w:rsidR="00E00B69" w:rsidRDefault="00E00B69" w:rsidP="002F305F">
            <w:pPr>
              <w:pStyle w:val="NoSpacing"/>
              <w:spacing w:before="60" w:after="60"/>
              <w:jc w:val="center"/>
              <w:rPr>
                <w:b/>
                <w:color w:val="FFFFFF" w:themeColor="background1"/>
                <w:sz w:val="16"/>
                <w:szCs w:val="16"/>
              </w:rPr>
            </w:pPr>
            <w:r>
              <w:rPr>
                <w:b/>
                <w:color w:val="FFFFFF" w:themeColor="background1"/>
                <w:sz w:val="16"/>
                <w:szCs w:val="16"/>
              </w:rPr>
              <w:t>Süsteemi</w:t>
            </w:r>
            <w:r>
              <w:rPr>
                <w:b/>
                <w:color w:val="FFFFFF" w:themeColor="background1"/>
                <w:sz w:val="16"/>
                <w:szCs w:val="16"/>
              </w:rPr>
              <w:softHyphen/>
              <w:t>haldurite kulu/tulu (€)</w:t>
            </w:r>
          </w:p>
        </w:tc>
      </w:tr>
      <w:tr w:rsidR="00E00B69" w:rsidRPr="00D231C5" w14:paraId="2193FE99" w14:textId="54CB10BA" w:rsidTr="009757D4">
        <w:tc>
          <w:tcPr>
            <w:tcW w:w="988" w:type="dxa"/>
            <w:vAlign w:val="center"/>
          </w:tcPr>
          <w:p w14:paraId="4A07195B" w14:textId="6E9A82B4" w:rsidR="00E00B69" w:rsidRPr="005D3A6D" w:rsidRDefault="00E00B69" w:rsidP="00E00B69">
            <w:pPr>
              <w:pStyle w:val="NoSpacing"/>
              <w:spacing w:before="60" w:after="60"/>
              <w:jc w:val="left"/>
              <w:rPr>
                <w:sz w:val="16"/>
                <w:szCs w:val="16"/>
                <w:lang w:val="en-GB"/>
              </w:rPr>
            </w:pPr>
            <w:r>
              <w:rPr>
                <w:sz w:val="16"/>
                <w:szCs w:val="16"/>
                <w:lang w:val="en-GB"/>
              </w:rPr>
              <w:t>Y-2015</w:t>
            </w:r>
          </w:p>
        </w:tc>
        <w:tc>
          <w:tcPr>
            <w:tcW w:w="692" w:type="dxa"/>
            <w:vAlign w:val="center"/>
          </w:tcPr>
          <w:p w14:paraId="0D648996" w14:textId="60CEFC76" w:rsidR="00E00B69" w:rsidRPr="00D231C5" w:rsidRDefault="00E00B69" w:rsidP="002F305F">
            <w:pPr>
              <w:pStyle w:val="NoSpacing"/>
              <w:spacing w:before="60" w:after="60"/>
              <w:jc w:val="center"/>
              <w:rPr>
                <w:sz w:val="16"/>
                <w:szCs w:val="16"/>
              </w:rPr>
            </w:pPr>
            <w:r>
              <w:rPr>
                <w:sz w:val="16"/>
                <w:szCs w:val="16"/>
              </w:rPr>
              <w:t>200</w:t>
            </w:r>
          </w:p>
        </w:tc>
        <w:tc>
          <w:tcPr>
            <w:tcW w:w="851" w:type="dxa"/>
            <w:vAlign w:val="center"/>
          </w:tcPr>
          <w:p w14:paraId="64FEE494" w14:textId="43978740" w:rsidR="00E00B69" w:rsidRPr="00D231C5" w:rsidRDefault="00E00B69" w:rsidP="002F305F">
            <w:pPr>
              <w:pStyle w:val="NoSpacing"/>
              <w:spacing w:before="60" w:after="60"/>
              <w:jc w:val="center"/>
              <w:rPr>
                <w:sz w:val="16"/>
                <w:szCs w:val="16"/>
              </w:rPr>
            </w:pPr>
            <w:r>
              <w:rPr>
                <w:sz w:val="16"/>
                <w:szCs w:val="16"/>
              </w:rPr>
              <w:t>7,11</w:t>
            </w:r>
          </w:p>
        </w:tc>
        <w:tc>
          <w:tcPr>
            <w:tcW w:w="867" w:type="dxa"/>
          </w:tcPr>
          <w:p w14:paraId="0454FE13" w14:textId="0E1D3696" w:rsidR="00E00B69" w:rsidRDefault="009346D0" w:rsidP="002F305F">
            <w:pPr>
              <w:pStyle w:val="NoSpacing"/>
              <w:spacing w:before="60" w:after="60"/>
              <w:jc w:val="center"/>
              <w:rPr>
                <w:sz w:val="16"/>
                <w:szCs w:val="16"/>
              </w:rPr>
            </w:pPr>
            <w:r>
              <w:rPr>
                <w:sz w:val="16"/>
                <w:szCs w:val="16"/>
              </w:rPr>
              <w:t>10,77*</w:t>
            </w:r>
          </w:p>
        </w:tc>
        <w:tc>
          <w:tcPr>
            <w:tcW w:w="1285" w:type="dxa"/>
          </w:tcPr>
          <w:p w14:paraId="0D4D8F08" w14:textId="0CF90DC3" w:rsidR="00E00B69" w:rsidRDefault="00E00B69" w:rsidP="002F305F">
            <w:pPr>
              <w:pStyle w:val="NoSpacing"/>
              <w:spacing w:before="60" w:after="60"/>
              <w:jc w:val="center"/>
              <w:rPr>
                <w:sz w:val="16"/>
                <w:szCs w:val="16"/>
              </w:rPr>
            </w:pPr>
            <w:r>
              <w:rPr>
                <w:sz w:val="16"/>
                <w:szCs w:val="16"/>
              </w:rPr>
              <w:t>-6 399 654,53</w:t>
            </w:r>
          </w:p>
        </w:tc>
      </w:tr>
      <w:tr w:rsidR="00E00B69" w:rsidRPr="00D231C5" w14:paraId="67AED68F" w14:textId="7374E91D" w:rsidTr="009757D4">
        <w:tc>
          <w:tcPr>
            <w:tcW w:w="988" w:type="dxa"/>
            <w:vAlign w:val="center"/>
          </w:tcPr>
          <w:p w14:paraId="459AFE96" w14:textId="7AAB8FA1" w:rsidR="00E00B69" w:rsidRPr="005D3A6D" w:rsidRDefault="00E00B69" w:rsidP="002F305F">
            <w:pPr>
              <w:pStyle w:val="NoSpacing"/>
              <w:spacing w:before="60" w:after="60"/>
              <w:jc w:val="left"/>
              <w:rPr>
                <w:sz w:val="16"/>
                <w:szCs w:val="16"/>
                <w:lang w:val="en-GB"/>
              </w:rPr>
            </w:pPr>
            <w:r>
              <w:rPr>
                <w:sz w:val="16"/>
                <w:szCs w:val="16"/>
                <w:lang w:val="en-GB"/>
              </w:rPr>
              <w:t>Q1-2015</w:t>
            </w:r>
          </w:p>
        </w:tc>
        <w:tc>
          <w:tcPr>
            <w:tcW w:w="692" w:type="dxa"/>
            <w:vAlign w:val="center"/>
          </w:tcPr>
          <w:p w14:paraId="66259383" w14:textId="3895329F" w:rsidR="00E00B69" w:rsidRPr="00D231C5" w:rsidRDefault="00E00B69" w:rsidP="002F305F">
            <w:pPr>
              <w:pStyle w:val="NoSpacing"/>
              <w:spacing w:before="60" w:after="60"/>
              <w:jc w:val="center"/>
              <w:rPr>
                <w:sz w:val="16"/>
                <w:szCs w:val="16"/>
              </w:rPr>
            </w:pPr>
            <w:r>
              <w:rPr>
                <w:sz w:val="16"/>
                <w:szCs w:val="16"/>
              </w:rPr>
              <w:t>100</w:t>
            </w:r>
          </w:p>
        </w:tc>
        <w:tc>
          <w:tcPr>
            <w:tcW w:w="851" w:type="dxa"/>
            <w:vAlign w:val="center"/>
          </w:tcPr>
          <w:p w14:paraId="4A98EC52" w14:textId="272C7BF1" w:rsidR="00E00B69" w:rsidRPr="00D231C5" w:rsidRDefault="00E00B69" w:rsidP="002F305F">
            <w:pPr>
              <w:pStyle w:val="NoSpacing"/>
              <w:spacing w:before="60" w:after="60"/>
              <w:jc w:val="center"/>
              <w:rPr>
                <w:sz w:val="16"/>
                <w:szCs w:val="16"/>
              </w:rPr>
            </w:pPr>
            <w:r>
              <w:rPr>
                <w:sz w:val="16"/>
                <w:szCs w:val="16"/>
              </w:rPr>
              <w:t>2,41</w:t>
            </w:r>
          </w:p>
        </w:tc>
        <w:tc>
          <w:tcPr>
            <w:tcW w:w="867" w:type="dxa"/>
          </w:tcPr>
          <w:p w14:paraId="67B65A4E" w14:textId="11C3C9CC" w:rsidR="00E00B69" w:rsidRPr="006A4ABC" w:rsidRDefault="009346D0" w:rsidP="002F305F">
            <w:pPr>
              <w:pStyle w:val="NoSpacing"/>
              <w:spacing w:before="60" w:after="60"/>
              <w:jc w:val="center"/>
              <w:rPr>
                <w:sz w:val="16"/>
                <w:szCs w:val="16"/>
              </w:rPr>
            </w:pPr>
            <w:r>
              <w:rPr>
                <w:sz w:val="16"/>
                <w:szCs w:val="16"/>
              </w:rPr>
              <w:t>4,58*</w:t>
            </w:r>
          </w:p>
        </w:tc>
        <w:tc>
          <w:tcPr>
            <w:tcW w:w="1285" w:type="dxa"/>
          </w:tcPr>
          <w:p w14:paraId="671FFB1D" w14:textId="705EBD60" w:rsidR="00E00B69" w:rsidRPr="006A4ABC" w:rsidRDefault="00E00B69" w:rsidP="002F305F">
            <w:pPr>
              <w:pStyle w:val="NoSpacing"/>
              <w:spacing w:before="60" w:after="60"/>
              <w:jc w:val="center"/>
              <w:rPr>
                <w:sz w:val="16"/>
                <w:szCs w:val="16"/>
              </w:rPr>
            </w:pPr>
            <w:r>
              <w:rPr>
                <w:sz w:val="16"/>
                <w:szCs w:val="16"/>
              </w:rPr>
              <w:t>-467 583,26</w:t>
            </w:r>
          </w:p>
        </w:tc>
      </w:tr>
      <w:tr w:rsidR="00E00B69" w:rsidRPr="00D231C5" w14:paraId="5CACDC7D" w14:textId="50F171DC" w:rsidTr="009757D4">
        <w:tc>
          <w:tcPr>
            <w:tcW w:w="988" w:type="dxa"/>
            <w:vAlign w:val="center"/>
          </w:tcPr>
          <w:p w14:paraId="396A24CF" w14:textId="6FC770CF" w:rsidR="00E00B69" w:rsidRPr="005D3A6D" w:rsidRDefault="00E00B69" w:rsidP="00E00B69">
            <w:pPr>
              <w:pStyle w:val="NoSpacing"/>
              <w:spacing w:before="60" w:after="60"/>
              <w:jc w:val="left"/>
              <w:rPr>
                <w:sz w:val="16"/>
                <w:szCs w:val="16"/>
                <w:lang w:val="en-GB"/>
              </w:rPr>
            </w:pPr>
            <w:r>
              <w:rPr>
                <w:sz w:val="16"/>
                <w:szCs w:val="16"/>
                <w:lang w:val="en-GB"/>
              </w:rPr>
              <w:t>Q2-2015</w:t>
            </w:r>
          </w:p>
        </w:tc>
        <w:tc>
          <w:tcPr>
            <w:tcW w:w="692" w:type="dxa"/>
            <w:vAlign w:val="center"/>
          </w:tcPr>
          <w:p w14:paraId="3812F284" w14:textId="4EC3C1B9" w:rsidR="00E00B69" w:rsidRDefault="00E00B69" w:rsidP="002F305F">
            <w:pPr>
              <w:pStyle w:val="NoSpacing"/>
              <w:spacing w:before="60" w:after="60"/>
              <w:jc w:val="center"/>
              <w:rPr>
                <w:sz w:val="16"/>
                <w:szCs w:val="16"/>
              </w:rPr>
            </w:pPr>
            <w:r>
              <w:rPr>
                <w:sz w:val="16"/>
                <w:szCs w:val="16"/>
              </w:rPr>
              <w:t>65</w:t>
            </w:r>
          </w:p>
        </w:tc>
        <w:tc>
          <w:tcPr>
            <w:tcW w:w="851" w:type="dxa"/>
            <w:vAlign w:val="center"/>
          </w:tcPr>
          <w:p w14:paraId="49EE7936" w14:textId="709B9049" w:rsidR="00E00B69" w:rsidRDefault="00E00B69" w:rsidP="002F305F">
            <w:pPr>
              <w:pStyle w:val="NoSpacing"/>
              <w:spacing w:before="60" w:after="60"/>
              <w:jc w:val="center"/>
              <w:rPr>
                <w:sz w:val="16"/>
                <w:szCs w:val="16"/>
              </w:rPr>
            </w:pPr>
            <w:r>
              <w:rPr>
                <w:sz w:val="16"/>
                <w:szCs w:val="16"/>
              </w:rPr>
              <w:t>9,94</w:t>
            </w:r>
          </w:p>
        </w:tc>
        <w:tc>
          <w:tcPr>
            <w:tcW w:w="867" w:type="dxa"/>
          </w:tcPr>
          <w:p w14:paraId="4D20D01F" w14:textId="1F215E85" w:rsidR="00E00B69" w:rsidRPr="006A4ABC" w:rsidRDefault="009346D0" w:rsidP="002F305F">
            <w:pPr>
              <w:pStyle w:val="NoSpacing"/>
              <w:spacing w:before="60" w:after="60"/>
              <w:jc w:val="center"/>
              <w:rPr>
                <w:sz w:val="16"/>
                <w:szCs w:val="16"/>
              </w:rPr>
            </w:pPr>
            <w:r>
              <w:rPr>
                <w:sz w:val="16"/>
                <w:szCs w:val="16"/>
              </w:rPr>
              <w:t>8,27*</w:t>
            </w:r>
          </w:p>
        </w:tc>
        <w:tc>
          <w:tcPr>
            <w:tcW w:w="1285" w:type="dxa"/>
          </w:tcPr>
          <w:p w14:paraId="59A9D518" w14:textId="708CA1DB" w:rsidR="00E00B69" w:rsidRPr="006A4ABC" w:rsidRDefault="00E00B69" w:rsidP="002F305F">
            <w:pPr>
              <w:pStyle w:val="NoSpacing"/>
              <w:spacing w:before="60" w:after="60"/>
              <w:jc w:val="center"/>
              <w:rPr>
                <w:sz w:val="16"/>
                <w:szCs w:val="16"/>
              </w:rPr>
            </w:pPr>
            <w:r>
              <w:rPr>
                <w:sz w:val="16"/>
                <w:szCs w:val="16"/>
              </w:rPr>
              <w:t>237 558,10</w:t>
            </w:r>
          </w:p>
        </w:tc>
      </w:tr>
      <w:tr w:rsidR="00E00B69" w:rsidRPr="00D231C5" w14:paraId="69C5A324" w14:textId="6360E131" w:rsidTr="009757D4">
        <w:tc>
          <w:tcPr>
            <w:tcW w:w="988" w:type="dxa"/>
            <w:vAlign w:val="center"/>
          </w:tcPr>
          <w:p w14:paraId="6E939960" w14:textId="513FB759" w:rsidR="00E00B69" w:rsidRPr="006A4ABC" w:rsidRDefault="00E00B69" w:rsidP="002F305F">
            <w:pPr>
              <w:pStyle w:val="NoSpacing"/>
              <w:spacing w:before="60" w:after="60"/>
              <w:jc w:val="left"/>
              <w:rPr>
                <w:sz w:val="16"/>
                <w:szCs w:val="16"/>
                <w:lang w:val="en-GB"/>
              </w:rPr>
            </w:pPr>
            <w:r>
              <w:rPr>
                <w:sz w:val="16"/>
                <w:szCs w:val="16"/>
                <w:lang w:val="en-GB"/>
              </w:rPr>
              <w:t>Q3-2015</w:t>
            </w:r>
          </w:p>
        </w:tc>
        <w:tc>
          <w:tcPr>
            <w:tcW w:w="692" w:type="dxa"/>
            <w:vAlign w:val="center"/>
          </w:tcPr>
          <w:p w14:paraId="2F6FDC48" w14:textId="46EBA661" w:rsidR="00E00B69" w:rsidRDefault="00E00B69" w:rsidP="002F305F">
            <w:pPr>
              <w:pStyle w:val="NoSpacing"/>
              <w:spacing w:before="60" w:after="60"/>
              <w:jc w:val="center"/>
              <w:rPr>
                <w:sz w:val="16"/>
                <w:szCs w:val="16"/>
              </w:rPr>
            </w:pPr>
            <w:r>
              <w:rPr>
                <w:sz w:val="16"/>
                <w:szCs w:val="16"/>
              </w:rPr>
              <w:t>65</w:t>
            </w:r>
          </w:p>
        </w:tc>
        <w:tc>
          <w:tcPr>
            <w:tcW w:w="851" w:type="dxa"/>
            <w:vAlign w:val="center"/>
          </w:tcPr>
          <w:p w14:paraId="716278EA" w14:textId="1AFB2227" w:rsidR="00E00B69" w:rsidRPr="006A4ABC" w:rsidRDefault="00E00B69" w:rsidP="002F305F">
            <w:pPr>
              <w:pStyle w:val="NoSpacing"/>
              <w:spacing w:before="60" w:after="60"/>
              <w:jc w:val="center"/>
              <w:rPr>
                <w:sz w:val="16"/>
                <w:szCs w:val="16"/>
              </w:rPr>
            </w:pPr>
            <w:r>
              <w:rPr>
                <w:sz w:val="16"/>
                <w:szCs w:val="16"/>
              </w:rPr>
              <w:t>16,63</w:t>
            </w:r>
          </w:p>
        </w:tc>
        <w:tc>
          <w:tcPr>
            <w:tcW w:w="867" w:type="dxa"/>
          </w:tcPr>
          <w:p w14:paraId="02346323" w14:textId="5E33CBC3" w:rsidR="00E00B69" w:rsidRDefault="009346D0" w:rsidP="002F305F">
            <w:pPr>
              <w:pStyle w:val="NoSpacing"/>
              <w:spacing w:before="60" w:after="60"/>
              <w:jc w:val="center"/>
              <w:rPr>
                <w:sz w:val="16"/>
                <w:szCs w:val="16"/>
              </w:rPr>
            </w:pPr>
            <w:r>
              <w:rPr>
                <w:sz w:val="16"/>
                <w:szCs w:val="16"/>
              </w:rPr>
              <w:t>14,69*</w:t>
            </w:r>
          </w:p>
        </w:tc>
        <w:tc>
          <w:tcPr>
            <w:tcW w:w="1285" w:type="dxa"/>
          </w:tcPr>
          <w:p w14:paraId="16AC0F16" w14:textId="33979478" w:rsidR="00E00B69" w:rsidRDefault="00E00B69" w:rsidP="002F305F">
            <w:pPr>
              <w:pStyle w:val="NoSpacing"/>
              <w:spacing w:before="60" w:after="60"/>
              <w:jc w:val="center"/>
              <w:rPr>
                <w:sz w:val="16"/>
                <w:szCs w:val="16"/>
              </w:rPr>
            </w:pPr>
            <w:r>
              <w:rPr>
                <w:sz w:val="16"/>
                <w:szCs w:val="16"/>
              </w:rPr>
              <w:t>278 196,10</w:t>
            </w:r>
          </w:p>
        </w:tc>
      </w:tr>
      <w:tr w:rsidR="00E00B69" w:rsidRPr="00D231C5" w14:paraId="2FB51596" w14:textId="77777777" w:rsidTr="009757D4">
        <w:tc>
          <w:tcPr>
            <w:tcW w:w="988" w:type="dxa"/>
            <w:vAlign w:val="center"/>
          </w:tcPr>
          <w:p w14:paraId="79743639" w14:textId="5109F568" w:rsidR="00E00B69" w:rsidRDefault="00E00B69" w:rsidP="002F305F">
            <w:pPr>
              <w:pStyle w:val="NoSpacing"/>
              <w:spacing w:before="60" w:after="60"/>
              <w:jc w:val="left"/>
              <w:rPr>
                <w:sz w:val="16"/>
                <w:szCs w:val="16"/>
                <w:lang w:val="en-GB"/>
              </w:rPr>
            </w:pPr>
            <w:r>
              <w:rPr>
                <w:sz w:val="16"/>
                <w:szCs w:val="16"/>
                <w:lang w:val="en-GB"/>
              </w:rPr>
              <w:t>Q4-2015</w:t>
            </w:r>
          </w:p>
        </w:tc>
        <w:tc>
          <w:tcPr>
            <w:tcW w:w="692" w:type="dxa"/>
            <w:vAlign w:val="center"/>
          </w:tcPr>
          <w:p w14:paraId="7A512802" w14:textId="595ABEB7" w:rsidR="00E00B69" w:rsidRDefault="00E00B69" w:rsidP="002F305F">
            <w:pPr>
              <w:pStyle w:val="NoSpacing"/>
              <w:spacing w:before="60" w:after="60"/>
              <w:jc w:val="center"/>
              <w:rPr>
                <w:sz w:val="16"/>
                <w:szCs w:val="16"/>
              </w:rPr>
            </w:pPr>
            <w:r>
              <w:rPr>
                <w:sz w:val="16"/>
                <w:szCs w:val="16"/>
              </w:rPr>
              <w:t>100</w:t>
            </w:r>
          </w:p>
        </w:tc>
        <w:tc>
          <w:tcPr>
            <w:tcW w:w="851" w:type="dxa"/>
            <w:vAlign w:val="center"/>
          </w:tcPr>
          <w:p w14:paraId="1678C5F2" w14:textId="2F59FFB8" w:rsidR="00E00B69" w:rsidRPr="006A4ABC" w:rsidRDefault="00E00B69" w:rsidP="002F305F">
            <w:pPr>
              <w:pStyle w:val="NoSpacing"/>
              <w:spacing w:before="60" w:after="60"/>
              <w:jc w:val="center"/>
              <w:rPr>
                <w:sz w:val="16"/>
                <w:szCs w:val="16"/>
              </w:rPr>
            </w:pPr>
            <w:r>
              <w:rPr>
                <w:sz w:val="16"/>
                <w:szCs w:val="16"/>
              </w:rPr>
              <w:t>6,67</w:t>
            </w:r>
          </w:p>
        </w:tc>
        <w:tc>
          <w:tcPr>
            <w:tcW w:w="867" w:type="dxa"/>
          </w:tcPr>
          <w:p w14:paraId="324E9A13" w14:textId="041CE191" w:rsidR="00E00B69" w:rsidRDefault="009346D0" w:rsidP="002F305F">
            <w:pPr>
              <w:pStyle w:val="NoSpacing"/>
              <w:spacing w:before="60" w:after="60"/>
              <w:jc w:val="center"/>
              <w:rPr>
                <w:sz w:val="16"/>
                <w:szCs w:val="16"/>
              </w:rPr>
            </w:pPr>
            <w:r>
              <w:rPr>
                <w:sz w:val="16"/>
                <w:szCs w:val="16"/>
              </w:rPr>
              <w:t>15,35*</w:t>
            </w:r>
          </w:p>
        </w:tc>
        <w:tc>
          <w:tcPr>
            <w:tcW w:w="1285" w:type="dxa"/>
          </w:tcPr>
          <w:p w14:paraId="0C79977C" w14:textId="77DCEE0F" w:rsidR="00E00B69" w:rsidRDefault="00E00B69" w:rsidP="002F305F">
            <w:pPr>
              <w:pStyle w:val="NoSpacing"/>
              <w:spacing w:before="60" w:after="60"/>
              <w:jc w:val="center"/>
              <w:rPr>
                <w:sz w:val="16"/>
                <w:szCs w:val="16"/>
              </w:rPr>
            </w:pPr>
            <w:r>
              <w:rPr>
                <w:sz w:val="16"/>
                <w:szCs w:val="16"/>
              </w:rPr>
              <w:t>-1 917 550,00</w:t>
            </w:r>
          </w:p>
        </w:tc>
      </w:tr>
      <w:tr w:rsidR="00E00B69" w:rsidRPr="00D231C5" w14:paraId="0E159DB4" w14:textId="77777777" w:rsidTr="009757D4">
        <w:tc>
          <w:tcPr>
            <w:tcW w:w="988" w:type="dxa"/>
            <w:vAlign w:val="center"/>
          </w:tcPr>
          <w:p w14:paraId="45A94614" w14:textId="09534667" w:rsidR="00E00B69" w:rsidRDefault="00E00B69" w:rsidP="002F305F">
            <w:pPr>
              <w:pStyle w:val="NoSpacing"/>
              <w:spacing w:before="60" w:after="60"/>
              <w:jc w:val="left"/>
              <w:rPr>
                <w:sz w:val="16"/>
                <w:szCs w:val="16"/>
                <w:lang w:val="en-GB"/>
              </w:rPr>
            </w:pPr>
            <w:r>
              <w:rPr>
                <w:sz w:val="16"/>
                <w:szCs w:val="16"/>
                <w:lang w:val="en-GB"/>
              </w:rPr>
              <w:t>Jan-2015</w:t>
            </w:r>
          </w:p>
        </w:tc>
        <w:tc>
          <w:tcPr>
            <w:tcW w:w="692" w:type="dxa"/>
            <w:vAlign w:val="center"/>
          </w:tcPr>
          <w:p w14:paraId="09F23B1F" w14:textId="24039BE3" w:rsidR="00E00B69" w:rsidRDefault="00E00B69" w:rsidP="002F305F">
            <w:pPr>
              <w:pStyle w:val="NoSpacing"/>
              <w:spacing w:before="60" w:after="60"/>
              <w:jc w:val="center"/>
              <w:rPr>
                <w:sz w:val="16"/>
                <w:szCs w:val="16"/>
              </w:rPr>
            </w:pPr>
            <w:r>
              <w:rPr>
                <w:sz w:val="16"/>
                <w:szCs w:val="16"/>
              </w:rPr>
              <w:t>150</w:t>
            </w:r>
          </w:p>
        </w:tc>
        <w:tc>
          <w:tcPr>
            <w:tcW w:w="851" w:type="dxa"/>
            <w:vAlign w:val="center"/>
          </w:tcPr>
          <w:p w14:paraId="2CD2BD2D" w14:textId="2AB40F9C" w:rsidR="00E00B69" w:rsidRPr="006A4ABC" w:rsidRDefault="00E00B69" w:rsidP="002F305F">
            <w:pPr>
              <w:pStyle w:val="NoSpacing"/>
              <w:spacing w:before="60" w:after="60"/>
              <w:jc w:val="center"/>
              <w:rPr>
                <w:sz w:val="16"/>
                <w:szCs w:val="16"/>
              </w:rPr>
            </w:pPr>
            <w:r>
              <w:rPr>
                <w:sz w:val="16"/>
                <w:szCs w:val="16"/>
              </w:rPr>
              <w:t>2,70</w:t>
            </w:r>
          </w:p>
        </w:tc>
        <w:tc>
          <w:tcPr>
            <w:tcW w:w="867" w:type="dxa"/>
          </w:tcPr>
          <w:p w14:paraId="2BB02192" w14:textId="27BEFC27" w:rsidR="00E00B69" w:rsidRDefault="009757D4" w:rsidP="002F305F">
            <w:pPr>
              <w:pStyle w:val="NoSpacing"/>
              <w:spacing w:before="60" w:after="60"/>
              <w:jc w:val="center"/>
              <w:rPr>
                <w:sz w:val="16"/>
                <w:szCs w:val="16"/>
              </w:rPr>
            </w:pPr>
            <w:r>
              <w:rPr>
                <w:sz w:val="16"/>
                <w:szCs w:val="16"/>
              </w:rPr>
              <w:t>5,94</w:t>
            </w:r>
          </w:p>
        </w:tc>
        <w:tc>
          <w:tcPr>
            <w:tcW w:w="1285" w:type="dxa"/>
          </w:tcPr>
          <w:p w14:paraId="1F0496B0" w14:textId="2267C8F9" w:rsidR="00E00B69" w:rsidRDefault="000F51CF" w:rsidP="000F51CF">
            <w:pPr>
              <w:pStyle w:val="NoSpacing"/>
              <w:spacing w:before="60" w:after="60"/>
              <w:jc w:val="center"/>
              <w:rPr>
                <w:sz w:val="16"/>
                <w:szCs w:val="16"/>
              </w:rPr>
            </w:pPr>
            <w:r w:rsidRPr="000F51CF">
              <w:rPr>
                <w:sz w:val="16"/>
                <w:szCs w:val="16"/>
              </w:rPr>
              <w:t>-362 083,50</w:t>
            </w:r>
          </w:p>
        </w:tc>
      </w:tr>
      <w:tr w:rsidR="00E00B69" w:rsidRPr="00D231C5" w14:paraId="28E1CD99" w14:textId="77777777" w:rsidTr="009757D4">
        <w:tc>
          <w:tcPr>
            <w:tcW w:w="988" w:type="dxa"/>
            <w:vAlign w:val="center"/>
          </w:tcPr>
          <w:p w14:paraId="72BDC521" w14:textId="5AC0A1AD" w:rsidR="00E00B69" w:rsidRDefault="00E00B69" w:rsidP="002F305F">
            <w:pPr>
              <w:pStyle w:val="NoSpacing"/>
              <w:spacing w:before="60" w:after="60"/>
              <w:jc w:val="left"/>
              <w:rPr>
                <w:sz w:val="16"/>
                <w:szCs w:val="16"/>
                <w:lang w:val="en-GB"/>
              </w:rPr>
            </w:pPr>
            <w:r>
              <w:rPr>
                <w:sz w:val="16"/>
                <w:szCs w:val="16"/>
                <w:lang w:val="en-GB"/>
              </w:rPr>
              <w:t>Feb-2015</w:t>
            </w:r>
          </w:p>
        </w:tc>
        <w:tc>
          <w:tcPr>
            <w:tcW w:w="692" w:type="dxa"/>
            <w:vAlign w:val="center"/>
          </w:tcPr>
          <w:p w14:paraId="75406FDB" w14:textId="39801674" w:rsidR="00E00B69" w:rsidRDefault="00E00B69" w:rsidP="002F305F">
            <w:pPr>
              <w:pStyle w:val="NoSpacing"/>
              <w:spacing w:before="60" w:after="60"/>
              <w:jc w:val="center"/>
              <w:rPr>
                <w:sz w:val="16"/>
                <w:szCs w:val="16"/>
              </w:rPr>
            </w:pPr>
            <w:r>
              <w:rPr>
                <w:sz w:val="16"/>
                <w:szCs w:val="16"/>
              </w:rPr>
              <w:t>150</w:t>
            </w:r>
          </w:p>
        </w:tc>
        <w:tc>
          <w:tcPr>
            <w:tcW w:w="851" w:type="dxa"/>
            <w:vAlign w:val="center"/>
          </w:tcPr>
          <w:p w14:paraId="441021EA" w14:textId="58C79E60" w:rsidR="00E00B69" w:rsidRPr="006A4ABC" w:rsidRDefault="00E00B69" w:rsidP="002F305F">
            <w:pPr>
              <w:pStyle w:val="NoSpacing"/>
              <w:spacing w:before="60" w:after="60"/>
              <w:jc w:val="center"/>
              <w:rPr>
                <w:sz w:val="16"/>
                <w:szCs w:val="16"/>
              </w:rPr>
            </w:pPr>
            <w:r>
              <w:rPr>
                <w:sz w:val="16"/>
                <w:szCs w:val="16"/>
              </w:rPr>
              <w:t>4,81</w:t>
            </w:r>
          </w:p>
        </w:tc>
        <w:tc>
          <w:tcPr>
            <w:tcW w:w="867" w:type="dxa"/>
          </w:tcPr>
          <w:p w14:paraId="39F1E380" w14:textId="64DC1A57" w:rsidR="00E00B69" w:rsidRDefault="009757D4" w:rsidP="002F305F">
            <w:pPr>
              <w:pStyle w:val="NoSpacing"/>
              <w:spacing w:before="60" w:after="60"/>
              <w:jc w:val="center"/>
              <w:rPr>
                <w:sz w:val="16"/>
                <w:szCs w:val="16"/>
              </w:rPr>
            </w:pPr>
            <w:r>
              <w:rPr>
                <w:sz w:val="16"/>
                <w:szCs w:val="16"/>
              </w:rPr>
              <w:t>6,01</w:t>
            </w:r>
          </w:p>
        </w:tc>
        <w:tc>
          <w:tcPr>
            <w:tcW w:w="1285" w:type="dxa"/>
          </w:tcPr>
          <w:p w14:paraId="0FB18902" w14:textId="770553AB" w:rsidR="00E00B69" w:rsidRDefault="000F51CF" w:rsidP="002F305F">
            <w:pPr>
              <w:pStyle w:val="NoSpacing"/>
              <w:spacing w:before="60" w:after="60"/>
              <w:jc w:val="center"/>
              <w:rPr>
                <w:sz w:val="16"/>
                <w:szCs w:val="16"/>
              </w:rPr>
            </w:pPr>
            <w:r w:rsidRPr="000F51CF">
              <w:rPr>
                <w:sz w:val="16"/>
                <w:szCs w:val="16"/>
              </w:rPr>
              <w:t>-121 026,00</w:t>
            </w:r>
          </w:p>
        </w:tc>
      </w:tr>
      <w:tr w:rsidR="00E00B69" w:rsidRPr="00D231C5" w14:paraId="31D798C6" w14:textId="77777777" w:rsidTr="009757D4">
        <w:tc>
          <w:tcPr>
            <w:tcW w:w="988" w:type="dxa"/>
            <w:vAlign w:val="center"/>
          </w:tcPr>
          <w:p w14:paraId="5DF343FE" w14:textId="2B0755E5" w:rsidR="00E00B69" w:rsidRDefault="00E00B69" w:rsidP="002F305F">
            <w:pPr>
              <w:pStyle w:val="NoSpacing"/>
              <w:spacing w:before="60" w:after="60"/>
              <w:jc w:val="left"/>
              <w:rPr>
                <w:sz w:val="16"/>
                <w:szCs w:val="16"/>
                <w:lang w:val="en-GB"/>
              </w:rPr>
            </w:pPr>
            <w:r>
              <w:rPr>
                <w:sz w:val="16"/>
                <w:szCs w:val="16"/>
                <w:lang w:val="en-GB"/>
              </w:rPr>
              <w:t>Mar-2015</w:t>
            </w:r>
          </w:p>
        </w:tc>
        <w:tc>
          <w:tcPr>
            <w:tcW w:w="692" w:type="dxa"/>
            <w:vAlign w:val="center"/>
          </w:tcPr>
          <w:p w14:paraId="58844BC0" w14:textId="01EA2275" w:rsidR="00E00B69" w:rsidRDefault="00E00B69" w:rsidP="002F305F">
            <w:pPr>
              <w:pStyle w:val="NoSpacing"/>
              <w:spacing w:before="60" w:after="60"/>
              <w:jc w:val="center"/>
              <w:rPr>
                <w:sz w:val="16"/>
                <w:szCs w:val="16"/>
              </w:rPr>
            </w:pPr>
            <w:r>
              <w:rPr>
                <w:sz w:val="16"/>
                <w:szCs w:val="16"/>
              </w:rPr>
              <w:t>150</w:t>
            </w:r>
          </w:p>
        </w:tc>
        <w:tc>
          <w:tcPr>
            <w:tcW w:w="851" w:type="dxa"/>
            <w:vAlign w:val="center"/>
          </w:tcPr>
          <w:p w14:paraId="665AF4D7" w14:textId="7D13A662" w:rsidR="00E00B69" w:rsidRPr="006A4ABC" w:rsidRDefault="00E00B69" w:rsidP="002F305F">
            <w:pPr>
              <w:pStyle w:val="NoSpacing"/>
              <w:spacing w:before="60" w:after="60"/>
              <w:jc w:val="center"/>
              <w:rPr>
                <w:sz w:val="16"/>
                <w:szCs w:val="16"/>
              </w:rPr>
            </w:pPr>
            <w:r>
              <w:rPr>
                <w:sz w:val="16"/>
                <w:szCs w:val="16"/>
              </w:rPr>
              <w:t>5,26</w:t>
            </w:r>
          </w:p>
        </w:tc>
        <w:tc>
          <w:tcPr>
            <w:tcW w:w="867" w:type="dxa"/>
          </w:tcPr>
          <w:p w14:paraId="4A6FD21E" w14:textId="6AEB61F5" w:rsidR="00E00B69" w:rsidRDefault="009757D4" w:rsidP="002F305F">
            <w:pPr>
              <w:pStyle w:val="NoSpacing"/>
              <w:spacing w:before="60" w:after="60"/>
              <w:jc w:val="center"/>
              <w:rPr>
                <w:sz w:val="16"/>
                <w:szCs w:val="16"/>
              </w:rPr>
            </w:pPr>
            <w:r>
              <w:rPr>
                <w:sz w:val="16"/>
                <w:szCs w:val="16"/>
              </w:rPr>
              <w:t>1,91</w:t>
            </w:r>
          </w:p>
        </w:tc>
        <w:tc>
          <w:tcPr>
            <w:tcW w:w="1285" w:type="dxa"/>
          </w:tcPr>
          <w:p w14:paraId="3EDCA5F6" w14:textId="47A57EA5" w:rsidR="00E00B69" w:rsidRDefault="000F51CF" w:rsidP="002F305F">
            <w:pPr>
              <w:pStyle w:val="NoSpacing"/>
              <w:spacing w:before="60" w:after="60"/>
              <w:jc w:val="center"/>
              <w:rPr>
                <w:sz w:val="16"/>
                <w:szCs w:val="16"/>
              </w:rPr>
            </w:pPr>
            <w:r w:rsidRPr="000F51CF">
              <w:rPr>
                <w:sz w:val="16"/>
                <w:szCs w:val="16"/>
              </w:rPr>
              <w:t>373 651,10</w:t>
            </w:r>
          </w:p>
        </w:tc>
      </w:tr>
      <w:tr w:rsidR="00E00B69" w:rsidRPr="00D231C5" w14:paraId="294D2C94" w14:textId="77777777" w:rsidTr="009757D4">
        <w:tc>
          <w:tcPr>
            <w:tcW w:w="988" w:type="dxa"/>
            <w:vAlign w:val="center"/>
          </w:tcPr>
          <w:p w14:paraId="33F0B963" w14:textId="5377092F" w:rsidR="00E00B69" w:rsidRDefault="00E00B69" w:rsidP="002F305F">
            <w:pPr>
              <w:pStyle w:val="NoSpacing"/>
              <w:spacing w:before="60" w:after="60"/>
              <w:jc w:val="left"/>
              <w:rPr>
                <w:sz w:val="16"/>
                <w:szCs w:val="16"/>
                <w:lang w:val="en-GB"/>
              </w:rPr>
            </w:pPr>
            <w:r>
              <w:rPr>
                <w:sz w:val="16"/>
                <w:szCs w:val="16"/>
                <w:lang w:val="en-GB"/>
              </w:rPr>
              <w:t>Apr-2015</w:t>
            </w:r>
          </w:p>
        </w:tc>
        <w:tc>
          <w:tcPr>
            <w:tcW w:w="692" w:type="dxa"/>
            <w:vAlign w:val="center"/>
          </w:tcPr>
          <w:p w14:paraId="3504CF00" w14:textId="0E388C78" w:rsidR="00E00B69" w:rsidRDefault="00E00B69" w:rsidP="002F305F">
            <w:pPr>
              <w:pStyle w:val="NoSpacing"/>
              <w:spacing w:before="60" w:after="60"/>
              <w:jc w:val="center"/>
              <w:rPr>
                <w:sz w:val="16"/>
                <w:szCs w:val="16"/>
              </w:rPr>
            </w:pPr>
            <w:r>
              <w:rPr>
                <w:sz w:val="16"/>
                <w:szCs w:val="16"/>
              </w:rPr>
              <w:t>135</w:t>
            </w:r>
          </w:p>
        </w:tc>
        <w:tc>
          <w:tcPr>
            <w:tcW w:w="851" w:type="dxa"/>
            <w:vAlign w:val="center"/>
          </w:tcPr>
          <w:p w14:paraId="14860A25" w14:textId="75E2F1D0" w:rsidR="00E00B69" w:rsidRPr="006A4ABC" w:rsidRDefault="00E00B69" w:rsidP="002F305F">
            <w:pPr>
              <w:pStyle w:val="NoSpacing"/>
              <w:spacing w:before="60" w:after="60"/>
              <w:jc w:val="center"/>
              <w:rPr>
                <w:sz w:val="16"/>
                <w:szCs w:val="16"/>
              </w:rPr>
            </w:pPr>
            <w:r>
              <w:rPr>
                <w:sz w:val="16"/>
                <w:szCs w:val="16"/>
              </w:rPr>
              <w:t>4,25</w:t>
            </w:r>
          </w:p>
        </w:tc>
        <w:tc>
          <w:tcPr>
            <w:tcW w:w="867" w:type="dxa"/>
          </w:tcPr>
          <w:p w14:paraId="753FEA6E" w14:textId="6319D27D" w:rsidR="00E00B69" w:rsidRDefault="009757D4" w:rsidP="002F305F">
            <w:pPr>
              <w:pStyle w:val="NoSpacing"/>
              <w:spacing w:before="60" w:after="60"/>
              <w:jc w:val="center"/>
              <w:rPr>
                <w:sz w:val="16"/>
                <w:szCs w:val="16"/>
              </w:rPr>
            </w:pPr>
            <w:r>
              <w:rPr>
                <w:sz w:val="16"/>
                <w:szCs w:val="16"/>
              </w:rPr>
              <w:t>4,31</w:t>
            </w:r>
          </w:p>
        </w:tc>
        <w:tc>
          <w:tcPr>
            <w:tcW w:w="1285" w:type="dxa"/>
          </w:tcPr>
          <w:p w14:paraId="3011789F" w14:textId="342F8F62" w:rsidR="00E00B69" w:rsidRDefault="000F51CF" w:rsidP="002F305F">
            <w:pPr>
              <w:pStyle w:val="NoSpacing"/>
              <w:spacing w:before="60" w:after="60"/>
              <w:jc w:val="center"/>
              <w:rPr>
                <w:sz w:val="16"/>
                <w:szCs w:val="16"/>
              </w:rPr>
            </w:pPr>
            <w:r w:rsidRPr="000F51CF">
              <w:rPr>
                <w:sz w:val="16"/>
                <w:szCs w:val="16"/>
              </w:rPr>
              <w:t>-5 647,05</w:t>
            </w:r>
          </w:p>
        </w:tc>
      </w:tr>
      <w:tr w:rsidR="00E00B69" w:rsidRPr="00D231C5" w14:paraId="777718B6" w14:textId="77777777" w:rsidTr="009757D4">
        <w:tc>
          <w:tcPr>
            <w:tcW w:w="988" w:type="dxa"/>
            <w:vAlign w:val="center"/>
          </w:tcPr>
          <w:p w14:paraId="48DB40B2" w14:textId="18A8257F" w:rsidR="00E00B69" w:rsidRDefault="00E00B69" w:rsidP="002F305F">
            <w:pPr>
              <w:pStyle w:val="NoSpacing"/>
              <w:spacing w:before="60" w:after="60"/>
              <w:jc w:val="left"/>
              <w:rPr>
                <w:sz w:val="16"/>
                <w:szCs w:val="16"/>
                <w:lang w:val="en-GB"/>
              </w:rPr>
            </w:pPr>
            <w:r>
              <w:rPr>
                <w:sz w:val="16"/>
                <w:szCs w:val="16"/>
                <w:lang w:val="en-GB"/>
              </w:rPr>
              <w:t>May-2015</w:t>
            </w:r>
          </w:p>
        </w:tc>
        <w:tc>
          <w:tcPr>
            <w:tcW w:w="692" w:type="dxa"/>
            <w:vAlign w:val="center"/>
          </w:tcPr>
          <w:p w14:paraId="1E4DCCB9" w14:textId="2A718049" w:rsidR="00E00B69" w:rsidRDefault="00E00B69" w:rsidP="002F305F">
            <w:pPr>
              <w:pStyle w:val="NoSpacing"/>
              <w:spacing w:before="60" w:after="60"/>
              <w:jc w:val="center"/>
              <w:rPr>
                <w:sz w:val="16"/>
                <w:szCs w:val="16"/>
              </w:rPr>
            </w:pPr>
            <w:r>
              <w:rPr>
                <w:sz w:val="16"/>
                <w:szCs w:val="16"/>
              </w:rPr>
              <w:t>135</w:t>
            </w:r>
          </w:p>
        </w:tc>
        <w:tc>
          <w:tcPr>
            <w:tcW w:w="851" w:type="dxa"/>
            <w:vAlign w:val="center"/>
          </w:tcPr>
          <w:p w14:paraId="29B3A9CE" w14:textId="1E63AE47" w:rsidR="00E00B69" w:rsidRPr="006A4ABC" w:rsidRDefault="00E00B69" w:rsidP="002F305F">
            <w:pPr>
              <w:pStyle w:val="NoSpacing"/>
              <w:spacing w:before="60" w:after="60"/>
              <w:jc w:val="center"/>
              <w:rPr>
                <w:sz w:val="16"/>
                <w:szCs w:val="16"/>
              </w:rPr>
            </w:pPr>
            <w:r>
              <w:rPr>
                <w:sz w:val="16"/>
                <w:szCs w:val="16"/>
              </w:rPr>
              <w:t>8,20</w:t>
            </w:r>
          </w:p>
        </w:tc>
        <w:tc>
          <w:tcPr>
            <w:tcW w:w="867" w:type="dxa"/>
          </w:tcPr>
          <w:p w14:paraId="6C85FA15" w14:textId="70ACE132" w:rsidR="00E00B69" w:rsidRDefault="009757D4" w:rsidP="002F305F">
            <w:pPr>
              <w:pStyle w:val="NoSpacing"/>
              <w:spacing w:before="60" w:after="60"/>
              <w:jc w:val="center"/>
              <w:rPr>
                <w:sz w:val="16"/>
                <w:szCs w:val="16"/>
              </w:rPr>
            </w:pPr>
            <w:r>
              <w:rPr>
                <w:sz w:val="16"/>
                <w:szCs w:val="16"/>
              </w:rPr>
              <w:t>5,06</w:t>
            </w:r>
          </w:p>
        </w:tc>
        <w:tc>
          <w:tcPr>
            <w:tcW w:w="1285" w:type="dxa"/>
          </w:tcPr>
          <w:p w14:paraId="6AD7E4F2" w14:textId="5728AC2E" w:rsidR="00E00B69" w:rsidRDefault="000F51CF" w:rsidP="002F305F">
            <w:pPr>
              <w:pStyle w:val="NoSpacing"/>
              <w:spacing w:before="60" w:after="60"/>
              <w:jc w:val="center"/>
              <w:rPr>
                <w:sz w:val="16"/>
                <w:szCs w:val="16"/>
              </w:rPr>
            </w:pPr>
            <w:r w:rsidRPr="000F51CF">
              <w:rPr>
                <w:sz w:val="16"/>
                <w:szCs w:val="16"/>
              </w:rPr>
              <w:t>315 166,95</w:t>
            </w:r>
          </w:p>
        </w:tc>
      </w:tr>
      <w:tr w:rsidR="00E00B69" w:rsidRPr="00D231C5" w14:paraId="13D159B6" w14:textId="77777777" w:rsidTr="009757D4">
        <w:tc>
          <w:tcPr>
            <w:tcW w:w="988" w:type="dxa"/>
            <w:vAlign w:val="center"/>
          </w:tcPr>
          <w:p w14:paraId="314FDEB0" w14:textId="05B32F50" w:rsidR="00E00B69" w:rsidRDefault="00E00B69" w:rsidP="002F305F">
            <w:pPr>
              <w:pStyle w:val="NoSpacing"/>
              <w:spacing w:before="60" w:after="60"/>
              <w:jc w:val="left"/>
              <w:rPr>
                <w:sz w:val="16"/>
                <w:szCs w:val="16"/>
                <w:lang w:val="en-GB"/>
              </w:rPr>
            </w:pPr>
            <w:r>
              <w:rPr>
                <w:sz w:val="16"/>
                <w:szCs w:val="16"/>
                <w:lang w:val="en-GB"/>
              </w:rPr>
              <w:t>Jun-2015</w:t>
            </w:r>
          </w:p>
        </w:tc>
        <w:tc>
          <w:tcPr>
            <w:tcW w:w="692" w:type="dxa"/>
            <w:vAlign w:val="center"/>
          </w:tcPr>
          <w:p w14:paraId="601ED450" w14:textId="5F532CD6" w:rsidR="00E00B69" w:rsidRDefault="00E00B69" w:rsidP="002F305F">
            <w:pPr>
              <w:pStyle w:val="NoSpacing"/>
              <w:spacing w:before="60" w:after="60"/>
              <w:jc w:val="center"/>
              <w:rPr>
                <w:sz w:val="16"/>
                <w:szCs w:val="16"/>
              </w:rPr>
            </w:pPr>
            <w:r>
              <w:rPr>
                <w:sz w:val="16"/>
                <w:szCs w:val="16"/>
              </w:rPr>
              <w:t>135</w:t>
            </w:r>
          </w:p>
        </w:tc>
        <w:tc>
          <w:tcPr>
            <w:tcW w:w="851" w:type="dxa"/>
            <w:vAlign w:val="center"/>
          </w:tcPr>
          <w:p w14:paraId="19C3DAC1" w14:textId="71219B0E" w:rsidR="00E00B69" w:rsidRPr="006A4ABC" w:rsidRDefault="00E00B69" w:rsidP="002F305F">
            <w:pPr>
              <w:pStyle w:val="NoSpacing"/>
              <w:spacing w:before="60" w:after="60"/>
              <w:jc w:val="center"/>
              <w:rPr>
                <w:sz w:val="16"/>
                <w:szCs w:val="16"/>
              </w:rPr>
            </w:pPr>
            <w:r>
              <w:rPr>
                <w:sz w:val="16"/>
                <w:szCs w:val="16"/>
              </w:rPr>
              <w:t>16,71</w:t>
            </w:r>
          </w:p>
        </w:tc>
        <w:tc>
          <w:tcPr>
            <w:tcW w:w="867" w:type="dxa"/>
          </w:tcPr>
          <w:p w14:paraId="09ABE1DA" w14:textId="3348288F" w:rsidR="00E00B69" w:rsidRDefault="009757D4" w:rsidP="002F305F">
            <w:pPr>
              <w:pStyle w:val="NoSpacing"/>
              <w:spacing w:before="60" w:after="60"/>
              <w:jc w:val="center"/>
              <w:rPr>
                <w:sz w:val="16"/>
                <w:szCs w:val="16"/>
              </w:rPr>
            </w:pPr>
            <w:r>
              <w:rPr>
                <w:sz w:val="16"/>
                <w:szCs w:val="16"/>
              </w:rPr>
              <w:t>15,54</w:t>
            </w:r>
          </w:p>
        </w:tc>
        <w:tc>
          <w:tcPr>
            <w:tcW w:w="1285" w:type="dxa"/>
          </w:tcPr>
          <w:p w14:paraId="22042377" w14:textId="5CABC832" w:rsidR="00E00B69" w:rsidRDefault="000F51CF" w:rsidP="002F305F">
            <w:pPr>
              <w:pStyle w:val="NoSpacing"/>
              <w:spacing w:before="60" w:after="60"/>
              <w:jc w:val="center"/>
              <w:rPr>
                <w:sz w:val="16"/>
                <w:szCs w:val="16"/>
              </w:rPr>
            </w:pPr>
            <w:r w:rsidRPr="000F51CF">
              <w:rPr>
                <w:sz w:val="16"/>
                <w:szCs w:val="16"/>
              </w:rPr>
              <w:t>114 080,40</w:t>
            </w:r>
          </w:p>
        </w:tc>
      </w:tr>
      <w:tr w:rsidR="00E00B69" w:rsidRPr="00D231C5" w14:paraId="65B5CD86" w14:textId="77777777" w:rsidTr="009757D4">
        <w:tc>
          <w:tcPr>
            <w:tcW w:w="988" w:type="dxa"/>
            <w:vAlign w:val="center"/>
          </w:tcPr>
          <w:p w14:paraId="37753069" w14:textId="462AD00D" w:rsidR="00E00B69" w:rsidRDefault="00E00B69" w:rsidP="002F305F">
            <w:pPr>
              <w:pStyle w:val="NoSpacing"/>
              <w:spacing w:before="60" w:after="60"/>
              <w:jc w:val="left"/>
              <w:rPr>
                <w:sz w:val="16"/>
                <w:szCs w:val="16"/>
                <w:lang w:val="en-GB"/>
              </w:rPr>
            </w:pPr>
            <w:r>
              <w:rPr>
                <w:sz w:val="16"/>
                <w:szCs w:val="16"/>
                <w:lang w:val="en-GB"/>
              </w:rPr>
              <w:t>Jul-2015</w:t>
            </w:r>
          </w:p>
        </w:tc>
        <w:tc>
          <w:tcPr>
            <w:tcW w:w="692" w:type="dxa"/>
            <w:vAlign w:val="center"/>
          </w:tcPr>
          <w:p w14:paraId="25CEF6C6" w14:textId="14EBF00D" w:rsidR="00E00B69" w:rsidRDefault="00E00B69" w:rsidP="002F305F">
            <w:pPr>
              <w:pStyle w:val="NoSpacing"/>
              <w:spacing w:before="60" w:after="60"/>
              <w:jc w:val="center"/>
              <w:rPr>
                <w:sz w:val="16"/>
                <w:szCs w:val="16"/>
              </w:rPr>
            </w:pPr>
            <w:r>
              <w:rPr>
                <w:sz w:val="16"/>
                <w:szCs w:val="16"/>
              </w:rPr>
              <w:t>50</w:t>
            </w:r>
          </w:p>
        </w:tc>
        <w:tc>
          <w:tcPr>
            <w:tcW w:w="851" w:type="dxa"/>
            <w:vAlign w:val="center"/>
          </w:tcPr>
          <w:p w14:paraId="0FDDE07A" w14:textId="314649F2" w:rsidR="00E00B69" w:rsidRPr="006A4ABC" w:rsidRDefault="00E00B69" w:rsidP="002F305F">
            <w:pPr>
              <w:pStyle w:val="NoSpacing"/>
              <w:spacing w:before="60" w:after="60"/>
              <w:jc w:val="center"/>
              <w:rPr>
                <w:sz w:val="16"/>
                <w:szCs w:val="16"/>
              </w:rPr>
            </w:pPr>
            <w:r>
              <w:rPr>
                <w:sz w:val="16"/>
                <w:szCs w:val="16"/>
              </w:rPr>
              <w:t>13,54</w:t>
            </w:r>
          </w:p>
        </w:tc>
        <w:tc>
          <w:tcPr>
            <w:tcW w:w="867" w:type="dxa"/>
          </w:tcPr>
          <w:p w14:paraId="4DF953EE" w14:textId="7248D747" w:rsidR="00E00B69" w:rsidRDefault="009757D4" w:rsidP="002F305F">
            <w:pPr>
              <w:pStyle w:val="NoSpacing"/>
              <w:spacing w:before="60" w:after="60"/>
              <w:jc w:val="center"/>
              <w:rPr>
                <w:sz w:val="16"/>
                <w:szCs w:val="16"/>
              </w:rPr>
            </w:pPr>
            <w:r>
              <w:rPr>
                <w:sz w:val="16"/>
                <w:szCs w:val="16"/>
              </w:rPr>
              <w:t>16,20</w:t>
            </w:r>
          </w:p>
        </w:tc>
        <w:tc>
          <w:tcPr>
            <w:tcW w:w="1285" w:type="dxa"/>
          </w:tcPr>
          <w:p w14:paraId="7115A05C" w14:textId="0B157457" w:rsidR="00E00B69" w:rsidRDefault="000F51CF" w:rsidP="002F305F">
            <w:pPr>
              <w:pStyle w:val="NoSpacing"/>
              <w:spacing w:before="60" w:after="60"/>
              <w:jc w:val="center"/>
              <w:rPr>
                <w:sz w:val="16"/>
                <w:szCs w:val="16"/>
              </w:rPr>
            </w:pPr>
            <w:r w:rsidRPr="000F51CF">
              <w:rPr>
                <w:sz w:val="16"/>
                <w:szCs w:val="16"/>
              </w:rPr>
              <w:t>-99 013,50</w:t>
            </w:r>
          </w:p>
        </w:tc>
      </w:tr>
      <w:tr w:rsidR="00E00B69" w:rsidRPr="00D231C5" w14:paraId="0DC09872" w14:textId="77777777" w:rsidTr="009757D4">
        <w:tc>
          <w:tcPr>
            <w:tcW w:w="988" w:type="dxa"/>
            <w:vAlign w:val="center"/>
          </w:tcPr>
          <w:p w14:paraId="7D235EF2" w14:textId="737C6134" w:rsidR="00E00B69" w:rsidRDefault="00E00B69" w:rsidP="002F305F">
            <w:pPr>
              <w:pStyle w:val="NoSpacing"/>
              <w:spacing w:before="60" w:after="60"/>
              <w:jc w:val="left"/>
              <w:rPr>
                <w:sz w:val="16"/>
                <w:szCs w:val="16"/>
                <w:lang w:val="en-GB"/>
              </w:rPr>
            </w:pPr>
            <w:r>
              <w:rPr>
                <w:sz w:val="16"/>
                <w:szCs w:val="16"/>
                <w:lang w:val="en-GB"/>
              </w:rPr>
              <w:lastRenderedPageBreak/>
              <w:t>Aug-2015</w:t>
            </w:r>
          </w:p>
        </w:tc>
        <w:tc>
          <w:tcPr>
            <w:tcW w:w="692" w:type="dxa"/>
            <w:vAlign w:val="center"/>
          </w:tcPr>
          <w:p w14:paraId="50FE6984" w14:textId="3A64E230" w:rsidR="00E00B69" w:rsidRDefault="00E00B69" w:rsidP="002F305F">
            <w:pPr>
              <w:pStyle w:val="NoSpacing"/>
              <w:spacing w:before="60" w:after="60"/>
              <w:jc w:val="center"/>
              <w:rPr>
                <w:sz w:val="16"/>
                <w:szCs w:val="16"/>
              </w:rPr>
            </w:pPr>
            <w:r>
              <w:rPr>
                <w:sz w:val="16"/>
                <w:szCs w:val="16"/>
              </w:rPr>
              <w:t>50</w:t>
            </w:r>
          </w:p>
        </w:tc>
        <w:tc>
          <w:tcPr>
            <w:tcW w:w="851" w:type="dxa"/>
            <w:vAlign w:val="center"/>
          </w:tcPr>
          <w:p w14:paraId="4B22D3AE" w14:textId="708F8514" w:rsidR="00E00B69" w:rsidRPr="006A4ABC" w:rsidRDefault="00E00B69" w:rsidP="002F305F">
            <w:pPr>
              <w:pStyle w:val="NoSpacing"/>
              <w:spacing w:before="60" w:after="60"/>
              <w:jc w:val="center"/>
              <w:rPr>
                <w:sz w:val="16"/>
                <w:szCs w:val="16"/>
              </w:rPr>
            </w:pPr>
            <w:r>
              <w:rPr>
                <w:sz w:val="16"/>
                <w:szCs w:val="16"/>
              </w:rPr>
              <w:t>14,33</w:t>
            </w:r>
          </w:p>
        </w:tc>
        <w:tc>
          <w:tcPr>
            <w:tcW w:w="867" w:type="dxa"/>
          </w:tcPr>
          <w:p w14:paraId="121F952D" w14:textId="6F77BD1F" w:rsidR="00E00B69" w:rsidRDefault="009757D4" w:rsidP="002F305F">
            <w:pPr>
              <w:pStyle w:val="NoSpacing"/>
              <w:spacing w:before="60" w:after="60"/>
              <w:jc w:val="center"/>
              <w:rPr>
                <w:sz w:val="16"/>
                <w:szCs w:val="16"/>
              </w:rPr>
            </w:pPr>
            <w:r>
              <w:rPr>
                <w:sz w:val="16"/>
                <w:szCs w:val="16"/>
              </w:rPr>
              <w:t>15,20</w:t>
            </w:r>
          </w:p>
        </w:tc>
        <w:tc>
          <w:tcPr>
            <w:tcW w:w="1285" w:type="dxa"/>
          </w:tcPr>
          <w:p w14:paraId="60AAA674" w14:textId="561522B0" w:rsidR="00E00B69" w:rsidRDefault="000F51CF" w:rsidP="002F305F">
            <w:pPr>
              <w:pStyle w:val="NoSpacing"/>
              <w:spacing w:before="60" w:after="60"/>
              <w:jc w:val="center"/>
              <w:rPr>
                <w:sz w:val="16"/>
                <w:szCs w:val="16"/>
              </w:rPr>
            </w:pPr>
            <w:r w:rsidRPr="000F51CF">
              <w:rPr>
                <w:sz w:val="16"/>
                <w:szCs w:val="16"/>
              </w:rPr>
              <w:t>-32 511,00</w:t>
            </w:r>
          </w:p>
        </w:tc>
      </w:tr>
      <w:tr w:rsidR="00E00B69" w:rsidRPr="00D231C5" w14:paraId="61C0DA4D" w14:textId="77777777" w:rsidTr="009757D4">
        <w:tc>
          <w:tcPr>
            <w:tcW w:w="988" w:type="dxa"/>
            <w:vAlign w:val="center"/>
          </w:tcPr>
          <w:p w14:paraId="71C85B11" w14:textId="674D2F28" w:rsidR="00E00B69" w:rsidRDefault="00E00B69" w:rsidP="002F305F">
            <w:pPr>
              <w:pStyle w:val="NoSpacing"/>
              <w:spacing w:before="60" w:after="60"/>
              <w:jc w:val="left"/>
              <w:rPr>
                <w:sz w:val="16"/>
                <w:szCs w:val="16"/>
                <w:lang w:val="en-GB"/>
              </w:rPr>
            </w:pPr>
            <w:r>
              <w:rPr>
                <w:sz w:val="16"/>
                <w:szCs w:val="16"/>
                <w:lang w:val="en-GB"/>
              </w:rPr>
              <w:t>Sept-2015</w:t>
            </w:r>
          </w:p>
        </w:tc>
        <w:tc>
          <w:tcPr>
            <w:tcW w:w="692" w:type="dxa"/>
            <w:vAlign w:val="center"/>
          </w:tcPr>
          <w:p w14:paraId="2E5A8E4E" w14:textId="4B461F82" w:rsidR="00E00B69" w:rsidRDefault="00E00B69" w:rsidP="002F305F">
            <w:pPr>
              <w:pStyle w:val="NoSpacing"/>
              <w:spacing w:before="60" w:after="60"/>
              <w:jc w:val="center"/>
              <w:rPr>
                <w:sz w:val="16"/>
                <w:szCs w:val="16"/>
              </w:rPr>
            </w:pPr>
            <w:r>
              <w:rPr>
                <w:sz w:val="16"/>
                <w:szCs w:val="16"/>
              </w:rPr>
              <w:t>135</w:t>
            </w:r>
          </w:p>
        </w:tc>
        <w:tc>
          <w:tcPr>
            <w:tcW w:w="851" w:type="dxa"/>
            <w:vAlign w:val="center"/>
          </w:tcPr>
          <w:p w14:paraId="63121097" w14:textId="4CF14AFF" w:rsidR="00E00B69" w:rsidRPr="006A4ABC" w:rsidRDefault="00E00B69" w:rsidP="002F305F">
            <w:pPr>
              <w:pStyle w:val="NoSpacing"/>
              <w:spacing w:before="60" w:after="60"/>
              <w:jc w:val="center"/>
              <w:rPr>
                <w:sz w:val="16"/>
                <w:szCs w:val="16"/>
              </w:rPr>
            </w:pPr>
            <w:r>
              <w:rPr>
                <w:sz w:val="16"/>
                <w:szCs w:val="16"/>
              </w:rPr>
              <w:t>12,70</w:t>
            </w:r>
          </w:p>
        </w:tc>
        <w:tc>
          <w:tcPr>
            <w:tcW w:w="867" w:type="dxa"/>
          </w:tcPr>
          <w:p w14:paraId="47134AEB" w14:textId="5F9F31B1" w:rsidR="00E00B69" w:rsidRDefault="009757D4" w:rsidP="002F305F">
            <w:pPr>
              <w:pStyle w:val="NoSpacing"/>
              <w:spacing w:before="60" w:after="60"/>
              <w:jc w:val="center"/>
              <w:rPr>
                <w:sz w:val="16"/>
                <w:szCs w:val="16"/>
              </w:rPr>
            </w:pPr>
            <w:r>
              <w:rPr>
                <w:sz w:val="16"/>
                <w:szCs w:val="16"/>
              </w:rPr>
              <w:t>12,60</w:t>
            </w:r>
          </w:p>
        </w:tc>
        <w:tc>
          <w:tcPr>
            <w:tcW w:w="1285" w:type="dxa"/>
          </w:tcPr>
          <w:p w14:paraId="4A2DFFF3" w14:textId="1DDAD4C3" w:rsidR="00E00B69" w:rsidRDefault="000F51CF" w:rsidP="000F51CF">
            <w:pPr>
              <w:pStyle w:val="NoSpacing"/>
              <w:spacing w:before="60" w:after="60"/>
              <w:jc w:val="center"/>
              <w:rPr>
                <w:sz w:val="16"/>
                <w:szCs w:val="16"/>
              </w:rPr>
            </w:pPr>
            <w:r w:rsidRPr="000F51CF">
              <w:rPr>
                <w:sz w:val="16"/>
                <w:szCs w:val="16"/>
              </w:rPr>
              <w:t>9 540,45</w:t>
            </w:r>
          </w:p>
        </w:tc>
      </w:tr>
      <w:tr w:rsidR="00E00B69" w:rsidRPr="00D231C5" w14:paraId="01ED8396" w14:textId="77777777" w:rsidTr="009757D4">
        <w:tc>
          <w:tcPr>
            <w:tcW w:w="988" w:type="dxa"/>
            <w:vAlign w:val="center"/>
          </w:tcPr>
          <w:p w14:paraId="372B9FC4" w14:textId="1716F6FD" w:rsidR="00E00B69" w:rsidRDefault="00E00B69" w:rsidP="002F305F">
            <w:pPr>
              <w:pStyle w:val="NoSpacing"/>
              <w:spacing w:before="60" w:after="60"/>
              <w:jc w:val="left"/>
              <w:rPr>
                <w:sz w:val="16"/>
                <w:szCs w:val="16"/>
                <w:lang w:val="en-GB"/>
              </w:rPr>
            </w:pPr>
            <w:r>
              <w:rPr>
                <w:sz w:val="16"/>
                <w:szCs w:val="16"/>
                <w:lang w:val="en-GB"/>
              </w:rPr>
              <w:t>Oct-2015</w:t>
            </w:r>
          </w:p>
        </w:tc>
        <w:tc>
          <w:tcPr>
            <w:tcW w:w="692" w:type="dxa"/>
            <w:vAlign w:val="center"/>
          </w:tcPr>
          <w:p w14:paraId="1F9CE305" w14:textId="5C33906C" w:rsidR="00E00B69" w:rsidRDefault="00E00B69" w:rsidP="002F305F">
            <w:pPr>
              <w:pStyle w:val="NoSpacing"/>
              <w:spacing w:before="60" w:after="60"/>
              <w:jc w:val="center"/>
              <w:rPr>
                <w:sz w:val="16"/>
                <w:szCs w:val="16"/>
              </w:rPr>
            </w:pPr>
            <w:r>
              <w:rPr>
                <w:sz w:val="16"/>
                <w:szCs w:val="16"/>
              </w:rPr>
              <w:t>150</w:t>
            </w:r>
          </w:p>
        </w:tc>
        <w:tc>
          <w:tcPr>
            <w:tcW w:w="851" w:type="dxa"/>
            <w:vAlign w:val="center"/>
          </w:tcPr>
          <w:p w14:paraId="60BDEEDC" w14:textId="5FD706DB" w:rsidR="00E00B69" w:rsidRPr="006A4ABC" w:rsidRDefault="00E00B69" w:rsidP="002F305F">
            <w:pPr>
              <w:pStyle w:val="NoSpacing"/>
              <w:spacing w:before="60" w:after="60"/>
              <w:jc w:val="center"/>
              <w:rPr>
                <w:sz w:val="16"/>
                <w:szCs w:val="16"/>
              </w:rPr>
            </w:pPr>
            <w:r>
              <w:rPr>
                <w:sz w:val="16"/>
                <w:szCs w:val="16"/>
              </w:rPr>
              <w:t>6,58</w:t>
            </w:r>
          </w:p>
        </w:tc>
        <w:tc>
          <w:tcPr>
            <w:tcW w:w="867" w:type="dxa"/>
          </w:tcPr>
          <w:p w14:paraId="71816907" w14:textId="79422EA3" w:rsidR="00E00B69" w:rsidRDefault="009757D4" w:rsidP="002F305F">
            <w:pPr>
              <w:pStyle w:val="NoSpacing"/>
              <w:spacing w:before="60" w:after="60"/>
              <w:jc w:val="center"/>
              <w:rPr>
                <w:sz w:val="16"/>
                <w:szCs w:val="16"/>
              </w:rPr>
            </w:pPr>
            <w:r>
              <w:rPr>
                <w:sz w:val="16"/>
                <w:szCs w:val="16"/>
              </w:rPr>
              <w:t>21,47</w:t>
            </w:r>
          </w:p>
        </w:tc>
        <w:tc>
          <w:tcPr>
            <w:tcW w:w="1285" w:type="dxa"/>
          </w:tcPr>
          <w:p w14:paraId="0CA71C18" w14:textId="48BE1746" w:rsidR="00E00B69" w:rsidRDefault="000F51CF" w:rsidP="000F51CF">
            <w:pPr>
              <w:pStyle w:val="NoSpacing"/>
              <w:spacing w:before="60" w:after="60"/>
              <w:jc w:val="center"/>
              <w:rPr>
                <w:sz w:val="16"/>
                <w:szCs w:val="16"/>
              </w:rPr>
            </w:pPr>
            <w:r w:rsidRPr="000F51CF">
              <w:rPr>
                <w:sz w:val="16"/>
                <w:szCs w:val="16"/>
              </w:rPr>
              <w:t>-1 663 834,50</w:t>
            </w:r>
          </w:p>
        </w:tc>
      </w:tr>
      <w:tr w:rsidR="00E00B69" w:rsidRPr="00D231C5" w14:paraId="2B3D92EF" w14:textId="77777777" w:rsidTr="009757D4">
        <w:tc>
          <w:tcPr>
            <w:tcW w:w="988" w:type="dxa"/>
            <w:vAlign w:val="center"/>
          </w:tcPr>
          <w:p w14:paraId="207CAADC" w14:textId="7B040D29" w:rsidR="00E00B69" w:rsidRDefault="00E00B69" w:rsidP="009757D4">
            <w:pPr>
              <w:pStyle w:val="NoSpacing"/>
              <w:spacing w:before="60" w:after="60"/>
              <w:jc w:val="left"/>
              <w:rPr>
                <w:sz w:val="16"/>
                <w:szCs w:val="16"/>
                <w:lang w:val="en-GB"/>
              </w:rPr>
            </w:pPr>
            <w:r>
              <w:rPr>
                <w:sz w:val="16"/>
                <w:szCs w:val="16"/>
                <w:lang w:val="en-GB"/>
              </w:rPr>
              <w:t>No</w:t>
            </w:r>
            <w:r w:rsidR="009757D4">
              <w:rPr>
                <w:sz w:val="16"/>
                <w:szCs w:val="16"/>
                <w:lang w:val="en-GB"/>
              </w:rPr>
              <w:t>v</w:t>
            </w:r>
            <w:r>
              <w:rPr>
                <w:sz w:val="16"/>
                <w:szCs w:val="16"/>
                <w:lang w:val="en-GB"/>
              </w:rPr>
              <w:t>-2015</w:t>
            </w:r>
          </w:p>
        </w:tc>
        <w:tc>
          <w:tcPr>
            <w:tcW w:w="692" w:type="dxa"/>
            <w:vAlign w:val="center"/>
          </w:tcPr>
          <w:p w14:paraId="69B3759A" w14:textId="4138630A" w:rsidR="00E00B69" w:rsidRDefault="00E00B69" w:rsidP="002F305F">
            <w:pPr>
              <w:pStyle w:val="NoSpacing"/>
              <w:spacing w:before="60" w:after="60"/>
              <w:jc w:val="center"/>
              <w:rPr>
                <w:sz w:val="16"/>
                <w:szCs w:val="16"/>
              </w:rPr>
            </w:pPr>
            <w:r>
              <w:rPr>
                <w:sz w:val="16"/>
                <w:szCs w:val="16"/>
              </w:rPr>
              <w:t>150</w:t>
            </w:r>
          </w:p>
        </w:tc>
        <w:tc>
          <w:tcPr>
            <w:tcW w:w="851" w:type="dxa"/>
            <w:vAlign w:val="center"/>
          </w:tcPr>
          <w:p w14:paraId="24B37591" w14:textId="572EE0D0" w:rsidR="00E00B69" w:rsidRPr="006A4ABC" w:rsidRDefault="00E00B69" w:rsidP="002F305F">
            <w:pPr>
              <w:pStyle w:val="NoSpacing"/>
              <w:spacing w:before="60" w:after="60"/>
              <w:jc w:val="center"/>
              <w:rPr>
                <w:sz w:val="16"/>
                <w:szCs w:val="16"/>
              </w:rPr>
            </w:pPr>
            <w:r>
              <w:rPr>
                <w:sz w:val="16"/>
                <w:szCs w:val="16"/>
              </w:rPr>
              <w:t>6,10</w:t>
            </w:r>
          </w:p>
        </w:tc>
        <w:tc>
          <w:tcPr>
            <w:tcW w:w="867" w:type="dxa"/>
          </w:tcPr>
          <w:p w14:paraId="13B20AF4" w14:textId="6579D81A" w:rsidR="00E00B69" w:rsidRDefault="009757D4" w:rsidP="002F305F">
            <w:pPr>
              <w:pStyle w:val="NoSpacing"/>
              <w:spacing w:before="60" w:after="60"/>
              <w:jc w:val="center"/>
              <w:rPr>
                <w:sz w:val="16"/>
                <w:szCs w:val="16"/>
              </w:rPr>
            </w:pPr>
            <w:r>
              <w:rPr>
                <w:sz w:val="16"/>
                <w:szCs w:val="16"/>
              </w:rPr>
              <w:t>12,87</w:t>
            </w:r>
          </w:p>
        </w:tc>
        <w:tc>
          <w:tcPr>
            <w:tcW w:w="1285" w:type="dxa"/>
          </w:tcPr>
          <w:p w14:paraId="305AECDC" w14:textId="41FD49AB" w:rsidR="00E00B69" w:rsidRDefault="000F51CF" w:rsidP="000F51CF">
            <w:pPr>
              <w:pStyle w:val="NoSpacing"/>
              <w:spacing w:before="60" w:after="60"/>
              <w:jc w:val="center"/>
              <w:rPr>
                <w:sz w:val="16"/>
                <w:szCs w:val="16"/>
              </w:rPr>
            </w:pPr>
            <w:r w:rsidRPr="000F51CF">
              <w:rPr>
                <w:sz w:val="16"/>
                <w:szCs w:val="16"/>
              </w:rPr>
              <w:t>-731 629,50</w:t>
            </w:r>
          </w:p>
        </w:tc>
      </w:tr>
      <w:tr w:rsidR="00E00B69" w:rsidRPr="00D231C5" w14:paraId="74119005" w14:textId="77777777" w:rsidTr="009757D4">
        <w:tc>
          <w:tcPr>
            <w:tcW w:w="988" w:type="dxa"/>
            <w:vAlign w:val="center"/>
          </w:tcPr>
          <w:p w14:paraId="2583BB5B" w14:textId="1E1B9A85" w:rsidR="00E00B69" w:rsidRDefault="00E00B69" w:rsidP="002F305F">
            <w:pPr>
              <w:pStyle w:val="NoSpacing"/>
              <w:spacing w:before="60" w:after="60"/>
              <w:jc w:val="left"/>
              <w:rPr>
                <w:sz w:val="16"/>
                <w:szCs w:val="16"/>
                <w:lang w:val="en-GB"/>
              </w:rPr>
            </w:pPr>
            <w:r>
              <w:rPr>
                <w:sz w:val="16"/>
                <w:szCs w:val="16"/>
                <w:lang w:val="en-GB"/>
              </w:rPr>
              <w:t>Dec-2015</w:t>
            </w:r>
          </w:p>
        </w:tc>
        <w:tc>
          <w:tcPr>
            <w:tcW w:w="692" w:type="dxa"/>
            <w:vAlign w:val="center"/>
          </w:tcPr>
          <w:p w14:paraId="49B745D5" w14:textId="2B3C4E60" w:rsidR="00E00B69" w:rsidRDefault="00E00B69" w:rsidP="002F305F">
            <w:pPr>
              <w:pStyle w:val="NoSpacing"/>
              <w:spacing w:before="60" w:after="60"/>
              <w:jc w:val="center"/>
              <w:rPr>
                <w:sz w:val="16"/>
                <w:szCs w:val="16"/>
              </w:rPr>
            </w:pPr>
            <w:r>
              <w:rPr>
                <w:sz w:val="16"/>
                <w:szCs w:val="16"/>
              </w:rPr>
              <w:t>150</w:t>
            </w:r>
          </w:p>
        </w:tc>
        <w:tc>
          <w:tcPr>
            <w:tcW w:w="851" w:type="dxa"/>
            <w:vAlign w:val="center"/>
          </w:tcPr>
          <w:p w14:paraId="16FEE9ED" w14:textId="3C7382EC" w:rsidR="00E00B69" w:rsidRPr="006A4ABC" w:rsidRDefault="00E00B69" w:rsidP="002F305F">
            <w:pPr>
              <w:pStyle w:val="NoSpacing"/>
              <w:spacing w:before="60" w:after="60"/>
              <w:jc w:val="center"/>
              <w:rPr>
                <w:sz w:val="16"/>
                <w:szCs w:val="16"/>
              </w:rPr>
            </w:pPr>
            <w:r>
              <w:rPr>
                <w:sz w:val="16"/>
                <w:szCs w:val="16"/>
              </w:rPr>
              <w:t>2,83</w:t>
            </w:r>
          </w:p>
        </w:tc>
        <w:tc>
          <w:tcPr>
            <w:tcW w:w="867" w:type="dxa"/>
          </w:tcPr>
          <w:p w14:paraId="4C60F201" w14:textId="0E64412E" w:rsidR="00E00B69" w:rsidRDefault="009757D4" w:rsidP="002F305F">
            <w:pPr>
              <w:pStyle w:val="NoSpacing"/>
              <w:spacing w:before="60" w:after="60"/>
              <w:jc w:val="center"/>
              <w:rPr>
                <w:sz w:val="16"/>
                <w:szCs w:val="16"/>
              </w:rPr>
            </w:pPr>
            <w:r>
              <w:rPr>
                <w:sz w:val="16"/>
                <w:szCs w:val="16"/>
              </w:rPr>
              <w:t>11,62</w:t>
            </w:r>
          </w:p>
        </w:tc>
        <w:tc>
          <w:tcPr>
            <w:tcW w:w="1285" w:type="dxa"/>
          </w:tcPr>
          <w:p w14:paraId="3E30E016" w14:textId="693FE94F" w:rsidR="00E00B69" w:rsidRDefault="000F51CF" w:rsidP="002F305F">
            <w:pPr>
              <w:pStyle w:val="NoSpacing"/>
              <w:spacing w:before="60" w:after="60"/>
              <w:jc w:val="center"/>
              <w:rPr>
                <w:sz w:val="16"/>
                <w:szCs w:val="16"/>
              </w:rPr>
            </w:pPr>
            <w:r w:rsidRPr="000F51CF">
              <w:rPr>
                <w:sz w:val="16"/>
                <w:szCs w:val="16"/>
              </w:rPr>
              <w:t>-981 022,50</w:t>
            </w:r>
          </w:p>
        </w:tc>
      </w:tr>
    </w:tbl>
    <w:p w14:paraId="0861DCCB" w14:textId="52905615" w:rsidR="00B82C56" w:rsidRPr="009346D0" w:rsidRDefault="009346D0" w:rsidP="0022344D">
      <w:pPr>
        <w:rPr>
          <w:i/>
          <w:sz w:val="16"/>
        </w:rPr>
      </w:pPr>
      <w:r w:rsidRPr="009346D0">
        <w:rPr>
          <w:i/>
          <w:sz w:val="16"/>
        </w:rPr>
        <w:t>* Arvutuslik keskmine – PTR-L aasta ka kvartali toodete arvelduse aluseks on Nord Pool Eesti ja läti piirkondade kuine hinnaerinevus</w:t>
      </w:r>
    </w:p>
    <w:p w14:paraId="63063677" w14:textId="77777777" w:rsidR="009346D0" w:rsidRDefault="009346D0" w:rsidP="0022344D"/>
    <w:p w14:paraId="5FEFCCCA" w14:textId="2CFCAEC3" w:rsidR="00024469" w:rsidRDefault="000F51CF" w:rsidP="00340A89">
      <w:r w:rsidRPr="000F51CF">
        <w:t>Elering ja Augstsprieguma tīkls jätkavad vastavalt kokku lepitud uutele reeglitele limiteeritud PTR-ide oksjoneid ka 201</w:t>
      </w:r>
      <w:r>
        <w:t>6</w:t>
      </w:r>
      <w:r w:rsidRPr="000F51CF">
        <w:t>. aastal. Täiendav teave oksjoni tingimuste, kalendri ja registreerimisvormi kohta on kättesaadav Eleringi veebilehel</w:t>
      </w:r>
      <w:r>
        <w:t xml:space="preserve"> </w:t>
      </w:r>
      <w:hyperlink r:id="rId26" w:history="1">
        <w:r w:rsidRPr="00366DCE">
          <w:rPr>
            <w:rStyle w:val="Hyperlink"/>
          </w:rPr>
          <w:t>http://elering.ee/limiteeritud-ptr-ide-oksjon-2/</w:t>
        </w:r>
      </w:hyperlink>
      <w:r>
        <w:t>.</w:t>
      </w:r>
    </w:p>
    <w:p w14:paraId="2B0E8FA2" w14:textId="77777777" w:rsidR="006A4ABC" w:rsidRDefault="006A4ABC" w:rsidP="00340A89"/>
    <w:p w14:paraId="68A8F3C5" w14:textId="77777777" w:rsidR="006A4ABC" w:rsidRDefault="006A4ABC" w:rsidP="00340A89"/>
    <w:p w14:paraId="349CB611" w14:textId="77777777" w:rsidR="006A4ABC" w:rsidRDefault="006A4ABC" w:rsidP="00340A89"/>
    <w:p w14:paraId="1645795F" w14:textId="77777777" w:rsidR="005D3A6D" w:rsidRDefault="005D3A6D" w:rsidP="00340A89"/>
    <w:p w14:paraId="024DF4F4" w14:textId="77777777" w:rsidR="005D3A6D" w:rsidRDefault="005D3A6D" w:rsidP="00340A89"/>
    <w:p w14:paraId="77491AFB" w14:textId="0416D54D" w:rsidR="005D3A6D" w:rsidRPr="005D3A6D" w:rsidRDefault="005D3A6D" w:rsidP="005D3A6D">
      <w:pPr>
        <w:rPr>
          <w:rStyle w:val="SubtleEmphasis"/>
        </w:rPr>
      </w:pPr>
      <w:r w:rsidRPr="005D3A6D">
        <w:rPr>
          <w:rStyle w:val="SubtleEmphasis"/>
        </w:rPr>
        <w:t>Allikad</w:t>
      </w:r>
      <w:r>
        <w:rPr>
          <w:rStyle w:val="SubtleEmphasis"/>
        </w:rPr>
        <w:t>:</w:t>
      </w:r>
    </w:p>
    <w:p w14:paraId="3D5A95F1" w14:textId="4A9D0006" w:rsidR="005D3A6D" w:rsidRPr="005D3A6D" w:rsidRDefault="005D3A6D" w:rsidP="005D3A6D">
      <w:pPr>
        <w:rPr>
          <w:rStyle w:val="SubtleEmphasis"/>
        </w:rPr>
      </w:pPr>
      <w:r w:rsidRPr="005D3A6D">
        <w:rPr>
          <w:rStyle w:val="SubtleEmphasis"/>
        </w:rPr>
        <w:t>Nord Pool Spot, Elering, Augstsprieguma tīkls, Litgrid, Fingrid, European Energy Exchange, Nasdaq OMX</w:t>
      </w:r>
    </w:p>
    <w:p w14:paraId="7B01ACC2" w14:textId="77777777" w:rsidR="005D3A6D" w:rsidRDefault="005D3A6D" w:rsidP="005D3A6D">
      <w:pPr>
        <w:rPr>
          <w:rStyle w:val="SubtleEmphasis"/>
        </w:rPr>
      </w:pPr>
    </w:p>
    <w:p w14:paraId="3A4C0495" w14:textId="43790896" w:rsidR="005D3A6D" w:rsidRPr="005D3A6D" w:rsidRDefault="005D3A6D" w:rsidP="005D3A6D">
      <w:pPr>
        <w:rPr>
          <w:rStyle w:val="SubtleEmphasis"/>
        </w:rPr>
      </w:pPr>
      <w:r w:rsidRPr="005D3A6D">
        <w:rPr>
          <w:rStyle w:val="SubtleEmphasis"/>
        </w:rPr>
        <w:t>* Käesolevat raportit ja selle lisasid ei saa käsitleda juriidilise, finantsalase või muu nõuandena ega ettepanekuna osta või müüa elektrienergiat või finantsinstrumente. Elering ei vastuta kulude või kahjude eest, mis raportis ja selle lisades toodud informatsiooni kasutamisega seoses võivad tekkida.</w:t>
      </w:r>
    </w:p>
    <w:sectPr w:rsidR="005D3A6D" w:rsidRPr="005D3A6D" w:rsidSect="00586362">
      <w:headerReference w:type="even" r:id="rId27"/>
      <w:type w:val="continuous"/>
      <w:pgSz w:w="11906" w:h="16838" w:code="9"/>
      <w:pgMar w:top="1701" w:right="849" w:bottom="1418" w:left="1134" w:header="709" w:footer="67" w:gutter="0"/>
      <w:cols w:num="2"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0CE55" w14:textId="77777777" w:rsidR="00EB27C6" w:rsidRDefault="00EB27C6" w:rsidP="0022344D">
      <w:r>
        <w:separator/>
      </w:r>
    </w:p>
    <w:p w14:paraId="1A1867A0" w14:textId="77777777" w:rsidR="00EB27C6" w:rsidRDefault="00EB27C6" w:rsidP="0022344D"/>
    <w:p w14:paraId="354C2950" w14:textId="77777777" w:rsidR="00EB27C6" w:rsidRDefault="00EB27C6" w:rsidP="0022344D"/>
    <w:p w14:paraId="45D9A0C7" w14:textId="77777777" w:rsidR="00EB27C6" w:rsidRDefault="00EB27C6" w:rsidP="0022344D"/>
    <w:p w14:paraId="48F9CD68" w14:textId="77777777" w:rsidR="00EB27C6" w:rsidRDefault="00EB27C6" w:rsidP="0022344D"/>
    <w:p w14:paraId="3249E3D3" w14:textId="77777777" w:rsidR="00EB27C6" w:rsidRDefault="00EB27C6" w:rsidP="0022344D"/>
    <w:p w14:paraId="57B5F5B6" w14:textId="77777777" w:rsidR="00EB27C6" w:rsidRDefault="00EB27C6" w:rsidP="0022344D"/>
    <w:p w14:paraId="7AA01BB5" w14:textId="77777777" w:rsidR="00EB27C6" w:rsidRDefault="00EB27C6" w:rsidP="0022344D"/>
    <w:p w14:paraId="6B53F1BA" w14:textId="77777777" w:rsidR="00EB27C6" w:rsidRDefault="00EB27C6" w:rsidP="0022344D"/>
    <w:p w14:paraId="0E6D59E5" w14:textId="77777777" w:rsidR="00EB27C6" w:rsidRDefault="00EB27C6" w:rsidP="0022344D"/>
    <w:p w14:paraId="141E5A45" w14:textId="77777777" w:rsidR="00EB27C6" w:rsidRDefault="00EB27C6" w:rsidP="0022344D"/>
    <w:p w14:paraId="6B79C5C2" w14:textId="77777777" w:rsidR="00EB27C6" w:rsidRDefault="00EB27C6" w:rsidP="0022344D"/>
    <w:p w14:paraId="39A48243" w14:textId="77777777" w:rsidR="00EB27C6" w:rsidRDefault="00EB27C6" w:rsidP="0022344D"/>
    <w:p w14:paraId="772615A2" w14:textId="77777777" w:rsidR="00EB27C6" w:rsidRDefault="00EB27C6" w:rsidP="0022344D"/>
    <w:p w14:paraId="0B18EB21" w14:textId="77777777" w:rsidR="00EB27C6" w:rsidRDefault="00EB27C6" w:rsidP="0022344D"/>
    <w:p w14:paraId="56010D74" w14:textId="77777777" w:rsidR="00EB27C6" w:rsidRDefault="00EB27C6" w:rsidP="0022344D"/>
    <w:p w14:paraId="016E0B63" w14:textId="77777777" w:rsidR="00EB27C6" w:rsidRDefault="00EB27C6" w:rsidP="0022344D"/>
    <w:p w14:paraId="75B78C2F" w14:textId="77777777" w:rsidR="00EB27C6" w:rsidRDefault="00EB27C6" w:rsidP="0022344D"/>
    <w:p w14:paraId="1D89E243" w14:textId="77777777" w:rsidR="00EB27C6" w:rsidRDefault="00EB27C6" w:rsidP="0022344D"/>
    <w:p w14:paraId="4DB9D4AB" w14:textId="77777777" w:rsidR="00EB27C6" w:rsidRDefault="00EB27C6" w:rsidP="0022344D"/>
    <w:p w14:paraId="6D208407" w14:textId="77777777" w:rsidR="00EB27C6" w:rsidRDefault="00EB27C6" w:rsidP="0022344D"/>
    <w:p w14:paraId="1375ED91" w14:textId="77777777" w:rsidR="00EB27C6" w:rsidRDefault="00EB27C6" w:rsidP="0022344D"/>
    <w:p w14:paraId="2E27923E" w14:textId="77777777" w:rsidR="00EB27C6" w:rsidRDefault="00EB27C6" w:rsidP="0022344D"/>
    <w:p w14:paraId="3F2221B3" w14:textId="77777777" w:rsidR="00EB27C6" w:rsidRDefault="00EB27C6" w:rsidP="0022344D"/>
    <w:p w14:paraId="1B73AD51" w14:textId="77777777" w:rsidR="00EB27C6" w:rsidRDefault="00EB27C6" w:rsidP="0022344D"/>
    <w:p w14:paraId="3FCCB55F" w14:textId="77777777" w:rsidR="00EB27C6" w:rsidRDefault="00EB27C6" w:rsidP="0022344D"/>
    <w:p w14:paraId="2B56D927" w14:textId="77777777" w:rsidR="00EB27C6" w:rsidRDefault="00EB27C6" w:rsidP="0022344D"/>
    <w:p w14:paraId="3DD56644" w14:textId="77777777" w:rsidR="00EB27C6" w:rsidRDefault="00EB27C6" w:rsidP="0022344D"/>
    <w:p w14:paraId="3EC101EA" w14:textId="77777777" w:rsidR="00EB27C6" w:rsidRDefault="00EB27C6" w:rsidP="0022344D"/>
    <w:p w14:paraId="0D73453A" w14:textId="77777777" w:rsidR="00EB27C6" w:rsidRDefault="00EB27C6" w:rsidP="0022344D"/>
    <w:p w14:paraId="1A338608" w14:textId="77777777" w:rsidR="00EB27C6" w:rsidRDefault="00EB27C6" w:rsidP="0022344D"/>
    <w:p w14:paraId="45A9B114" w14:textId="77777777" w:rsidR="00EB27C6" w:rsidRDefault="00EB27C6" w:rsidP="0022344D"/>
    <w:p w14:paraId="19FB33BF" w14:textId="77777777" w:rsidR="00EB27C6" w:rsidRDefault="00EB27C6" w:rsidP="0022344D"/>
    <w:p w14:paraId="54FCD3F1" w14:textId="77777777" w:rsidR="00EB27C6" w:rsidRDefault="00EB27C6" w:rsidP="0022344D"/>
    <w:p w14:paraId="025BAF2E" w14:textId="77777777" w:rsidR="00EB27C6" w:rsidRDefault="00EB27C6" w:rsidP="0022344D"/>
    <w:p w14:paraId="125C1709" w14:textId="77777777" w:rsidR="00EB27C6" w:rsidRDefault="00EB27C6" w:rsidP="0022344D"/>
    <w:p w14:paraId="71EC64E6" w14:textId="77777777" w:rsidR="00EB27C6" w:rsidRDefault="00EB27C6" w:rsidP="0022344D"/>
    <w:p w14:paraId="14E7B7FB" w14:textId="77777777" w:rsidR="00EB27C6" w:rsidRDefault="00EB27C6" w:rsidP="0022344D"/>
    <w:p w14:paraId="1889C55E" w14:textId="77777777" w:rsidR="00EB27C6" w:rsidRDefault="00EB27C6" w:rsidP="0022344D"/>
    <w:p w14:paraId="78656EED" w14:textId="77777777" w:rsidR="00EB27C6" w:rsidRDefault="00EB27C6" w:rsidP="0022344D"/>
    <w:p w14:paraId="665D7ABF" w14:textId="77777777" w:rsidR="00EB27C6" w:rsidRDefault="00EB27C6" w:rsidP="0022344D"/>
    <w:p w14:paraId="2B3AECF2" w14:textId="77777777" w:rsidR="00EB27C6" w:rsidRDefault="00EB27C6" w:rsidP="0022344D"/>
    <w:p w14:paraId="0EA0C78D" w14:textId="77777777" w:rsidR="00EB27C6" w:rsidRDefault="00EB27C6" w:rsidP="0022344D"/>
    <w:p w14:paraId="49141236" w14:textId="77777777" w:rsidR="00EB27C6" w:rsidRDefault="00EB27C6" w:rsidP="0022344D"/>
    <w:p w14:paraId="220B7EFB" w14:textId="77777777" w:rsidR="00EB27C6" w:rsidRDefault="00EB27C6" w:rsidP="0022344D"/>
    <w:p w14:paraId="2E132319" w14:textId="77777777" w:rsidR="00EB27C6" w:rsidRDefault="00EB27C6" w:rsidP="0022344D"/>
    <w:p w14:paraId="2F364D9A" w14:textId="77777777" w:rsidR="00EB27C6" w:rsidRDefault="00EB27C6" w:rsidP="0022344D"/>
    <w:p w14:paraId="514BC66A" w14:textId="77777777" w:rsidR="00EB27C6" w:rsidRDefault="00EB27C6" w:rsidP="0022344D"/>
    <w:p w14:paraId="6307B68F" w14:textId="77777777" w:rsidR="00EB27C6" w:rsidRDefault="00EB27C6" w:rsidP="0022344D"/>
    <w:p w14:paraId="39F374ED" w14:textId="77777777" w:rsidR="00EB27C6" w:rsidRDefault="00EB27C6" w:rsidP="0022344D"/>
    <w:p w14:paraId="4BD96DEE" w14:textId="77777777" w:rsidR="00EB27C6" w:rsidRDefault="00EB27C6" w:rsidP="0022344D"/>
    <w:p w14:paraId="6F5B2863" w14:textId="77777777" w:rsidR="00EB27C6" w:rsidRDefault="00EB27C6" w:rsidP="0022344D"/>
    <w:p w14:paraId="17295182" w14:textId="77777777" w:rsidR="00EB27C6" w:rsidRDefault="00EB27C6" w:rsidP="0022344D"/>
    <w:p w14:paraId="27289F27" w14:textId="77777777" w:rsidR="00EB27C6" w:rsidRDefault="00EB27C6" w:rsidP="0022344D"/>
    <w:p w14:paraId="5C6E541D" w14:textId="77777777" w:rsidR="00EB27C6" w:rsidRDefault="00EB27C6" w:rsidP="0022344D"/>
    <w:p w14:paraId="0F9DB82D" w14:textId="77777777" w:rsidR="00EB27C6" w:rsidRDefault="00EB27C6" w:rsidP="0022344D"/>
    <w:p w14:paraId="30AF4F72" w14:textId="77777777" w:rsidR="00EB27C6" w:rsidRDefault="00EB27C6" w:rsidP="0022344D"/>
    <w:p w14:paraId="50878BA0" w14:textId="77777777" w:rsidR="00EB27C6" w:rsidRDefault="00EB27C6" w:rsidP="0022344D"/>
    <w:p w14:paraId="7B045057" w14:textId="77777777" w:rsidR="00EB27C6" w:rsidRDefault="00EB27C6" w:rsidP="0022344D"/>
    <w:p w14:paraId="6F8B03ED" w14:textId="77777777" w:rsidR="00EB27C6" w:rsidRDefault="00EB27C6" w:rsidP="0022344D"/>
    <w:p w14:paraId="432291B6" w14:textId="77777777" w:rsidR="00EB27C6" w:rsidRDefault="00EB27C6" w:rsidP="0022344D"/>
    <w:p w14:paraId="203CBB47" w14:textId="77777777" w:rsidR="00EB27C6" w:rsidRDefault="00EB27C6" w:rsidP="0022344D"/>
    <w:p w14:paraId="54E94332" w14:textId="77777777" w:rsidR="00EB27C6" w:rsidRDefault="00EB27C6" w:rsidP="0022344D"/>
    <w:p w14:paraId="13C3BC0B" w14:textId="77777777" w:rsidR="00EB27C6" w:rsidRDefault="00EB27C6" w:rsidP="0022344D"/>
    <w:p w14:paraId="5711B488" w14:textId="77777777" w:rsidR="00EB27C6" w:rsidRDefault="00EB27C6" w:rsidP="0022344D"/>
    <w:p w14:paraId="5D47AAA2" w14:textId="77777777" w:rsidR="00EB27C6" w:rsidRDefault="00EB27C6" w:rsidP="0022344D"/>
    <w:p w14:paraId="2169F1E7" w14:textId="77777777" w:rsidR="00EB27C6" w:rsidRDefault="00EB27C6" w:rsidP="0022344D"/>
    <w:p w14:paraId="7871F7B7" w14:textId="77777777" w:rsidR="00EB27C6" w:rsidRDefault="00EB27C6" w:rsidP="0022344D"/>
    <w:p w14:paraId="47392EA7" w14:textId="77777777" w:rsidR="00EB27C6" w:rsidRDefault="00EB27C6" w:rsidP="0022344D"/>
    <w:p w14:paraId="77BF8A37" w14:textId="77777777" w:rsidR="00EB27C6" w:rsidRDefault="00EB27C6" w:rsidP="0022344D"/>
    <w:p w14:paraId="0A26601D" w14:textId="77777777" w:rsidR="00EB27C6" w:rsidRDefault="00EB27C6" w:rsidP="0022344D"/>
    <w:p w14:paraId="7D41DCDF" w14:textId="77777777" w:rsidR="00EB27C6" w:rsidRDefault="00EB27C6" w:rsidP="0022344D"/>
    <w:p w14:paraId="62C35AE2" w14:textId="77777777" w:rsidR="00EB27C6" w:rsidRDefault="00EB27C6" w:rsidP="0022344D"/>
    <w:p w14:paraId="7B828450" w14:textId="77777777" w:rsidR="00EB27C6" w:rsidRDefault="00EB27C6" w:rsidP="0022344D"/>
    <w:p w14:paraId="591AE6B3" w14:textId="77777777" w:rsidR="00EB27C6" w:rsidRDefault="00EB27C6"/>
    <w:p w14:paraId="7811419B" w14:textId="77777777" w:rsidR="00EB27C6" w:rsidRDefault="00EB27C6"/>
    <w:p w14:paraId="490EDCAE" w14:textId="77777777" w:rsidR="00EB27C6" w:rsidRDefault="00EB27C6"/>
    <w:p w14:paraId="5A34E556" w14:textId="77777777" w:rsidR="00EB27C6" w:rsidRDefault="00EB27C6" w:rsidP="009346D0"/>
  </w:endnote>
  <w:endnote w:type="continuationSeparator" w:id="0">
    <w:p w14:paraId="04606727" w14:textId="77777777" w:rsidR="00EB27C6" w:rsidRDefault="00EB27C6" w:rsidP="0022344D">
      <w:r>
        <w:continuationSeparator/>
      </w:r>
    </w:p>
    <w:p w14:paraId="0162021D" w14:textId="77777777" w:rsidR="00EB27C6" w:rsidRDefault="00EB27C6" w:rsidP="0022344D"/>
    <w:p w14:paraId="27F7B5D4" w14:textId="77777777" w:rsidR="00EB27C6" w:rsidRDefault="00EB27C6" w:rsidP="0022344D"/>
    <w:p w14:paraId="65074EB2" w14:textId="77777777" w:rsidR="00EB27C6" w:rsidRDefault="00EB27C6" w:rsidP="0022344D"/>
    <w:p w14:paraId="6462EF58" w14:textId="77777777" w:rsidR="00EB27C6" w:rsidRDefault="00EB27C6" w:rsidP="0022344D"/>
    <w:p w14:paraId="4285020C" w14:textId="77777777" w:rsidR="00EB27C6" w:rsidRDefault="00EB27C6" w:rsidP="0022344D"/>
    <w:p w14:paraId="03AC629A" w14:textId="77777777" w:rsidR="00EB27C6" w:rsidRDefault="00EB27C6" w:rsidP="0022344D"/>
    <w:p w14:paraId="074F5211" w14:textId="77777777" w:rsidR="00EB27C6" w:rsidRDefault="00EB27C6" w:rsidP="0022344D"/>
    <w:p w14:paraId="090BF86C" w14:textId="77777777" w:rsidR="00EB27C6" w:rsidRDefault="00EB27C6" w:rsidP="0022344D"/>
    <w:p w14:paraId="2B45FB16" w14:textId="77777777" w:rsidR="00EB27C6" w:rsidRDefault="00EB27C6" w:rsidP="0022344D"/>
    <w:p w14:paraId="36BE4925" w14:textId="77777777" w:rsidR="00EB27C6" w:rsidRDefault="00EB27C6" w:rsidP="0022344D"/>
    <w:p w14:paraId="3D08D53A" w14:textId="77777777" w:rsidR="00EB27C6" w:rsidRDefault="00EB27C6" w:rsidP="0022344D"/>
    <w:p w14:paraId="16E8E22C" w14:textId="77777777" w:rsidR="00EB27C6" w:rsidRDefault="00EB27C6" w:rsidP="0022344D"/>
    <w:p w14:paraId="7F396C20" w14:textId="77777777" w:rsidR="00EB27C6" w:rsidRDefault="00EB27C6" w:rsidP="0022344D"/>
    <w:p w14:paraId="58F60607" w14:textId="77777777" w:rsidR="00EB27C6" w:rsidRDefault="00EB27C6" w:rsidP="0022344D"/>
    <w:p w14:paraId="715224DD" w14:textId="77777777" w:rsidR="00EB27C6" w:rsidRDefault="00EB27C6" w:rsidP="0022344D"/>
    <w:p w14:paraId="775D28D2" w14:textId="77777777" w:rsidR="00EB27C6" w:rsidRDefault="00EB27C6" w:rsidP="0022344D"/>
    <w:p w14:paraId="4BF3E7C4" w14:textId="77777777" w:rsidR="00EB27C6" w:rsidRDefault="00EB27C6" w:rsidP="0022344D"/>
    <w:p w14:paraId="670F1E32" w14:textId="77777777" w:rsidR="00EB27C6" w:rsidRDefault="00EB27C6" w:rsidP="0022344D"/>
    <w:p w14:paraId="4A0655C1" w14:textId="77777777" w:rsidR="00EB27C6" w:rsidRDefault="00EB27C6" w:rsidP="0022344D"/>
    <w:p w14:paraId="7014B509" w14:textId="77777777" w:rsidR="00EB27C6" w:rsidRDefault="00EB27C6" w:rsidP="0022344D"/>
    <w:p w14:paraId="657217FF" w14:textId="77777777" w:rsidR="00EB27C6" w:rsidRDefault="00EB27C6" w:rsidP="0022344D"/>
    <w:p w14:paraId="650F89E5" w14:textId="77777777" w:rsidR="00EB27C6" w:rsidRDefault="00EB27C6" w:rsidP="0022344D"/>
    <w:p w14:paraId="202A047D" w14:textId="77777777" w:rsidR="00EB27C6" w:rsidRDefault="00EB27C6" w:rsidP="0022344D"/>
    <w:p w14:paraId="06FAF147" w14:textId="77777777" w:rsidR="00EB27C6" w:rsidRDefault="00EB27C6" w:rsidP="0022344D"/>
    <w:p w14:paraId="6406D74E" w14:textId="77777777" w:rsidR="00EB27C6" w:rsidRDefault="00EB27C6" w:rsidP="0022344D"/>
    <w:p w14:paraId="757EB31C" w14:textId="77777777" w:rsidR="00EB27C6" w:rsidRDefault="00EB27C6" w:rsidP="0022344D"/>
    <w:p w14:paraId="18AA28F8" w14:textId="77777777" w:rsidR="00EB27C6" w:rsidRDefault="00EB27C6" w:rsidP="0022344D"/>
    <w:p w14:paraId="52F265DE" w14:textId="77777777" w:rsidR="00EB27C6" w:rsidRDefault="00EB27C6" w:rsidP="0022344D"/>
    <w:p w14:paraId="383AE332" w14:textId="77777777" w:rsidR="00EB27C6" w:rsidRDefault="00EB27C6" w:rsidP="0022344D"/>
    <w:p w14:paraId="462ABE12" w14:textId="77777777" w:rsidR="00EB27C6" w:rsidRDefault="00EB27C6" w:rsidP="0022344D"/>
    <w:p w14:paraId="70CA8843" w14:textId="77777777" w:rsidR="00EB27C6" w:rsidRDefault="00EB27C6" w:rsidP="0022344D"/>
    <w:p w14:paraId="24DA565F" w14:textId="77777777" w:rsidR="00EB27C6" w:rsidRDefault="00EB27C6" w:rsidP="0022344D"/>
    <w:p w14:paraId="673040DE" w14:textId="77777777" w:rsidR="00EB27C6" w:rsidRDefault="00EB27C6" w:rsidP="0022344D"/>
    <w:p w14:paraId="413573FE" w14:textId="77777777" w:rsidR="00EB27C6" w:rsidRDefault="00EB27C6" w:rsidP="0022344D"/>
    <w:p w14:paraId="3AAFADF7" w14:textId="77777777" w:rsidR="00EB27C6" w:rsidRDefault="00EB27C6" w:rsidP="0022344D"/>
    <w:p w14:paraId="00B1BCA5" w14:textId="77777777" w:rsidR="00EB27C6" w:rsidRDefault="00EB27C6" w:rsidP="0022344D"/>
    <w:p w14:paraId="3D9EA63C" w14:textId="77777777" w:rsidR="00EB27C6" w:rsidRDefault="00EB27C6" w:rsidP="0022344D"/>
    <w:p w14:paraId="0A5C30A8" w14:textId="77777777" w:rsidR="00EB27C6" w:rsidRDefault="00EB27C6" w:rsidP="0022344D"/>
    <w:p w14:paraId="0DC34858" w14:textId="77777777" w:rsidR="00EB27C6" w:rsidRDefault="00EB27C6" w:rsidP="0022344D"/>
    <w:p w14:paraId="17BB0AFF" w14:textId="77777777" w:rsidR="00EB27C6" w:rsidRDefault="00EB27C6" w:rsidP="0022344D"/>
    <w:p w14:paraId="7DA1A6DC" w14:textId="77777777" w:rsidR="00EB27C6" w:rsidRDefault="00EB27C6" w:rsidP="0022344D"/>
    <w:p w14:paraId="3D8B380A" w14:textId="77777777" w:rsidR="00EB27C6" w:rsidRDefault="00EB27C6" w:rsidP="0022344D"/>
    <w:p w14:paraId="20F1A3B0" w14:textId="77777777" w:rsidR="00EB27C6" w:rsidRDefault="00EB27C6" w:rsidP="0022344D"/>
    <w:p w14:paraId="7121586C" w14:textId="77777777" w:rsidR="00EB27C6" w:rsidRDefault="00EB27C6" w:rsidP="0022344D"/>
    <w:p w14:paraId="274A1DFF" w14:textId="77777777" w:rsidR="00EB27C6" w:rsidRDefault="00EB27C6" w:rsidP="0022344D"/>
    <w:p w14:paraId="616D95BA" w14:textId="77777777" w:rsidR="00EB27C6" w:rsidRDefault="00EB27C6" w:rsidP="0022344D"/>
    <w:p w14:paraId="4415F575" w14:textId="77777777" w:rsidR="00EB27C6" w:rsidRDefault="00EB27C6" w:rsidP="0022344D"/>
    <w:p w14:paraId="19767122" w14:textId="77777777" w:rsidR="00EB27C6" w:rsidRDefault="00EB27C6" w:rsidP="0022344D"/>
    <w:p w14:paraId="6FDEE0D8" w14:textId="77777777" w:rsidR="00EB27C6" w:rsidRDefault="00EB27C6" w:rsidP="0022344D"/>
    <w:p w14:paraId="5464A0D9" w14:textId="77777777" w:rsidR="00EB27C6" w:rsidRDefault="00EB27C6" w:rsidP="0022344D"/>
    <w:p w14:paraId="337B91B4" w14:textId="77777777" w:rsidR="00EB27C6" w:rsidRDefault="00EB27C6" w:rsidP="0022344D"/>
    <w:p w14:paraId="26917D4F" w14:textId="77777777" w:rsidR="00EB27C6" w:rsidRDefault="00EB27C6" w:rsidP="0022344D"/>
    <w:p w14:paraId="36810E26" w14:textId="77777777" w:rsidR="00EB27C6" w:rsidRDefault="00EB27C6" w:rsidP="0022344D"/>
    <w:p w14:paraId="1008A877" w14:textId="77777777" w:rsidR="00EB27C6" w:rsidRDefault="00EB27C6" w:rsidP="0022344D"/>
    <w:p w14:paraId="37339CD8" w14:textId="77777777" w:rsidR="00EB27C6" w:rsidRDefault="00EB27C6" w:rsidP="0022344D"/>
    <w:p w14:paraId="5214EC79" w14:textId="77777777" w:rsidR="00EB27C6" w:rsidRDefault="00EB27C6" w:rsidP="0022344D"/>
    <w:p w14:paraId="07C0CE47" w14:textId="77777777" w:rsidR="00EB27C6" w:rsidRDefault="00EB27C6" w:rsidP="0022344D"/>
    <w:p w14:paraId="0AB637FD" w14:textId="77777777" w:rsidR="00EB27C6" w:rsidRDefault="00EB27C6" w:rsidP="0022344D"/>
    <w:p w14:paraId="0B8E8F40" w14:textId="77777777" w:rsidR="00EB27C6" w:rsidRDefault="00EB27C6" w:rsidP="0022344D"/>
    <w:p w14:paraId="771A2F69" w14:textId="77777777" w:rsidR="00EB27C6" w:rsidRDefault="00EB27C6" w:rsidP="0022344D"/>
    <w:p w14:paraId="4299D2F2" w14:textId="77777777" w:rsidR="00EB27C6" w:rsidRDefault="00EB27C6" w:rsidP="0022344D"/>
    <w:p w14:paraId="223E54E0" w14:textId="77777777" w:rsidR="00EB27C6" w:rsidRDefault="00EB27C6" w:rsidP="0022344D"/>
    <w:p w14:paraId="4C4AC960" w14:textId="77777777" w:rsidR="00EB27C6" w:rsidRDefault="00EB27C6" w:rsidP="0022344D"/>
    <w:p w14:paraId="6C1C43F6" w14:textId="77777777" w:rsidR="00EB27C6" w:rsidRDefault="00EB27C6" w:rsidP="0022344D"/>
    <w:p w14:paraId="13681747" w14:textId="77777777" w:rsidR="00EB27C6" w:rsidRDefault="00EB27C6" w:rsidP="0022344D"/>
    <w:p w14:paraId="1B51A948" w14:textId="77777777" w:rsidR="00EB27C6" w:rsidRDefault="00EB27C6" w:rsidP="0022344D"/>
    <w:p w14:paraId="26D7E242" w14:textId="77777777" w:rsidR="00EB27C6" w:rsidRDefault="00EB27C6" w:rsidP="0022344D"/>
    <w:p w14:paraId="430FD32C" w14:textId="77777777" w:rsidR="00EB27C6" w:rsidRDefault="00EB27C6" w:rsidP="0022344D"/>
    <w:p w14:paraId="5125069D" w14:textId="77777777" w:rsidR="00EB27C6" w:rsidRDefault="00EB27C6" w:rsidP="0022344D"/>
    <w:p w14:paraId="147BA7C1" w14:textId="77777777" w:rsidR="00EB27C6" w:rsidRDefault="00EB27C6" w:rsidP="0022344D"/>
    <w:p w14:paraId="66DF4E1C" w14:textId="77777777" w:rsidR="00EB27C6" w:rsidRDefault="00EB27C6" w:rsidP="0022344D"/>
    <w:p w14:paraId="1FC46E74" w14:textId="77777777" w:rsidR="00EB27C6" w:rsidRDefault="00EB27C6" w:rsidP="0022344D"/>
    <w:p w14:paraId="4DCE094B" w14:textId="77777777" w:rsidR="00EB27C6" w:rsidRDefault="00EB27C6" w:rsidP="0022344D"/>
    <w:p w14:paraId="74476214" w14:textId="77777777" w:rsidR="00EB27C6" w:rsidRDefault="00EB27C6"/>
    <w:p w14:paraId="718A7F51" w14:textId="77777777" w:rsidR="00EB27C6" w:rsidRDefault="00EB27C6"/>
    <w:p w14:paraId="69432F66" w14:textId="77777777" w:rsidR="00EB27C6" w:rsidRDefault="00EB27C6"/>
    <w:p w14:paraId="517E4853" w14:textId="77777777" w:rsidR="00EB27C6" w:rsidRDefault="00EB27C6" w:rsidP="009346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650901"/>
      <w:docPartObj>
        <w:docPartGallery w:val="Page Numbers (Bottom of Page)"/>
        <w:docPartUnique/>
      </w:docPartObj>
    </w:sdtPr>
    <w:sdtEndPr>
      <w:rPr>
        <w:noProof/>
      </w:rPr>
    </w:sdtEndPr>
    <w:sdtContent>
      <w:p w14:paraId="2AD3D9F4" w14:textId="365EF6F3" w:rsidR="00EB0393" w:rsidRPr="00586362" w:rsidRDefault="00EB0393" w:rsidP="0022344D">
        <w:pPr>
          <w:pStyle w:val="Footer"/>
        </w:pPr>
        <w:r w:rsidRPr="00586362">
          <w:fldChar w:fldCharType="begin"/>
        </w:r>
        <w:r w:rsidRPr="00586362">
          <w:instrText xml:space="preserve"> PAGE   \* MERGEFORMAT </w:instrText>
        </w:r>
        <w:r w:rsidRPr="00586362">
          <w:fldChar w:fldCharType="separate"/>
        </w:r>
        <w:r w:rsidR="003A1D46">
          <w:rPr>
            <w:noProof/>
          </w:rPr>
          <w:t>1</w:t>
        </w:r>
        <w:r w:rsidRPr="00586362">
          <w:rPr>
            <w:noProof/>
          </w:rPr>
          <w:fldChar w:fldCharType="end"/>
        </w:r>
        <w:r w:rsidRPr="00586362">
          <w:rPr>
            <w:noProof/>
          </w:rPr>
          <w:t xml:space="preserve">    </w:t>
        </w:r>
        <w:r w:rsidRPr="00586362">
          <w:rPr>
            <w:b/>
          </w:rPr>
          <w:t>Elering AS</w:t>
        </w:r>
        <w:r w:rsidR="00586362" w:rsidRPr="00586362">
          <w:t xml:space="preserve"> </w:t>
        </w:r>
        <w:r w:rsidRPr="00586362">
          <w:t xml:space="preserve">| </w:t>
        </w:r>
        <w:r w:rsidR="00586362" w:rsidRPr="00586362">
          <w:t>Laki 24</w:t>
        </w:r>
        <w:r w:rsidRPr="00586362">
          <w:t xml:space="preserve">, 12915 Tallinn, Estonia </w:t>
        </w:r>
        <w:r w:rsidR="00586362" w:rsidRPr="00586362">
          <w:t xml:space="preserve">| </w:t>
        </w:r>
        <w:r w:rsidRPr="00586362">
          <w:rPr>
            <w:noProof/>
          </w:rPr>
          <w:drawing>
            <wp:inline distT="0" distB="0" distL="0" distR="0" wp14:anchorId="2120235C" wp14:editId="68F9528B">
              <wp:extent cx="69215" cy="86360"/>
              <wp:effectExtent l="0" t="0" r="6985"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15" cy="86360"/>
                      </a:xfrm>
                      <a:prstGeom prst="rect">
                        <a:avLst/>
                      </a:prstGeom>
                      <a:noFill/>
                      <a:ln>
                        <a:noFill/>
                      </a:ln>
                    </pic:spPr>
                  </pic:pic>
                </a:graphicData>
              </a:graphic>
            </wp:inline>
          </w:drawing>
        </w:r>
        <w:r w:rsidR="00586362" w:rsidRPr="00586362">
          <w:t xml:space="preserve"> + 372 715 1222 |</w:t>
        </w:r>
        <w:r w:rsidRPr="00586362">
          <w:t xml:space="preserve"> www.elering.ee </w:t>
        </w:r>
        <w:r w:rsidR="00AE71BE" w:rsidRPr="00586362">
          <w:t xml:space="preserve">| </w:t>
        </w:r>
        <w:r w:rsidR="00586362">
          <w:t>Ametlik e-post</w:t>
        </w:r>
        <w:r w:rsidR="00AE71BE" w:rsidRPr="00586362">
          <w:t>: info@elering.ee</w:t>
        </w:r>
      </w:p>
      <w:p w14:paraId="06CDD2E4" w14:textId="4786B0B5" w:rsidR="00EB0393" w:rsidRPr="00EB0393" w:rsidRDefault="00EB0393" w:rsidP="0022344D">
        <w:pPr>
          <w:pStyle w:val="Footer"/>
        </w:pPr>
        <w:r w:rsidRPr="00EB0393">
          <w:t xml:space="preserve">     </w:t>
        </w:r>
        <w:r>
          <w:t xml:space="preserve"> </w:t>
        </w:r>
      </w:p>
      <w:p w14:paraId="6C03B591" w14:textId="3C61C28F" w:rsidR="00EB0393" w:rsidRDefault="00EB27C6" w:rsidP="0022344D">
        <w:pPr>
          <w:pStyle w:val="Footer"/>
        </w:pPr>
      </w:p>
    </w:sdtContent>
  </w:sdt>
  <w:p w14:paraId="52FDBFFC" w14:textId="17F8B18B" w:rsidR="00B82C56" w:rsidRPr="00E43D13" w:rsidRDefault="00B82C56" w:rsidP="0022344D">
    <w:pPr>
      <w:pStyle w:val="Footer"/>
      <w:rPr>
        <w:rStyle w:val="PageNumbe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FB72B" w14:textId="77777777" w:rsidR="00EB27C6" w:rsidRDefault="00EB27C6" w:rsidP="0022344D">
      <w:r>
        <w:separator/>
      </w:r>
    </w:p>
    <w:p w14:paraId="34929648" w14:textId="77777777" w:rsidR="00EB27C6" w:rsidRDefault="00EB27C6" w:rsidP="0022344D"/>
    <w:p w14:paraId="769C21B1" w14:textId="77777777" w:rsidR="00EB27C6" w:rsidRDefault="00EB27C6" w:rsidP="0022344D"/>
    <w:p w14:paraId="5EC585D3" w14:textId="77777777" w:rsidR="00EB27C6" w:rsidRDefault="00EB27C6" w:rsidP="0022344D"/>
    <w:p w14:paraId="5AABD986" w14:textId="77777777" w:rsidR="00EB27C6" w:rsidRDefault="00EB27C6" w:rsidP="0022344D"/>
    <w:p w14:paraId="0DC4DCC6" w14:textId="77777777" w:rsidR="00EB27C6" w:rsidRDefault="00EB27C6" w:rsidP="0022344D"/>
    <w:p w14:paraId="54564B68" w14:textId="77777777" w:rsidR="00EB27C6" w:rsidRDefault="00EB27C6" w:rsidP="0022344D"/>
    <w:p w14:paraId="0D97A675" w14:textId="77777777" w:rsidR="00EB27C6" w:rsidRDefault="00EB27C6" w:rsidP="0022344D"/>
    <w:p w14:paraId="0DD98989" w14:textId="77777777" w:rsidR="00EB27C6" w:rsidRDefault="00EB27C6" w:rsidP="0022344D"/>
    <w:p w14:paraId="6D7DF4A1" w14:textId="77777777" w:rsidR="00EB27C6" w:rsidRDefault="00EB27C6" w:rsidP="0022344D"/>
    <w:p w14:paraId="141EB69B" w14:textId="77777777" w:rsidR="00EB27C6" w:rsidRDefault="00EB27C6" w:rsidP="0022344D"/>
    <w:p w14:paraId="7950245C" w14:textId="77777777" w:rsidR="00EB27C6" w:rsidRDefault="00EB27C6" w:rsidP="0022344D"/>
    <w:p w14:paraId="128FC547" w14:textId="77777777" w:rsidR="00EB27C6" w:rsidRDefault="00EB27C6" w:rsidP="0022344D"/>
    <w:p w14:paraId="308FDED4" w14:textId="77777777" w:rsidR="00EB27C6" w:rsidRDefault="00EB27C6" w:rsidP="0022344D"/>
    <w:p w14:paraId="1A644109" w14:textId="77777777" w:rsidR="00EB27C6" w:rsidRDefault="00EB27C6" w:rsidP="0022344D"/>
    <w:p w14:paraId="131FBDD4" w14:textId="77777777" w:rsidR="00EB27C6" w:rsidRDefault="00EB27C6" w:rsidP="0022344D"/>
    <w:p w14:paraId="43C23366" w14:textId="77777777" w:rsidR="00EB27C6" w:rsidRDefault="00EB27C6" w:rsidP="0022344D"/>
    <w:p w14:paraId="0C3AB18A" w14:textId="77777777" w:rsidR="00EB27C6" w:rsidRDefault="00EB27C6" w:rsidP="0022344D"/>
    <w:p w14:paraId="42B9BAAC" w14:textId="77777777" w:rsidR="00EB27C6" w:rsidRDefault="00EB27C6" w:rsidP="0022344D"/>
    <w:p w14:paraId="6A3B3385" w14:textId="77777777" w:rsidR="00EB27C6" w:rsidRDefault="00EB27C6" w:rsidP="0022344D"/>
    <w:p w14:paraId="7C3469C0" w14:textId="77777777" w:rsidR="00EB27C6" w:rsidRDefault="00EB27C6" w:rsidP="0022344D"/>
    <w:p w14:paraId="01C9F54C" w14:textId="77777777" w:rsidR="00EB27C6" w:rsidRDefault="00EB27C6" w:rsidP="0022344D"/>
    <w:p w14:paraId="3BD4128A" w14:textId="77777777" w:rsidR="00EB27C6" w:rsidRDefault="00EB27C6" w:rsidP="0022344D"/>
    <w:p w14:paraId="51D81F3C" w14:textId="77777777" w:rsidR="00EB27C6" w:rsidRDefault="00EB27C6" w:rsidP="0022344D"/>
    <w:p w14:paraId="6B332F3D" w14:textId="77777777" w:rsidR="00EB27C6" w:rsidRDefault="00EB27C6" w:rsidP="0022344D"/>
    <w:p w14:paraId="25A82D53" w14:textId="77777777" w:rsidR="00EB27C6" w:rsidRDefault="00EB27C6" w:rsidP="0022344D"/>
    <w:p w14:paraId="3FDF8DDD" w14:textId="77777777" w:rsidR="00EB27C6" w:rsidRDefault="00EB27C6" w:rsidP="0022344D"/>
    <w:p w14:paraId="7E522069" w14:textId="77777777" w:rsidR="00EB27C6" w:rsidRDefault="00EB27C6" w:rsidP="0022344D"/>
    <w:p w14:paraId="2FB26723" w14:textId="77777777" w:rsidR="00EB27C6" w:rsidRDefault="00EB27C6" w:rsidP="0022344D"/>
    <w:p w14:paraId="6A2B8174" w14:textId="77777777" w:rsidR="00EB27C6" w:rsidRDefault="00EB27C6" w:rsidP="0022344D"/>
    <w:p w14:paraId="221233E2" w14:textId="77777777" w:rsidR="00EB27C6" w:rsidRDefault="00EB27C6" w:rsidP="0022344D"/>
    <w:p w14:paraId="2F5D186E" w14:textId="77777777" w:rsidR="00EB27C6" w:rsidRDefault="00EB27C6" w:rsidP="0022344D"/>
    <w:p w14:paraId="217EF7B3" w14:textId="77777777" w:rsidR="00EB27C6" w:rsidRDefault="00EB27C6" w:rsidP="0022344D"/>
    <w:p w14:paraId="1EF1494C" w14:textId="77777777" w:rsidR="00EB27C6" w:rsidRDefault="00EB27C6" w:rsidP="0022344D"/>
    <w:p w14:paraId="2995B616" w14:textId="77777777" w:rsidR="00EB27C6" w:rsidRDefault="00EB27C6" w:rsidP="0022344D"/>
    <w:p w14:paraId="6F773CC9" w14:textId="77777777" w:rsidR="00EB27C6" w:rsidRDefault="00EB27C6" w:rsidP="0022344D"/>
    <w:p w14:paraId="4C63E035" w14:textId="77777777" w:rsidR="00EB27C6" w:rsidRDefault="00EB27C6" w:rsidP="0022344D"/>
    <w:p w14:paraId="2E9D2E64" w14:textId="77777777" w:rsidR="00EB27C6" w:rsidRDefault="00EB27C6" w:rsidP="0022344D"/>
    <w:p w14:paraId="5F0983B3" w14:textId="77777777" w:rsidR="00EB27C6" w:rsidRDefault="00EB27C6" w:rsidP="0022344D"/>
    <w:p w14:paraId="0B0E4DE9" w14:textId="77777777" w:rsidR="00EB27C6" w:rsidRDefault="00EB27C6" w:rsidP="0022344D"/>
    <w:p w14:paraId="3ECF9BFE" w14:textId="77777777" w:rsidR="00EB27C6" w:rsidRDefault="00EB27C6" w:rsidP="0022344D"/>
    <w:p w14:paraId="3DA02987" w14:textId="77777777" w:rsidR="00EB27C6" w:rsidRDefault="00EB27C6" w:rsidP="0022344D"/>
    <w:p w14:paraId="4465FA1B" w14:textId="77777777" w:rsidR="00EB27C6" w:rsidRDefault="00EB27C6" w:rsidP="0022344D"/>
    <w:p w14:paraId="1738C463" w14:textId="77777777" w:rsidR="00EB27C6" w:rsidRDefault="00EB27C6" w:rsidP="0022344D"/>
    <w:p w14:paraId="77D2D6FD" w14:textId="77777777" w:rsidR="00EB27C6" w:rsidRDefault="00EB27C6" w:rsidP="0022344D"/>
    <w:p w14:paraId="6E8E9D9F" w14:textId="77777777" w:rsidR="00EB27C6" w:rsidRDefault="00EB27C6" w:rsidP="0022344D"/>
    <w:p w14:paraId="7041C463" w14:textId="77777777" w:rsidR="00EB27C6" w:rsidRDefault="00EB27C6" w:rsidP="0022344D"/>
    <w:p w14:paraId="2617EBE6" w14:textId="77777777" w:rsidR="00EB27C6" w:rsidRDefault="00EB27C6" w:rsidP="0022344D"/>
    <w:p w14:paraId="7EC1999D" w14:textId="77777777" w:rsidR="00EB27C6" w:rsidRDefault="00EB27C6" w:rsidP="0022344D"/>
    <w:p w14:paraId="642F0BAD" w14:textId="77777777" w:rsidR="00EB27C6" w:rsidRDefault="00EB27C6" w:rsidP="0022344D"/>
    <w:p w14:paraId="7BDFDE69" w14:textId="77777777" w:rsidR="00EB27C6" w:rsidRDefault="00EB27C6" w:rsidP="0022344D"/>
    <w:p w14:paraId="566457EE" w14:textId="77777777" w:rsidR="00EB27C6" w:rsidRDefault="00EB27C6" w:rsidP="0022344D"/>
    <w:p w14:paraId="628E33FA" w14:textId="77777777" w:rsidR="00EB27C6" w:rsidRDefault="00EB27C6" w:rsidP="0022344D"/>
    <w:p w14:paraId="046CFAF4" w14:textId="77777777" w:rsidR="00EB27C6" w:rsidRDefault="00EB27C6" w:rsidP="0022344D"/>
    <w:p w14:paraId="63E42327" w14:textId="77777777" w:rsidR="00EB27C6" w:rsidRDefault="00EB27C6" w:rsidP="0022344D"/>
    <w:p w14:paraId="42257811" w14:textId="77777777" w:rsidR="00EB27C6" w:rsidRDefault="00EB27C6" w:rsidP="0022344D"/>
    <w:p w14:paraId="327C0968" w14:textId="77777777" w:rsidR="00EB27C6" w:rsidRDefault="00EB27C6" w:rsidP="0022344D"/>
    <w:p w14:paraId="5B819D77" w14:textId="77777777" w:rsidR="00EB27C6" w:rsidRDefault="00EB27C6" w:rsidP="0022344D"/>
    <w:p w14:paraId="1682D166" w14:textId="77777777" w:rsidR="00EB27C6" w:rsidRDefault="00EB27C6" w:rsidP="0022344D"/>
    <w:p w14:paraId="33A7F080" w14:textId="77777777" w:rsidR="00EB27C6" w:rsidRDefault="00EB27C6" w:rsidP="0022344D"/>
    <w:p w14:paraId="4CC22C0D" w14:textId="77777777" w:rsidR="00EB27C6" w:rsidRDefault="00EB27C6" w:rsidP="0022344D"/>
    <w:p w14:paraId="5020C87C" w14:textId="77777777" w:rsidR="00EB27C6" w:rsidRDefault="00EB27C6" w:rsidP="0022344D"/>
    <w:p w14:paraId="14B82E1E" w14:textId="77777777" w:rsidR="00EB27C6" w:rsidRDefault="00EB27C6" w:rsidP="0022344D"/>
    <w:p w14:paraId="78CDEC0B" w14:textId="77777777" w:rsidR="00EB27C6" w:rsidRDefault="00EB27C6" w:rsidP="0022344D"/>
    <w:p w14:paraId="0EE55637" w14:textId="77777777" w:rsidR="00EB27C6" w:rsidRDefault="00EB27C6" w:rsidP="0022344D"/>
    <w:p w14:paraId="0F2924F8" w14:textId="77777777" w:rsidR="00EB27C6" w:rsidRDefault="00EB27C6" w:rsidP="0022344D"/>
    <w:p w14:paraId="387BFF48" w14:textId="77777777" w:rsidR="00EB27C6" w:rsidRDefault="00EB27C6" w:rsidP="0022344D"/>
    <w:p w14:paraId="07FD480C" w14:textId="77777777" w:rsidR="00EB27C6" w:rsidRDefault="00EB27C6" w:rsidP="0022344D"/>
    <w:p w14:paraId="1AC1B480" w14:textId="77777777" w:rsidR="00EB27C6" w:rsidRDefault="00EB27C6" w:rsidP="0022344D"/>
    <w:p w14:paraId="14365890" w14:textId="77777777" w:rsidR="00EB27C6" w:rsidRDefault="00EB27C6" w:rsidP="0022344D"/>
    <w:p w14:paraId="03F0396C" w14:textId="77777777" w:rsidR="00EB27C6" w:rsidRDefault="00EB27C6" w:rsidP="0022344D"/>
    <w:p w14:paraId="31D7A50C" w14:textId="77777777" w:rsidR="00EB27C6" w:rsidRDefault="00EB27C6" w:rsidP="0022344D"/>
    <w:p w14:paraId="38E39BC5" w14:textId="77777777" w:rsidR="00EB27C6" w:rsidRDefault="00EB27C6" w:rsidP="0022344D"/>
    <w:p w14:paraId="0EDBA950" w14:textId="77777777" w:rsidR="00EB27C6" w:rsidRDefault="00EB27C6" w:rsidP="0022344D"/>
    <w:p w14:paraId="1BFB2640" w14:textId="77777777" w:rsidR="00EB27C6" w:rsidRDefault="00EB27C6"/>
    <w:p w14:paraId="0CF723F8" w14:textId="77777777" w:rsidR="00EB27C6" w:rsidRDefault="00EB27C6"/>
    <w:p w14:paraId="002B95D9" w14:textId="77777777" w:rsidR="00EB27C6" w:rsidRDefault="00EB27C6"/>
    <w:p w14:paraId="23205484" w14:textId="77777777" w:rsidR="00EB27C6" w:rsidRDefault="00EB27C6" w:rsidP="009346D0"/>
  </w:footnote>
  <w:footnote w:type="continuationSeparator" w:id="0">
    <w:p w14:paraId="67809448" w14:textId="77777777" w:rsidR="00EB27C6" w:rsidRDefault="00EB27C6" w:rsidP="0022344D">
      <w:r>
        <w:continuationSeparator/>
      </w:r>
    </w:p>
    <w:p w14:paraId="4AC58C56" w14:textId="77777777" w:rsidR="00EB27C6" w:rsidRDefault="00EB27C6" w:rsidP="0022344D"/>
    <w:p w14:paraId="17A59497" w14:textId="77777777" w:rsidR="00EB27C6" w:rsidRDefault="00EB27C6" w:rsidP="0022344D"/>
    <w:p w14:paraId="4642140F" w14:textId="77777777" w:rsidR="00EB27C6" w:rsidRDefault="00EB27C6" w:rsidP="0022344D"/>
    <w:p w14:paraId="70086DEB" w14:textId="77777777" w:rsidR="00EB27C6" w:rsidRDefault="00EB27C6" w:rsidP="0022344D"/>
    <w:p w14:paraId="0E6DD4D9" w14:textId="77777777" w:rsidR="00EB27C6" w:rsidRDefault="00EB27C6" w:rsidP="0022344D"/>
    <w:p w14:paraId="268B41B4" w14:textId="77777777" w:rsidR="00EB27C6" w:rsidRDefault="00EB27C6" w:rsidP="0022344D"/>
    <w:p w14:paraId="47646B0F" w14:textId="77777777" w:rsidR="00EB27C6" w:rsidRDefault="00EB27C6" w:rsidP="0022344D"/>
    <w:p w14:paraId="726C0207" w14:textId="77777777" w:rsidR="00EB27C6" w:rsidRDefault="00EB27C6" w:rsidP="0022344D"/>
    <w:p w14:paraId="3496AFBE" w14:textId="77777777" w:rsidR="00EB27C6" w:rsidRDefault="00EB27C6" w:rsidP="0022344D"/>
    <w:p w14:paraId="13E0E6C4" w14:textId="77777777" w:rsidR="00EB27C6" w:rsidRDefault="00EB27C6" w:rsidP="0022344D"/>
    <w:p w14:paraId="36019F68" w14:textId="77777777" w:rsidR="00EB27C6" w:rsidRDefault="00EB27C6" w:rsidP="0022344D"/>
    <w:p w14:paraId="774D2714" w14:textId="77777777" w:rsidR="00EB27C6" w:rsidRDefault="00EB27C6" w:rsidP="0022344D"/>
    <w:p w14:paraId="65E12359" w14:textId="77777777" w:rsidR="00EB27C6" w:rsidRDefault="00EB27C6" w:rsidP="0022344D"/>
    <w:p w14:paraId="0915FB8E" w14:textId="77777777" w:rsidR="00EB27C6" w:rsidRDefault="00EB27C6" w:rsidP="0022344D"/>
    <w:p w14:paraId="2B60317B" w14:textId="77777777" w:rsidR="00EB27C6" w:rsidRDefault="00EB27C6" w:rsidP="0022344D"/>
    <w:p w14:paraId="24570CAF" w14:textId="77777777" w:rsidR="00EB27C6" w:rsidRDefault="00EB27C6" w:rsidP="0022344D"/>
    <w:p w14:paraId="3A8E569D" w14:textId="77777777" w:rsidR="00EB27C6" w:rsidRDefault="00EB27C6" w:rsidP="0022344D"/>
    <w:p w14:paraId="019D91FE" w14:textId="77777777" w:rsidR="00EB27C6" w:rsidRDefault="00EB27C6" w:rsidP="0022344D"/>
    <w:p w14:paraId="14F65F4B" w14:textId="77777777" w:rsidR="00EB27C6" w:rsidRDefault="00EB27C6" w:rsidP="0022344D"/>
    <w:p w14:paraId="4AB2858E" w14:textId="77777777" w:rsidR="00EB27C6" w:rsidRDefault="00EB27C6" w:rsidP="0022344D"/>
    <w:p w14:paraId="3DBA7E9A" w14:textId="77777777" w:rsidR="00EB27C6" w:rsidRDefault="00EB27C6" w:rsidP="0022344D"/>
    <w:p w14:paraId="3697AC4B" w14:textId="77777777" w:rsidR="00EB27C6" w:rsidRDefault="00EB27C6" w:rsidP="0022344D"/>
    <w:p w14:paraId="73B9849F" w14:textId="77777777" w:rsidR="00EB27C6" w:rsidRDefault="00EB27C6" w:rsidP="0022344D"/>
    <w:p w14:paraId="2F21BDA0" w14:textId="77777777" w:rsidR="00EB27C6" w:rsidRDefault="00EB27C6" w:rsidP="0022344D"/>
    <w:p w14:paraId="3C747253" w14:textId="77777777" w:rsidR="00EB27C6" w:rsidRDefault="00EB27C6" w:rsidP="0022344D"/>
    <w:p w14:paraId="5A52B3C4" w14:textId="77777777" w:rsidR="00EB27C6" w:rsidRDefault="00EB27C6" w:rsidP="0022344D"/>
    <w:p w14:paraId="31C74956" w14:textId="77777777" w:rsidR="00EB27C6" w:rsidRDefault="00EB27C6" w:rsidP="0022344D"/>
    <w:p w14:paraId="455527A2" w14:textId="77777777" w:rsidR="00EB27C6" w:rsidRDefault="00EB27C6" w:rsidP="0022344D"/>
    <w:p w14:paraId="6EDE3EF3" w14:textId="77777777" w:rsidR="00EB27C6" w:rsidRDefault="00EB27C6" w:rsidP="0022344D"/>
    <w:p w14:paraId="5F21ECF5" w14:textId="77777777" w:rsidR="00EB27C6" w:rsidRDefault="00EB27C6" w:rsidP="0022344D"/>
    <w:p w14:paraId="338C566F" w14:textId="77777777" w:rsidR="00EB27C6" w:rsidRDefault="00EB27C6" w:rsidP="0022344D"/>
    <w:p w14:paraId="29DCBB97" w14:textId="77777777" w:rsidR="00EB27C6" w:rsidRDefault="00EB27C6" w:rsidP="0022344D"/>
    <w:p w14:paraId="14154C7A" w14:textId="77777777" w:rsidR="00EB27C6" w:rsidRDefault="00EB27C6" w:rsidP="0022344D"/>
    <w:p w14:paraId="102395C7" w14:textId="77777777" w:rsidR="00EB27C6" w:rsidRDefault="00EB27C6" w:rsidP="0022344D"/>
    <w:p w14:paraId="4035A246" w14:textId="77777777" w:rsidR="00EB27C6" w:rsidRDefault="00EB27C6" w:rsidP="0022344D"/>
    <w:p w14:paraId="649F2CFF" w14:textId="77777777" w:rsidR="00EB27C6" w:rsidRDefault="00EB27C6" w:rsidP="0022344D"/>
    <w:p w14:paraId="498E1D1C" w14:textId="77777777" w:rsidR="00EB27C6" w:rsidRDefault="00EB27C6" w:rsidP="0022344D"/>
    <w:p w14:paraId="6BFF9948" w14:textId="77777777" w:rsidR="00EB27C6" w:rsidRDefault="00EB27C6" w:rsidP="0022344D"/>
    <w:p w14:paraId="47A83E64" w14:textId="77777777" w:rsidR="00EB27C6" w:rsidRDefault="00EB27C6" w:rsidP="0022344D"/>
    <w:p w14:paraId="1C6E5713" w14:textId="77777777" w:rsidR="00EB27C6" w:rsidRDefault="00EB27C6" w:rsidP="0022344D"/>
    <w:p w14:paraId="500F3816" w14:textId="77777777" w:rsidR="00EB27C6" w:rsidRDefault="00EB27C6" w:rsidP="0022344D"/>
    <w:p w14:paraId="72E78911" w14:textId="77777777" w:rsidR="00EB27C6" w:rsidRDefault="00EB27C6" w:rsidP="0022344D"/>
    <w:p w14:paraId="378252A7" w14:textId="77777777" w:rsidR="00EB27C6" w:rsidRDefault="00EB27C6" w:rsidP="0022344D"/>
    <w:p w14:paraId="1DA9A5B7" w14:textId="77777777" w:rsidR="00EB27C6" w:rsidRDefault="00EB27C6" w:rsidP="0022344D"/>
    <w:p w14:paraId="1047172E" w14:textId="77777777" w:rsidR="00EB27C6" w:rsidRDefault="00EB27C6" w:rsidP="0022344D"/>
    <w:p w14:paraId="1250EDF2" w14:textId="77777777" w:rsidR="00EB27C6" w:rsidRDefault="00EB27C6" w:rsidP="0022344D"/>
    <w:p w14:paraId="45C5132A" w14:textId="77777777" w:rsidR="00EB27C6" w:rsidRDefault="00EB27C6" w:rsidP="0022344D"/>
    <w:p w14:paraId="347CF937" w14:textId="77777777" w:rsidR="00EB27C6" w:rsidRDefault="00EB27C6" w:rsidP="0022344D"/>
    <w:p w14:paraId="39718D58" w14:textId="77777777" w:rsidR="00EB27C6" w:rsidRDefault="00EB27C6" w:rsidP="0022344D"/>
    <w:p w14:paraId="5448450E" w14:textId="77777777" w:rsidR="00EB27C6" w:rsidRDefault="00EB27C6" w:rsidP="0022344D"/>
    <w:p w14:paraId="738E0CFD" w14:textId="77777777" w:rsidR="00EB27C6" w:rsidRDefault="00EB27C6" w:rsidP="0022344D"/>
    <w:p w14:paraId="2B953D1F" w14:textId="77777777" w:rsidR="00EB27C6" w:rsidRDefault="00EB27C6" w:rsidP="0022344D"/>
    <w:p w14:paraId="1756A7CE" w14:textId="77777777" w:rsidR="00EB27C6" w:rsidRDefault="00EB27C6" w:rsidP="0022344D"/>
    <w:p w14:paraId="72703FA2" w14:textId="77777777" w:rsidR="00EB27C6" w:rsidRDefault="00EB27C6" w:rsidP="0022344D"/>
    <w:p w14:paraId="574613B9" w14:textId="77777777" w:rsidR="00EB27C6" w:rsidRDefault="00EB27C6" w:rsidP="0022344D"/>
    <w:p w14:paraId="366F935F" w14:textId="77777777" w:rsidR="00EB27C6" w:rsidRDefault="00EB27C6" w:rsidP="0022344D"/>
    <w:p w14:paraId="71758451" w14:textId="77777777" w:rsidR="00EB27C6" w:rsidRDefault="00EB27C6" w:rsidP="0022344D"/>
    <w:p w14:paraId="44620B57" w14:textId="77777777" w:rsidR="00EB27C6" w:rsidRDefault="00EB27C6" w:rsidP="0022344D"/>
    <w:p w14:paraId="0059E273" w14:textId="77777777" w:rsidR="00EB27C6" w:rsidRDefault="00EB27C6" w:rsidP="0022344D"/>
    <w:p w14:paraId="13510117" w14:textId="77777777" w:rsidR="00EB27C6" w:rsidRDefault="00EB27C6" w:rsidP="0022344D"/>
    <w:p w14:paraId="25A38263" w14:textId="77777777" w:rsidR="00EB27C6" w:rsidRDefault="00EB27C6" w:rsidP="0022344D"/>
    <w:p w14:paraId="0CCDC633" w14:textId="77777777" w:rsidR="00EB27C6" w:rsidRDefault="00EB27C6" w:rsidP="0022344D"/>
    <w:p w14:paraId="4D393AFD" w14:textId="77777777" w:rsidR="00EB27C6" w:rsidRDefault="00EB27C6" w:rsidP="0022344D"/>
    <w:p w14:paraId="2798D90C" w14:textId="77777777" w:rsidR="00EB27C6" w:rsidRDefault="00EB27C6" w:rsidP="0022344D"/>
    <w:p w14:paraId="2DCB72BC" w14:textId="77777777" w:rsidR="00EB27C6" w:rsidRDefault="00EB27C6" w:rsidP="0022344D"/>
    <w:p w14:paraId="70FD53CF" w14:textId="77777777" w:rsidR="00EB27C6" w:rsidRDefault="00EB27C6" w:rsidP="0022344D"/>
    <w:p w14:paraId="41853146" w14:textId="77777777" w:rsidR="00EB27C6" w:rsidRDefault="00EB27C6" w:rsidP="0022344D"/>
    <w:p w14:paraId="2DC014AF" w14:textId="77777777" w:rsidR="00EB27C6" w:rsidRDefault="00EB27C6" w:rsidP="0022344D"/>
    <w:p w14:paraId="3CE657A3" w14:textId="77777777" w:rsidR="00EB27C6" w:rsidRDefault="00EB27C6" w:rsidP="0022344D"/>
    <w:p w14:paraId="6BBCEECA" w14:textId="77777777" w:rsidR="00EB27C6" w:rsidRDefault="00EB27C6" w:rsidP="0022344D"/>
    <w:p w14:paraId="4A21AEC6" w14:textId="77777777" w:rsidR="00EB27C6" w:rsidRDefault="00EB27C6" w:rsidP="0022344D"/>
    <w:p w14:paraId="093AB148" w14:textId="77777777" w:rsidR="00EB27C6" w:rsidRDefault="00EB27C6" w:rsidP="0022344D"/>
    <w:p w14:paraId="2BAFD858" w14:textId="77777777" w:rsidR="00EB27C6" w:rsidRDefault="00EB27C6" w:rsidP="0022344D"/>
    <w:p w14:paraId="140B82DC" w14:textId="77777777" w:rsidR="00EB27C6" w:rsidRDefault="00EB27C6"/>
    <w:p w14:paraId="18A7F210" w14:textId="77777777" w:rsidR="00EB27C6" w:rsidRDefault="00EB27C6"/>
    <w:p w14:paraId="7DFE15DE" w14:textId="77777777" w:rsidR="00EB27C6" w:rsidRDefault="00EB27C6"/>
    <w:p w14:paraId="1799DF7C" w14:textId="77777777" w:rsidR="00EB27C6" w:rsidRDefault="00EB27C6" w:rsidP="009346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30B1C" w14:textId="77777777" w:rsidR="00A267F7" w:rsidRDefault="00A267F7" w:rsidP="0022344D">
    <w:pPr>
      <w:pStyle w:val="Header"/>
    </w:pPr>
    <w:r>
      <w:rPr>
        <w:noProof/>
      </w:rPr>
      <w:drawing>
        <wp:anchor distT="0" distB="0" distL="114300" distR="114300" simplePos="0" relativeHeight="251659264" behindDoc="1" locked="0" layoutInCell="1" allowOverlap="1" wp14:anchorId="7E262B51" wp14:editId="7B4F6530">
          <wp:simplePos x="0" y="0"/>
          <wp:positionH relativeFrom="column">
            <wp:posOffset>-708660</wp:posOffset>
          </wp:positionH>
          <wp:positionV relativeFrom="paragraph">
            <wp:posOffset>-447040</wp:posOffset>
          </wp:positionV>
          <wp:extent cx="7537450" cy="984250"/>
          <wp:effectExtent l="0" t="0" r="6350" b="6350"/>
          <wp:wrapNone/>
          <wp:docPr id="13" name="Picture 13" descr="p6hi_p2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6hi_p2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0" cy="984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00C3A" w14:textId="77777777" w:rsidR="00A267F7" w:rsidRDefault="00A267F7" w:rsidP="0022344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E6CF1C"/>
    <w:lvl w:ilvl="0">
      <w:start w:val="1"/>
      <w:numFmt w:val="decimal"/>
      <w:lvlText w:val="%1."/>
      <w:lvlJc w:val="left"/>
      <w:pPr>
        <w:tabs>
          <w:tab w:val="num" w:pos="1492"/>
        </w:tabs>
        <w:ind w:left="1492" w:hanging="360"/>
      </w:pPr>
    </w:lvl>
  </w:abstractNum>
  <w:abstractNum w:abstractNumId="1">
    <w:nsid w:val="FFFFFF7D"/>
    <w:multiLevelType w:val="singleLevel"/>
    <w:tmpl w:val="4DF2B73A"/>
    <w:lvl w:ilvl="0">
      <w:start w:val="1"/>
      <w:numFmt w:val="decimal"/>
      <w:lvlText w:val="%1."/>
      <w:lvlJc w:val="left"/>
      <w:pPr>
        <w:tabs>
          <w:tab w:val="num" w:pos="1209"/>
        </w:tabs>
        <w:ind w:left="1209" w:hanging="360"/>
      </w:pPr>
    </w:lvl>
  </w:abstractNum>
  <w:abstractNum w:abstractNumId="2">
    <w:nsid w:val="FFFFFF7E"/>
    <w:multiLevelType w:val="singleLevel"/>
    <w:tmpl w:val="462A1714"/>
    <w:lvl w:ilvl="0">
      <w:start w:val="1"/>
      <w:numFmt w:val="decimal"/>
      <w:lvlText w:val="%1."/>
      <w:lvlJc w:val="left"/>
      <w:pPr>
        <w:tabs>
          <w:tab w:val="num" w:pos="926"/>
        </w:tabs>
        <w:ind w:left="926" w:hanging="360"/>
      </w:pPr>
    </w:lvl>
  </w:abstractNum>
  <w:abstractNum w:abstractNumId="3">
    <w:nsid w:val="FFFFFF7F"/>
    <w:multiLevelType w:val="singleLevel"/>
    <w:tmpl w:val="9C305528"/>
    <w:lvl w:ilvl="0">
      <w:start w:val="1"/>
      <w:numFmt w:val="decimal"/>
      <w:lvlText w:val="%1."/>
      <w:lvlJc w:val="left"/>
      <w:pPr>
        <w:tabs>
          <w:tab w:val="num" w:pos="643"/>
        </w:tabs>
        <w:ind w:left="643" w:hanging="360"/>
      </w:pPr>
    </w:lvl>
  </w:abstractNum>
  <w:abstractNum w:abstractNumId="4">
    <w:nsid w:val="FFFFFF80"/>
    <w:multiLevelType w:val="singleLevel"/>
    <w:tmpl w:val="19ECDB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E3811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FA3C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D1C72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0A7E94"/>
    <w:lvl w:ilvl="0">
      <w:start w:val="1"/>
      <w:numFmt w:val="decimal"/>
      <w:lvlText w:val="%1."/>
      <w:lvlJc w:val="left"/>
      <w:pPr>
        <w:tabs>
          <w:tab w:val="num" w:pos="360"/>
        </w:tabs>
        <w:ind w:left="360" w:hanging="360"/>
      </w:pPr>
    </w:lvl>
  </w:abstractNum>
  <w:abstractNum w:abstractNumId="9">
    <w:nsid w:val="FFFFFF89"/>
    <w:multiLevelType w:val="singleLevel"/>
    <w:tmpl w:val="44F60F10"/>
    <w:lvl w:ilvl="0">
      <w:start w:val="1"/>
      <w:numFmt w:val="bullet"/>
      <w:lvlText w:val=""/>
      <w:lvlJc w:val="left"/>
      <w:pPr>
        <w:tabs>
          <w:tab w:val="num" w:pos="360"/>
        </w:tabs>
        <w:ind w:left="360" w:hanging="360"/>
      </w:pPr>
      <w:rPr>
        <w:rFonts w:ascii="Symbol" w:hAnsi="Symbol" w:hint="default"/>
      </w:rPr>
    </w:lvl>
  </w:abstractNum>
  <w:abstractNum w:abstractNumId="10">
    <w:nsid w:val="0705686F"/>
    <w:multiLevelType w:val="hybridMultilevel"/>
    <w:tmpl w:val="50A2DE68"/>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1">
    <w:nsid w:val="0BCF4398"/>
    <w:multiLevelType w:val="hybridMultilevel"/>
    <w:tmpl w:val="ADBA4E4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0C0F3C8F"/>
    <w:multiLevelType w:val="hybridMultilevel"/>
    <w:tmpl w:val="0ACC93C2"/>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3">
    <w:nsid w:val="0C8B6843"/>
    <w:multiLevelType w:val="hybridMultilevel"/>
    <w:tmpl w:val="543E6132"/>
    <w:lvl w:ilvl="0" w:tplc="04250001">
      <w:start w:val="20"/>
      <w:numFmt w:val="bullet"/>
      <w:lvlText w:val=""/>
      <w:lvlJc w:val="left"/>
      <w:pPr>
        <w:ind w:left="360" w:hanging="360"/>
      </w:pPr>
      <w:rPr>
        <w:rFonts w:ascii="Symbol" w:eastAsia="Times New Roman" w:hAnsi="Symbol"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4">
    <w:nsid w:val="165D2396"/>
    <w:multiLevelType w:val="hybridMultilevel"/>
    <w:tmpl w:val="C4CA19E2"/>
    <w:lvl w:ilvl="0" w:tplc="04250001">
      <w:start w:val="20"/>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nsid w:val="1C163F08"/>
    <w:multiLevelType w:val="hybridMultilevel"/>
    <w:tmpl w:val="A844CC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nsid w:val="1C6330B0"/>
    <w:multiLevelType w:val="hybridMultilevel"/>
    <w:tmpl w:val="2DCEBC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nsid w:val="22C87C2C"/>
    <w:multiLevelType w:val="hybridMultilevel"/>
    <w:tmpl w:val="126888E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nsid w:val="24CD14FB"/>
    <w:multiLevelType w:val="hybridMultilevel"/>
    <w:tmpl w:val="4DC4B776"/>
    <w:lvl w:ilvl="0" w:tplc="04250001">
      <w:start w:val="1"/>
      <w:numFmt w:val="bullet"/>
      <w:lvlText w:val=""/>
      <w:lvlJc w:val="left"/>
      <w:pPr>
        <w:ind w:left="776" w:hanging="360"/>
      </w:pPr>
      <w:rPr>
        <w:rFonts w:ascii="Symbol" w:hAnsi="Symbol" w:hint="default"/>
      </w:rPr>
    </w:lvl>
    <w:lvl w:ilvl="1" w:tplc="04250003" w:tentative="1">
      <w:start w:val="1"/>
      <w:numFmt w:val="bullet"/>
      <w:lvlText w:val="o"/>
      <w:lvlJc w:val="left"/>
      <w:pPr>
        <w:ind w:left="1496" w:hanging="360"/>
      </w:pPr>
      <w:rPr>
        <w:rFonts w:ascii="Courier New" w:hAnsi="Courier New" w:cs="Courier New" w:hint="default"/>
      </w:rPr>
    </w:lvl>
    <w:lvl w:ilvl="2" w:tplc="04250005" w:tentative="1">
      <w:start w:val="1"/>
      <w:numFmt w:val="bullet"/>
      <w:lvlText w:val=""/>
      <w:lvlJc w:val="left"/>
      <w:pPr>
        <w:ind w:left="2216" w:hanging="360"/>
      </w:pPr>
      <w:rPr>
        <w:rFonts w:ascii="Wingdings" w:hAnsi="Wingdings" w:hint="default"/>
      </w:rPr>
    </w:lvl>
    <w:lvl w:ilvl="3" w:tplc="04250001" w:tentative="1">
      <w:start w:val="1"/>
      <w:numFmt w:val="bullet"/>
      <w:lvlText w:val=""/>
      <w:lvlJc w:val="left"/>
      <w:pPr>
        <w:ind w:left="2936" w:hanging="360"/>
      </w:pPr>
      <w:rPr>
        <w:rFonts w:ascii="Symbol" w:hAnsi="Symbol" w:hint="default"/>
      </w:rPr>
    </w:lvl>
    <w:lvl w:ilvl="4" w:tplc="04250003" w:tentative="1">
      <w:start w:val="1"/>
      <w:numFmt w:val="bullet"/>
      <w:lvlText w:val="o"/>
      <w:lvlJc w:val="left"/>
      <w:pPr>
        <w:ind w:left="3656" w:hanging="360"/>
      </w:pPr>
      <w:rPr>
        <w:rFonts w:ascii="Courier New" w:hAnsi="Courier New" w:cs="Courier New" w:hint="default"/>
      </w:rPr>
    </w:lvl>
    <w:lvl w:ilvl="5" w:tplc="04250005" w:tentative="1">
      <w:start w:val="1"/>
      <w:numFmt w:val="bullet"/>
      <w:lvlText w:val=""/>
      <w:lvlJc w:val="left"/>
      <w:pPr>
        <w:ind w:left="4376" w:hanging="360"/>
      </w:pPr>
      <w:rPr>
        <w:rFonts w:ascii="Wingdings" w:hAnsi="Wingdings" w:hint="default"/>
      </w:rPr>
    </w:lvl>
    <w:lvl w:ilvl="6" w:tplc="04250001" w:tentative="1">
      <w:start w:val="1"/>
      <w:numFmt w:val="bullet"/>
      <w:lvlText w:val=""/>
      <w:lvlJc w:val="left"/>
      <w:pPr>
        <w:ind w:left="5096" w:hanging="360"/>
      </w:pPr>
      <w:rPr>
        <w:rFonts w:ascii="Symbol" w:hAnsi="Symbol" w:hint="default"/>
      </w:rPr>
    </w:lvl>
    <w:lvl w:ilvl="7" w:tplc="04250003" w:tentative="1">
      <w:start w:val="1"/>
      <w:numFmt w:val="bullet"/>
      <w:lvlText w:val="o"/>
      <w:lvlJc w:val="left"/>
      <w:pPr>
        <w:ind w:left="5816" w:hanging="360"/>
      </w:pPr>
      <w:rPr>
        <w:rFonts w:ascii="Courier New" w:hAnsi="Courier New" w:cs="Courier New" w:hint="default"/>
      </w:rPr>
    </w:lvl>
    <w:lvl w:ilvl="8" w:tplc="04250005" w:tentative="1">
      <w:start w:val="1"/>
      <w:numFmt w:val="bullet"/>
      <w:lvlText w:val=""/>
      <w:lvlJc w:val="left"/>
      <w:pPr>
        <w:ind w:left="6536" w:hanging="360"/>
      </w:pPr>
      <w:rPr>
        <w:rFonts w:ascii="Wingdings" w:hAnsi="Wingdings" w:hint="default"/>
      </w:rPr>
    </w:lvl>
  </w:abstractNum>
  <w:abstractNum w:abstractNumId="19">
    <w:nsid w:val="33C07DE0"/>
    <w:multiLevelType w:val="hybridMultilevel"/>
    <w:tmpl w:val="1316AE02"/>
    <w:lvl w:ilvl="0" w:tplc="C374F502">
      <w:start w:val="1"/>
      <w:numFmt w:val="bullet"/>
      <w:pStyle w:val="Style1"/>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0">
    <w:nsid w:val="410C37B2"/>
    <w:multiLevelType w:val="hybridMultilevel"/>
    <w:tmpl w:val="C42EB70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nsid w:val="44F812D7"/>
    <w:multiLevelType w:val="hybridMultilevel"/>
    <w:tmpl w:val="077698A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2">
    <w:nsid w:val="4BF52988"/>
    <w:multiLevelType w:val="hybridMultilevel"/>
    <w:tmpl w:val="1CD8EEE2"/>
    <w:lvl w:ilvl="0" w:tplc="5A469462">
      <w:start w:val="20"/>
      <w:numFmt w:val="bullet"/>
      <w:lvlText w:val="-"/>
      <w:lvlJc w:val="left"/>
      <w:pPr>
        <w:ind w:left="1068" w:hanging="360"/>
      </w:pPr>
      <w:rPr>
        <w:rFonts w:ascii="Trebuchet MS" w:eastAsia="Times New Roman" w:hAnsi="Trebuchet MS" w:cs="Times New Roman"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23">
    <w:nsid w:val="51C07E69"/>
    <w:multiLevelType w:val="multilevel"/>
    <w:tmpl w:val="BA6413C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E6A4A05"/>
    <w:multiLevelType w:val="hybridMultilevel"/>
    <w:tmpl w:val="4E661C54"/>
    <w:lvl w:ilvl="0" w:tplc="074410A0">
      <w:start w:val="1"/>
      <w:numFmt w:val="decimalZero"/>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nsid w:val="7079300D"/>
    <w:multiLevelType w:val="hybridMultilevel"/>
    <w:tmpl w:val="DC727D64"/>
    <w:lvl w:ilvl="0" w:tplc="8A80F3BA">
      <w:numFmt w:val="bullet"/>
      <w:lvlText w:val="-"/>
      <w:lvlJc w:val="left"/>
      <w:pPr>
        <w:ind w:left="720" w:hanging="360"/>
      </w:pPr>
      <w:rPr>
        <w:rFonts w:ascii="Trebuchet MS" w:eastAsia="Times New Roman" w:hAnsi="Trebuchet MS"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nsid w:val="71B61D27"/>
    <w:multiLevelType w:val="hybridMultilevel"/>
    <w:tmpl w:val="26F0085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7">
    <w:nsid w:val="783F515E"/>
    <w:multiLevelType w:val="hybridMultilevel"/>
    <w:tmpl w:val="9E1E51D2"/>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27"/>
  </w:num>
  <w:num w:numId="14">
    <w:abstractNumId w:val="19"/>
  </w:num>
  <w:num w:numId="15">
    <w:abstractNumId w:val="23"/>
  </w:num>
  <w:num w:numId="16">
    <w:abstractNumId w:val="18"/>
  </w:num>
  <w:num w:numId="17">
    <w:abstractNumId w:val="20"/>
  </w:num>
  <w:num w:numId="18">
    <w:abstractNumId w:val="11"/>
  </w:num>
  <w:num w:numId="19">
    <w:abstractNumId w:val="25"/>
  </w:num>
  <w:num w:numId="20">
    <w:abstractNumId w:val="26"/>
  </w:num>
  <w:num w:numId="21">
    <w:abstractNumId w:val="22"/>
  </w:num>
  <w:num w:numId="22">
    <w:abstractNumId w:val="21"/>
  </w:num>
  <w:num w:numId="23">
    <w:abstractNumId w:val="16"/>
  </w:num>
  <w:num w:numId="24">
    <w:abstractNumId w:val="15"/>
  </w:num>
  <w:num w:numId="25">
    <w:abstractNumId w:val="17"/>
  </w:num>
  <w:num w:numId="26">
    <w:abstractNumId w:val="24"/>
  </w:num>
  <w:num w:numId="27">
    <w:abstractNumId w:val="1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049">
      <o:colormru v:ext="edit" colors="#f5a600,#c3c3c3,#00708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1D6"/>
    <w:rsid w:val="00000901"/>
    <w:rsid w:val="00000EC1"/>
    <w:rsid w:val="000011F2"/>
    <w:rsid w:val="00001529"/>
    <w:rsid w:val="0000183A"/>
    <w:rsid w:val="000018E7"/>
    <w:rsid w:val="00001919"/>
    <w:rsid w:val="00002033"/>
    <w:rsid w:val="00002AE8"/>
    <w:rsid w:val="00003298"/>
    <w:rsid w:val="000036A1"/>
    <w:rsid w:val="00003C8A"/>
    <w:rsid w:val="00004875"/>
    <w:rsid w:val="00005D5B"/>
    <w:rsid w:val="00006C89"/>
    <w:rsid w:val="0000792A"/>
    <w:rsid w:val="00010A68"/>
    <w:rsid w:val="00010B65"/>
    <w:rsid w:val="00011447"/>
    <w:rsid w:val="00011DBC"/>
    <w:rsid w:val="00012459"/>
    <w:rsid w:val="00012460"/>
    <w:rsid w:val="000124AC"/>
    <w:rsid w:val="00012B28"/>
    <w:rsid w:val="00012C39"/>
    <w:rsid w:val="0001385F"/>
    <w:rsid w:val="00013A50"/>
    <w:rsid w:val="00013E31"/>
    <w:rsid w:val="000140DC"/>
    <w:rsid w:val="00015671"/>
    <w:rsid w:val="00016029"/>
    <w:rsid w:val="000163C8"/>
    <w:rsid w:val="00016433"/>
    <w:rsid w:val="000166FE"/>
    <w:rsid w:val="00016B2C"/>
    <w:rsid w:val="00020A7F"/>
    <w:rsid w:val="00021C80"/>
    <w:rsid w:val="0002208E"/>
    <w:rsid w:val="00023662"/>
    <w:rsid w:val="00024301"/>
    <w:rsid w:val="00024469"/>
    <w:rsid w:val="000249BB"/>
    <w:rsid w:val="00024C5E"/>
    <w:rsid w:val="00025113"/>
    <w:rsid w:val="00025940"/>
    <w:rsid w:val="00025E82"/>
    <w:rsid w:val="00025F47"/>
    <w:rsid w:val="0002617C"/>
    <w:rsid w:val="000261A8"/>
    <w:rsid w:val="00026926"/>
    <w:rsid w:val="00030091"/>
    <w:rsid w:val="000311FC"/>
    <w:rsid w:val="00031352"/>
    <w:rsid w:val="000317FA"/>
    <w:rsid w:val="00031A35"/>
    <w:rsid w:val="00031B26"/>
    <w:rsid w:val="000321A8"/>
    <w:rsid w:val="00033415"/>
    <w:rsid w:val="00033866"/>
    <w:rsid w:val="00033AC7"/>
    <w:rsid w:val="00034CFB"/>
    <w:rsid w:val="0003572C"/>
    <w:rsid w:val="00035C16"/>
    <w:rsid w:val="00035C82"/>
    <w:rsid w:val="00035D54"/>
    <w:rsid w:val="00036B52"/>
    <w:rsid w:val="00036DB9"/>
    <w:rsid w:val="00037396"/>
    <w:rsid w:val="00037858"/>
    <w:rsid w:val="00037B23"/>
    <w:rsid w:val="00037E42"/>
    <w:rsid w:val="00037EBD"/>
    <w:rsid w:val="00040183"/>
    <w:rsid w:val="00040647"/>
    <w:rsid w:val="000409E4"/>
    <w:rsid w:val="00040CAA"/>
    <w:rsid w:val="000411FC"/>
    <w:rsid w:val="0004239A"/>
    <w:rsid w:val="00042416"/>
    <w:rsid w:val="000433F5"/>
    <w:rsid w:val="00043434"/>
    <w:rsid w:val="000439A3"/>
    <w:rsid w:val="00043C3D"/>
    <w:rsid w:val="000441F9"/>
    <w:rsid w:val="000447ED"/>
    <w:rsid w:val="00044B7E"/>
    <w:rsid w:val="00045312"/>
    <w:rsid w:val="00045860"/>
    <w:rsid w:val="00045E6E"/>
    <w:rsid w:val="000472FA"/>
    <w:rsid w:val="0005033C"/>
    <w:rsid w:val="0005039C"/>
    <w:rsid w:val="000518FE"/>
    <w:rsid w:val="00051A5A"/>
    <w:rsid w:val="0005213D"/>
    <w:rsid w:val="00052F09"/>
    <w:rsid w:val="00053354"/>
    <w:rsid w:val="0005344D"/>
    <w:rsid w:val="00053962"/>
    <w:rsid w:val="0005468E"/>
    <w:rsid w:val="00054754"/>
    <w:rsid w:val="00054771"/>
    <w:rsid w:val="00054CFB"/>
    <w:rsid w:val="0005507D"/>
    <w:rsid w:val="0005526E"/>
    <w:rsid w:val="00055D06"/>
    <w:rsid w:val="00056838"/>
    <w:rsid w:val="00056DD0"/>
    <w:rsid w:val="00056EB6"/>
    <w:rsid w:val="00057792"/>
    <w:rsid w:val="00057974"/>
    <w:rsid w:val="00057DF3"/>
    <w:rsid w:val="000600EF"/>
    <w:rsid w:val="000607D0"/>
    <w:rsid w:val="00060B8F"/>
    <w:rsid w:val="00060F27"/>
    <w:rsid w:val="00061350"/>
    <w:rsid w:val="0006233F"/>
    <w:rsid w:val="0006287B"/>
    <w:rsid w:val="0006291F"/>
    <w:rsid w:val="00062F43"/>
    <w:rsid w:val="0006408E"/>
    <w:rsid w:val="00064391"/>
    <w:rsid w:val="000649B7"/>
    <w:rsid w:val="00064BA6"/>
    <w:rsid w:val="00065C63"/>
    <w:rsid w:val="00066415"/>
    <w:rsid w:val="00066B72"/>
    <w:rsid w:val="00067908"/>
    <w:rsid w:val="00067A39"/>
    <w:rsid w:val="00067A47"/>
    <w:rsid w:val="00067D50"/>
    <w:rsid w:val="00067DEE"/>
    <w:rsid w:val="00070309"/>
    <w:rsid w:val="000710D4"/>
    <w:rsid w:val="000714B3"/>
    <w:rsid w:val="000728B8"/>
    <w:rsid w:val="00072993"/>
    <w:rsid w:val="00075042"/>
    <w:rsid w:val="00075231"/>
    <w:rsid w:val="00075838"/>
    <w:rsid w:val="00075DCE"/>
    <w:rsid w:val="000760B7"/>
    <w:rsid w:val="000764F1"/>
    <w:rsid w:val="00076754"/>
    <w:rsid w:val="00076912"/>
    <w:rsid w:val="00076C62"/>
    <w:rsid w:val="00076DFD"/>
    <w:rsid w:val="000771C8"/>
    <w:rsid w:val="0007720B"/>
    <w:rsid w:val="00077402"/>
    <w:rsid w:val="00077952"/>
    <w:rsid w:val="0008014C"/>
    <w:rsid w:val="00081140"/>
    <w:rsid w:val="000814CF"/>
    <w:rsid w:val="000817AC"/>
    <w:rsid w:val="000817EA"/>
    <w:rsid w:val="00081E35"/>
    <w:rsid w:val="00081FA7"/>
    <w:rsid w:val="00082F0F"/>
    <w:rsid w:val="0008391B"/>
    <w:rsid w:val="00083D68"/>
    <w:rsid w:val="0008430D"/>
    <w:rsid w:val="00084B87"/>
    <w:rsid w:val="00084DCA"/>
    <w:rsid w:val="00085409"/>
    <w:rsid w:val="000855C4"/>
    <w:rsid w:val="00085F43"/>
    <w:rsid w:val="00086104"/>
    <w:rsid w:val="000861FF"/>
    <w:rsid w:val="00086524"/>
    <w:rsid w:val="00086718"/>
    <w:rsid w:val="00086C70"/>
    <w:rsid w:val="00086D21"/>
    <w:rsid w:val="0008767D"/>
    <w:rsid w:val="000879E0"/>
    <w:rsid w:val="00087B7F"/>
    <w:rsid w:val="00087F8F"/>
    <w:rsid w:val="00090354"/>
    <w:rsid w:val="00090586"/>
    <w:rsid w:val="00090B72"/>
    <w:rsid w:val="00091E3B"/>
    <w:rsid w:val="00091F89"/>
    <w:rsid w:val="00092188"/>
    <w:rsid w:val="00092403"/>
    <w:rsid w:val="000924E2"/>
    <w:rsid w:val="0009364F"/>
    <w:rsid w:val="0009394A"/>
    <w:rsid w:val="00093DFD"/>
    <w:rsid w:val="00094777"/>
    <w:rsid w:val="00094C01"/>
    <w:rsid w:val="00094DAA"/>
    <w:rsid w:val="00094DFB"/>
    <w:rsid w:val="00094EF3"/>
    <w:rsid w:val="00095E79"/>
    <w:rsid w:val="000963D7"/>
    <w:rsid w:val="0009678F"/>
    <w:rsid w:val="0009682E"/>
    <w:rsid w:val="00096891"/>
    <w:rsid w:val="00096953"/>
    <w:rsid w:val="0009759C"/>
    <w:rsid w:val="00097784"/>
    <w:rsid w:val="00097D19"/>
    <w:rsid w:val="000A04E9"/>
    <w:rsid w:val="000A0986"/>
    <w:rsid w:val="000A107A"/>
    <w:rsid w:val="000A18E2"/>
    <w:rsid w:val="000A1A4D"/>
    <w:rsid w:val="000A207C"/>
    <w:rsid w:val="000A2738"/>
    <w:rsid w:val="000A349F"/>
    <w:rsid w:val="000A3729"/>
    <w:rsid w:val="000A3934"/>
    <w:rsid w:val="000A3FEA"/>
    <w:rsid w:val="000A4902"/>
    <w:rsid w:val="000A54F1"/>
    <w:rsid w:val="000A5E08"/>
    <w:rsid w:val="000A613B"/>
    <w:rsid w:val="000A65B7"/>
    <w:rsid w:val="000A6C76"/>
    <w:rsid w:val="000A6D14"/>
    <w:rsid w:val="000A6FB3"/>
    <w:rsid w:val="000A71A8"/>
    <w:rsid w:val="000A766B"/>
    <w:rsid w:val="000A7A7F"/>
    <w:rsid w:val="000A7EDA"/>
    <w:rsid w:val="000B04BC"/>
    <w:rsid w:val="000B15B0"/>
    <w:rsid w:val="000B1CB8"/>
    <w:rsid w:val="000B27C3"/>
    <w:rsid w:val="000B2EE0"/>
    <w:rsid w:val="000B2FB0"/>
    <w:rsid w:val="000B5A2F"/>
    <w:rsid w:val="000B5B14"/>
    <w:rsid w:val="000B5FAC"/>
    <w:rsid w:val="000B60B2"/>
    <w:rsid w:val="000B620B"/>
    <w:rsid w:val="000B7120"/>
    <w:rsid w:val="000B753D"/>
    <w:rsid w:val="000B7579"/>
    <w:rsid w:val="000B790E"/>
    <w:rsid w:val="000B7E63"/>
    <w:rsid w:val="000B7FD5"/>
    <w:rsid w:val="000C0B5C"/>
    <w:rsid w:val="000C144C"/>
    <w:rsid w:val="000C2484"/>
    <w:rsid w:val="000C369A"/>
    <w:rsid w:val="000C404F"/>
    <w:rsid w:val="000C444D"/>
    <w:rsid w:val="000C48DF"/>
    <w:rsid w:val="000C4EAB"/>
    <w:rsid w:val="000C53D3"/>
    <w:rsid w:val="000C5477"/>
    <w:rsid w:val="000C63F8"/>
    <w:rsid w:val="000C6448"/>
    <w:rsid w:val="000C65D9"/>
    <w:rsid w:val="000C69BF"/>
    <w:rsid w:val="000C6BF4"/>
    <w:rsid w:val="000C6FF2"/>
    <w:rsid w:val="000C7CAB"/>
    <w:rsid w:val="000D00BF"/>
    <w:rsid w:val="000D08C5"/>
    <w:rsid w:val="000D1BBF"/>
    <w:rsid w:val="000D2425"/>
    <w:rsid w:val="000D24B9"/>
    <w:rsid w:val="000D2B76"/>
    <w:rsid w:val="000D32FD"/>
    <w:rsid w:val="000D43CF"/>
    <w:rsid w:val="000D47AC"/>
    <w:rsid w:val="000D4921"/>
    <w:rsid w:val="000D4E4D"/>
    <w:rsid w:val="000D5066"/>
    <w:rsid w:val="000D54F5"/>
    <w:rsid w:val="000D5A9F"/>
    <w:rsid w:val="000D5C06"/>
    <w:rsid w:val="000D67AD"/>
    <w:rsid w:val="000D6B48"/>
    <w:rsid w:val="000D6DD9"/>
    <w:rsid w:val="000D7DCE"/>
    <w:rsid w:val="000D7E9F"/>
    <w:rsid w:val="000E1421"/>
    <w:rsid w:val="000E183C"/>
    <w:rsid w:val="000E1AEC"/>
    <w:rsid w:val="000E21B9"/>
    <w:rsid w:val="000E238F"/>
    <w:rsid w:val="000E2485"/>
    <w:rsid w:val="000E314B"/>
    <w:rsid w:val="000E3288"/>
    <w:rsid w:val="000E35C1"/>
    <w:rsid w:val="000E35E0"/>
    <w:rsid w:val="000E4A61"/>
    <w:rsid w:val="000E4EED"/>
    <w:rsid w:val="000E619B"/>
    <w:rsid w:val="000E61E9"/>
    <w:rsid w:val="000E6B92"/>
    <w:rsid w:val="000E74ED"/>
    <w:rsid w:val="000E7923"/>
    <w:rsid w:val="000E7A7D"/>
    <w:rsid w:val="000F05B1"/>
    <w:rsid w:val="000F09A0"/>
    <w:rsid w:val="000F13D2"/>
    <w:rsid w:val="000F1597"/>
    <w:rsid w:val="000F15CE"/>
    <w:rsid w:val="000F1DB3"/>
    <w:rsid w:val="000F20EA"/>
    <w:rsid w:val="000F2A53"/>
    <w:rsid w:val="000F3481"/>
    <w:rsid w:val="000F3637"/>
    <w:rsid w:val="000F470C"/>
    <w:rsid w:val="000F48D2"/>
    <w:rsid w:val="000F48F6"/>
    <w:rsid w:val="000F4A40"/>
    <w:rsid w:val="000F4CC3"/>
    <w:rsid w:val="000F51CF"/>
    <w:rsid w:val="000F5392"/>
    <w:rsid w:val="000F5AE0"/>
    <w:rsid w:val="000F600D"/>
    <w:rsid w:val="000F60D7"/>
    <w:rsid w:val="000F7124"/>
    <w:rsid w:val="000F756D"/>
    <w:rsid w:val="000F76C0"/>
    <w:rsid w:val="000F7DCD"/>
    <w:rsid w:val="00100078"/>
    <w:rsid w:val="0010041A"/>
    <w:rsid w:val="00101052"/>
    <w:rsid w:val="0010118A"/>
    <w:rsid w:val="001013D9"/>
    <w:rsid w:val="00101E72"/>
    <w:rsid w:val="00102BF3"/>
    <w:rsid w:val="00102DC9"/>
    <w:rsid w:val="001032D1"/>
    <w:rsid w:val="001034B4"/>
    <w:rsid w:val="001036E4"/>
    <w:rsid w:val="00103C09"/>
    <w:rsid w:val="00104581"/>
    <w:rsid w:val="00104C00"/>
    <w:rsid w:val="00104C07"/>
    <w:rsid w:val="00105049"/>
    <w:rsid w:val="00105277"/>
    <w:rsid w:val="00105684"/>
    <w:rsid w:val="00105B6F"/>
    <w:rsid w:val="0010694A"/>
    <w:rsid w:val="00106FD7"/>
    <w:rsid w:val="001070A6"/>
    <w:rsid w:val="00107A2D"/>
    <w:rsid w:val="00110929"/>
    <w:rsid w:val="001110B1"/>
    <w:rsid w:val="0011136F"/>
    <w:rsid w:val="00112393"/>
    <w:rsid w:val="001124A4"/>
    <w:rsid w:val="00112EEA"/>
    <w:rsid w:val="001132C2"/>
    <w:rsid w:val="00113E76"/>
    <w:rsid w:val="00114132"/>
    <w:rsid w:val="00114989"/>
    <w:rsid w:val="00114E00"/>
    <w:rsid w:val="001153B1"/>
    <w:rsid w:val="001158B8"/>
    <w:rsid w:val="00115F7C"/>
    <w:rsid w:val="001176B9"/>
    <w:rsid w:val="0011796E"/>
    <w:rsid w:val="00121B50"/>
    <w:rsid w:val="00122B2D"/>
    <w:rsid w:val="00123483"/>
    <w:rsid w:val="00123519"/>
    <w:rsid w:val="0012370B"/>
    <w:rsid w:val="00124281"/>
    <w:rsid w:val="001248F4"/>
    <w:rsid w:val="00124B0C"/>
    <w:rsid w:val="001269AF"/>
    <w:rsid w:val="00126A7A"/>
    <w:rsid w:val="0012795D"/>
    <w:rsid w:val="00130139"/>
    <w:rsid w:val="0013023F"/>
    <w:rsid w:val="0013056F"/>
    <w:rsid w:val="0013058A"/>
    <w:rsid w:val="00130683"/>
    <w:rsid w:val="00130851"/>
    <w:rsid w:val="00130E9A"/>
    <w:rsid w:val="0013102A"/>
    <w:rsid w:val="0013189E"/>
    <w:rsid w:val="001321A9"/>
    <w:rsid w:val="0013254E"/>
    <w:rsid w:val="00132C6F"/>
    <w:rsid w:val="001332DD"/>
    <w:rsid w:val="00133A40"/>
    <w:rsid w:val="00134229"/>
    <w:rsid w:val="00134248"/>
    <w:rsid w:val="00134643"/>
    <w:rsid w:val="0013521F"/>
    <w:rsid w:val="00135A44"/>
    <w:rsid w:val="00135EC4"/>
    <w:rsid w:val="001361FC"/>
    <w:rsid w:val="00136795"/>
    <w:rsid w:val="00136E36"/>
    <w:rsid w:val="00137131"/>
    <w:rsid w:val="0013756C"/>
    <w:rsid w:val="001376F1"/>
    <w:rsid w:val="00137CE9"/>
    <w:rsid w:val="00140132"/>
    <w:rsid w:val="0014088F"/>
    <w:rsid w:val="001409ED"/>
    <w:rsid w:val="00140AD7"/>
    <w:rsid w:val="00140CE5"/>
    <w:rsid w:val="001433FB"/>
    <w:rsid w:val="00143EA1"/>
    <w:rsid w:val="00144523"/>
    <w:rsid w:val="00144E77"/>
    <w:rsid w:val="00144F3F"/>
    <w:rsid w:val="001457FD"/>
    <w:rsid w:val="00145F8F"/>
    <w:rsid w:val="001463FB"/>
    <w:rsid w:val="00147183"/>
    <w:rsid w:val="00147AEF"/>
    <w:rsid w:val="00147C07"/>
    <w:rsid w:val="00147D7C"/>
    <w:rsid w:val="00150473"/>
    <w:rsid w:val="001504C7"/>
    <w:rsid w:val="0015081A"/>
    <w:rsid w:val="00151192"/>
    <w:rsid w:val="00151688"/>
    <w:rsid w:val="00151776"/>
    <w:rsid w:val="00151DDA"/>
    <w:rsid w:val="001523DA"/>
    <w:rsid w:val="00152BB8"/>
    <w:rsid w:val="00152D48"/>
    <w:rsid w:val="00152E6E"/>
    <w:rsid w:val="00153058"/>
    <w:rsid w:val="0015419F"/>
    <w:rsid w:val="001543E7"/>
    <w:rsid w:val="00154B67"/>
    <w:rsid w:val="00154BBA"/>
    <w:rsid w:val="001554D2"/>
    <w:rsid w:val="00155A91"/>
    <w:rsid w:val="00155B89"/>
    <w:rsid w:val="00156117"/>
    <w:rsid w:val="001566B0"/>
    <w:rsid w:val="00156944"/>
    <w:rsid w:val="00156F63"/>
    <w:rsid w:val="00157094"/>
    <w:rsid w:val="001575BD"/>
    <w:rsid w:val="00157C62"/>
    <w:rsid w:val="00161E30"/>
    <w:rsid w:val="001620B9"/>
    <w:rsid w:val="00162245"/>
    <w:rsid w:val="00162A50"/>
    <w:rsid w:val="00162C98"/>
    <w:rsid w:val="00162D9A"/>
    <w:rsid w:val="0016365C"/>
    <w:rsid w:val="00163E7F"/>
    <w:rsid w:val="001641E5"/>
    <w:rsid w:val="001646E2"/>
    <w:rsid w:val="0016503A"/>
    <w:rsid w:val="00165AF7"/>
    <w:rsid w:val="00165C9D"/>
    <w:rsid w:val="00165E81"/>
    <w:rsid w:val="00165F62"/>
    <w:rsid w:val="00166313"/>
    <w:rsid w:val="00166980"/>
    <w:rsid w:val="00166DF2"/>
    <w:rsid w:val="001671F8"/>
    <w:rsid w:val="001674CB"/>
    <w:rsid w:val="00167678"/>
    <w:rsid w:val="001678CA"/>
    <w:rsid w:val="00167998"/>
    <w:rsid w:val="00167E90"/>
    <w:rsid w:val="001700CF"/>
    <w:rsid w:val="001705D2"/>
    <w:rsid w:val="001710F0"/>
    <w:rsid w:val="0017112E"/>
    <w:rsid w:val="001711E6"/>
    <w:rsid w:val="001712D4"/>
    <w:rsid w:val="00171A74"/>
    <w:rsid w:val="00171E52"/>
    <w:rsid w:val="0017220A"/>
    <w:rsid w:val="00172A55"/>
    <w:rsid w:val="00172C1B"/>
    <w:rsid w:val="0017365F"/>
    <w:rsid w:val="001739D6"/>
    <w:rsid w:val="00173D35"/>
    <w:rsid w:val="00173EA8"/>
    <w:rsid w:val="00174763"/>
    <w:rsid w:val="00174918"/>
    <w:rsid w:val="00174B41"/>
    <w:rsid w:val="00174B6B"/>
    <w:rsid w:val="0017539C"/>
    <w:rsid w:val="00175DCE"/>
    <w:rsid w:val="0017623B"/>
    <w:rsid w:val="001762E9"/>
    <w:rsid w:val="00176304"/>
    <w:rsid w:val="001765B3"/>
    <w:rsid w:val="001767E5"/>
    <w:rsid w:val="0017692E"/>
    <w:rsid w:val="00177DFD"/>
    <w:rsid w:val="00177E29"/>
    <w:rsid w:val="0018090A"/>
    <w:rsid w:val="00181122"/>
    <w:rsid w:val="001814FB"/>
    <w:rsid w:val="0018211A"/>
    <w:rsid w:val="0018299D"/>
    <w:rsid w:val="00183197"/>
    <w:rsid w:val="001834BB"/>
    <w:rsid w:val="00183620"/>
    <w:rsid w:val="00183DFB"/>
    <w:rsid w:val="001844C0"/>
    <w:rsid w:val="0018523E"/>
    <w:rsid w:val="00185484"/>
    <w:rsid w:val="00185BA5"/>
    <w:rsid w:val="0018623E"/>
    <w:rsid w:val="00186EFC"/>
    <w:rsid w:val="001870AD"/>
    <w:rsid w:val="00187312"/>
    <w:rsid w:val="001878AC"/>
    <w:rsid w:val="00187FB5"/>
    <w:rsid w:val="0019000A"/>
    <w:rsid w:val="0019059C"/>
    <w:rsid w:val="0019076D"/>
    <w:rsid w:val="00191592"/>
    <w:rsid w:val="0019186D"/>
    <w:rsid w:val="00191A57"/>
    <w:rsid w:val="00191E1D"/>
    <w:rsid w:val="001923CF"/>
    <w:rsid w:val="001924EB"/>
    <w:rsid w:val="00192623"/>
    <w:rsid w:val="001926D9"/>
    <w:rsid w:val="00192B6D"/>
    <w:rsid w:val="001934AD"/>
    <w:rsid w:val="0019361B"/>
    <w:rsid w:val="00194AB9"/>
    <w:rsid w:val="00194ED6"/>
    <w:rsid w:val="00194EF9"/>
    <w:rsid w:val="001950DA"/>
    <w:rsid w:val="00195580"/>
    <w:rsid w:val="001955F5"/>
    <w:rsid w:val="00195BFB"/>
    <w:rsid w:val="0019675A"/>
    <w:rsid w:val="00196E1B"/>
    <w:rsid w:val="0019719B"/>
    <w:rsid w:val="0019761C"/>
    <w:rsid w:val="00197DD7"/>
    <w:rsid w:val="001A0396"/>
    <w:rsid w:val="001A07E6"/>
    <w:rsid w:val="001A0957"/>
    <w:rsid w:val="001A0AD9"/>
    <w:rsid w:val="001A0C44"/>
    <w:rsid w:val="001A1544"/>
    <w:rsid w:val="001A17B4"/>
    <w:rsid w:val="001A1F82"/>
    <w:rsid w:val="001A385E"/>
    <w:rsid w:val="001A3D1D"/>
    <w:rsid w:val="001A3F37"/>
    <w:rsid w:val="001A3F9F"/>
    <w:rsid w:val="001A45E2"/>
    <w:rsid w:val="001A4885"/>
    <w:rsid w:val="001A4C78"/>
    <w:rsid w:val="001A4DF0"/>
    <w:rsid w:val="001A50E5"/>
    <w:rsid w:val="001A533C"/>
    <w:rsid w:val="001A5AB8"/>
    <w:rsid w:val="001A5F98"/>
    <w:rsid w:val="001A63FE"/>
    <w:rsid w:val="001A6946"/>
    <w:rsid w:val="001A72F2"/>
    <w:rsid w:val="001A7821"/>
    <w:rsid w:val="001A7892"/>
    <w:rsid w:val="001A7C0A"/>
    <w:rsid w:val="001B0092"/>
    <w:rsid w:val="001B0915"/>
    <w:rsid w:val="001B0EC4"/>
    <w:rsid w:val="001B132C"/>
    <w:rsid w:val="001B14EE"/>
    <w:rsid w:val="001B16F6"/>
    <w:rsid w:val="001B1BDD"/>
    <w:rsid w:val="001B1EC2"/>
    <w:rsid w:val="001B2C35"/>
    <w:rsid w:val="001B2ED9"/>
    <w:rsid w:val="001B3100"/>
    <w:rsid w:val="001B3197"/>
    <w:rsid w:val="001B3798"/>
    <w:rsid w:val="001B3BAA"/>
    <w:rsid w:val="001B3C35"/>
    <w:rsid w:val="001B3D49"/>
    <w:rsid w:val="001B4972"/>
    <w:rsid w:val="001B4C80"/>
    <w:rsid w:val="001B4DDD"/>
    <w:rsid w:val="001B4E65"/>
    <w:rsid w:val="001B61AD"/>
    <w:rsid w:val="001B7682"/>
    <w:rsid w:val="001B7CE4"/>
    <w:rsid w:val="001B7F5F"/>
    <w:rsid w:val="001C03E4"/>
    <w:rsid w:val="001C122E"/>
    <w:rsid w:val="001C1FE5"/>
    <w:rsid w:val="001C289E"/>
    <w:rsid w:val="001C2B97"/>
    <w:rsid w:val="001C38B2"/>
    <w:rsid w:val="001C3D01"/>
    <w:rsid w:val="001C4039"/>
    <w:rsid w:val="001C4815"/>
    <w:rsid w:val="001C5A2F"/>
    <w:rsid w:val="001C5C54"/>
    <w:rsid w:val="001C63F7"/>
    <w:rsid w:val="001C6626"/>
    <w:rsid w:val="001C6945"/>
    <w:rsid w:val="001C720A"/>
    <w:rsid w:val="001D0570"/>
    <w:rsid w:val="001D08BF"/>
    <w:rsid w:val="001D0E05"/>
    <w:rsid w:val="001D1288"/>
    <w:rsid w:val="001D1950"/>
    <w:rsid w:val="001D1ECB"/>
    <w:rsid w:val="001D20FB"/>
    <w:rsid w:val="001D25AE"/>
    <w:rsid w:val="001D32C7"/>
    <w:rsid w:val="001D3322"/>
    <w:rsid w:val="001D39B6"/>
    <w:rsid w:val="001D3A11"/>
    <w:rsid w:val="001D3FAC"/>
    <w:rsid w:val="001D473B"/>
    <w:rsid w:val="001D513E"/>
    <w:rsid w:val="001D530F"/>
    <w:rsid w:val="001D6DFB"/>
    <w:rsid w:val="001D6F7E"/>
    <w:rsid w:val="001D7557"/>
    <w:rsid w:val="001E08CD"/>
    <w:rsid w:val="001E0D6F"/>
    <w:rsid w:val="001E0E93"/>
    <w:rsid w:val="001E2826"/>
    <w:rsid w:val="001E2917"/>
    <w:rsid w:val="001E2A6D"/>
    <w:rsid w:val="001E2F33"/>
    <w:rsid w:val="001E32D0"/>
    <w:rsid w:val="001E3CBC"/>
    <w:rsid w:val="001E3FE2"/>
    <w:rsid w:val="001E4764"/>
    <w:rsid w:val="001E48AF"/>
    <w:rsid w:val="001E4FF3"/>
    <w:rsid w:val="001E5364"/>
    <w:rsid w:val="001E5952"/>
    <w:rsid w:val="001E5C92"/>
    <w:rsid w:val="001E5E3C"/>
    <w:rsid w:val="001E6428"/>
    <w:rsid w:val="001E683E"/>
    <w:rsid w:val="001E6E00"/>
    <w:rsid w:val="001E7462"/>
    <w:rsid w:val="001E7B05"/>
    <w:rsid w:val="001E7B89"/>
    <w:rsid w:val="001E7D55"/>
    <w:rsid w:val="001F0172"/>
    <w:rsid w:val="001F0FD5"/>
    <w:rsid w:val="001F137E"/>
    <w:rsid w:val="001F13D7"/>
    <w:rsid w:val="001F1B49"/>
    <w:rsid w:val="001F24F6"/>
    <w:rsid w:val="001F26AC"/>
    <w:rsid w:val="001F3D73"/>
    <w:rsid w:val="001F3E48"/>
    <w:rsid w:val="001F3F93"/>
    <w:rsid w:val="001F4427"/>
    <w:rsid w:val="001F51C3"/>
    <w:rsid w:val="001F55B2"/>
    <w:rsid w:val="001F5775"/>
    <w:rsid w:val="001F57F1"/>
    <w:rsid w:val="001F5D77"/>
    <w:rsid w:val="001F668B"/>
    <w:rsid w:val="001F67F7"/>
    <w:rsid w:val="001F7A21"/>
    <w:rsid w:val="001F7BDB"/>
    <w:rsid w:val="002002E3"/>
    <w:rsid w:val="002020F3"/>
    <w:rsid w:val="002024C4"/>
    <w:rsid w:val="00202AA5"/>
    <w:rsid w:val="00203418"/>
    <w:rsid w:val="00203CAA"/>
    <w:rsid w:val="00204375"/>
    <w:rsid w:val="00205759"/>
    <w:rsid w:val="00205A51"/>
    <w:rsid w:val="002068FB"/>
    <w:rsid w:val="00206EDD"/>
    <w:rsid w:val="002074E7"/>
    <w:rsid w:val="00207724"/>
    <w:rsid w:val="00207A0D"/>
    <w:rsid w:val="00210128"/>
    <w:rsid w:val="0021029A"/>
    <w:rsid w:val="00210FCC"/>
    <w:rsid w:val="00211103"/>
    <w:rsid w:val="0021132A"/>
    <w:rsid w:val="00211962"/>
    <w:rsid w:val="00211A69"/>
    <w:rsid w:val="002123DC"/>
    <w:rsid w:val="00212418"/>
    <w:rsid w:val="00212A82"/>
    <w:rsid w:val="00213389"/>
    <w:rsid w:val="002135B2"/>
    <w:rsid w:val="002135F5"/>
    <w:rsid w:val="002136C9"/>
    <w:rsid w:val="00214161"/>
    <w:rsid w:val="00214306"/>
    <w:rsid w:val="002147B2"/>
    <w:rsid w:val="00214D08"/>
    <w:rsid w:val="00214E28"/>
    <w:rsid w:val="00214FB9"/>
    <w:rsid w:val="0021516B"/>
    <w:rsid w:val="0021583A"/>
    <w:rsid w:val="00215A37"/>
    <w:rsid w:val="00215A52"/>
    <w:rsid w:val="002160AB"/>
    <w:rsid w:val="0021639A"/>
    <w:rsid w:val="00216750"/>
    <w:rsid w:val="00217DF4"/>
    <w:rsid w:val="0022052B"/>
    <w:rsid w:val="002205E9"/>
    <w:rsid w:val="00220B23"/>
    <w:rsid w:val="00220D9A"/>
    <w:rsid w:val="00220F21"/>
    <w:rsid w:val="00221190"/>
    <w:rsid w:val="00221C00"/>
    <w:rsid w:val="002227FB"/>
    <w:rsid w:val="00222CCB"/>
    <w:rsid w:val="00222DED"/>
    <w:rsid w:val="00222F20"/>
    <w:rsid w:val="00222F99"/>
    <w:rsid w:val="0022344D"/>
    <w:rsid w:val="00223940"/>
    <w:rsid w:val="00224345"/>
    <w:rsid w:val="002246E7"/>
    <w:rsid w:val="00224A72"/>
    <w:rsid w:val="00224B35"/>
    <w:rsid w:val="00224B64"/>
    <w:rsid w:val="002257A8"/>
    <w:rsid w:val="002257CA"/>
    <w:rsid w:val="00225D62"/>
    <w:rsid w:val="00226205"/>
    <w:rsid w:val="00227027"/>
    <w:rsid w:val="002270A2"/>
    <w:rsid w:val="00227291"/>
    <w:rsid w:val="002273E2"/>
    <w:rsid w:val="00227E5E"/>
    <w:rsid w:val="00230BA9"/>
    <w:rsid w:val="00231450"/>
    <w:rsid w:val="0023193F"/>
    <w:rsid w:val="00231D9E"/>
    <w:rsid w:val="00231DEC"/>
    <w:rsid w:val="00231F48"/>
    <w:rsid w:val="0023230B"/>
    <w:rsid w:val="00232ADC"/>
    <w:rsid w:val="00232B64"/>
    <w:rsid w:val="00233D82"/>
    <w:rsid w:val="002348D8"/>
    <w:rsid w:val="00234ADA"/>
    <w:rsid w:val="00234F86"/>
    <w:rsid w:val="002350E7"/>
    <w:rsid w:val="002351AE"/>
    <w:rsid w:val="0023603C"/>
    <w:rsid w:val="00236472"/>
    <w:rsid w:val="002370DF"/>
    <w:rsid w:val="002371D0"/>
    <w:rsid w:val="00237EEF"/>
    <w:rsid w:val="00241440"/>
    <w:rsid w:val="00241539"/>
    <w:rsid w:val="0024158E"/>
    <w:rsid w:val="002416C6"/>
    <w:rsid w:val="002419D5"/>
    <w:rsid w:val="00241B3F"/>
    <w:rsid w:val="002420C5"/>
    <w:rsid w:val="00242F8F"/>
    <w:rsid w:val="00242FC1"/>
    <w:rsid w:val="00243A2A"/>
    <w:rsid w:val="00243EDA"/>
    <w:rsid w:val="002440A6"/>
    <w:rsid w:val="00244563"/>
    <w:rsid w:val="00244CAF"/>
    <w:rsid w:val="00245279"/>
    <w:rsid w:val="00245381"/>
    <w:rsid w:val="0024592F"/>
    <w:rsid w:val="0024594C"/>
    <w:rsid w:val="00246826"/>
    <w:rsid w:val="00246AAA"/>
    <w:rsid w:val="00246F73"/>
    <w:rsid w:val="00247288"/>
    <w:rsid w:val="002503CC"/>
    <w:rsid w:val="00251F25"/>
    <w:rsid w:val="00252286"/>
    <w:rsid w:val="002526A5"/>
    <w:rsid w:val="00252BE3"/>
    <w:rsid w:val="00252FC3"/>
    <w:rsid w:val="00253462"/>
    <w:rsid w:val="0025469A"/>
    <w:rsid w:val="00254A4E"/>
    <w:rsid w:val="002555F9"/>
    <w:rsid w:val="00255E8F"/>
    <w:rsid w:val="0025653F"/>
    <w:rsid w:val="002569EB"/>
    <w:rsid w:val="00256B51"/>
    <w:rsid w:val="00257111"/>
    <w:rsid w:val="0025732F"/>
    <w:rsid w:val="002578E7"/>
    <w:rsid w:val="002601F1"/>
    <w:rsid w:val="00260A68"/>
    <w:rsid w:val="002613C5"/>
    <w:rsid w:val="00261411"/>
    <w:rsid w:val="002618A9"/>
    <w:rsid w:val="00262414"/>
    <w:rsid w:val="0026259A"/>
    <w:rsid w:val="00262A25"/>
    <w:rsid w:val="00262DCE"/>
    <w:rsid w:val="00263180"/>
    <w:rsid w:val="00263E74"/>
    <w:rsid w:val="00264A19"/>
    <w:rsid w:val="00264B2A"/>
    <w:rsid w:val="00264C61"/>
    <w:rsid w:val="00265117"/>
    <w:rsid w:val="002654C5"/>
    <w:rsid w:val="00265539"/>
    <w:rsid w:val="00265A1A"/>
    <w:rsid w:val="00265F9B"/>
    <w:rsid w:val="0026630E"/>
    <w:rsid w:val="0026771B"/>
    <w:rsid w:val="00267FD4"/>
    <w:rsid w:val="00270253"/>
    <w:rsid w:val="002705E4"/>
    <w:rsid w:val="00270A46"/>
    <w:rsid w:val="00270C10"/>
    <w:rsid w:val="00270DB8"/>
    <w:rsid w:val="0027161F"/>
    <w:rsid w:val="0027183B"/>
    <w:rsid w:val="00271AB2"/>
    <w:rsid w:val="00271D42"/>
    <w:rsid w:val="00272175"/>
    <w:rsid w:val="0027289C"/>
    <w:rsid w:val="00272A66"/>
    <w:rsid w:val="00273667"/>
    <w:rsid w:val="00273DAF"/>
    <w:rsid w:val="00273F9B"/>
    <w:rsid w:val="002745F8"/>
    <w:rsid w:val="002747F5"/>
    <w:rsid w:val="00274AFC"/>
    <w:rsid w:val="00274C5F"/>
    <w:rsid w:val="00274D7C"/>
    <w:rsid w:val="00274E5E"/>
    <w:rsid w:val="0027505B"/>
    <w:rsid w:val="002752B0"/>
    <w:rsid w:val="00275E4A"/>
    <w:rsid w:val="00275EE6"/>
    <w:rsid w:val="00275FC2"/>
    <w:rsid w:val="00276B61"/>
    <w:rsid w:val="00276F59"/>
    <w:rsid w:val="00277D30"/>
    <w:rsid w:val="00277F00"/>
    <w:rsid w:val="00280F89"/>
    <w:rsid w:val="00280FA5"/>
    <w:rsid w:val="002812D8"/>
    <w:rsid w:val="002813F2"/>
    <w:rsid w:val="0028208D"/>
    <w:rsid w:val="002824AB"/>
    <w:rsid w:val="002827A9"/>
    <w:rsid w:val="00282995"/>
    <w:rsid w:val="00282A47"/>
    <w:rsid w:val="00283EA4"/>
    <w:rsid w:val="0028403D"/>
    <w:rsid w:val="00284793"/>
    <w:rsid w:val="0028482F"/>
    <w:rsid w:val="00284AB2"/>
    <w:rsid w:val="00285140"/>
    <w:rsid w:val="0028524B"/>
    <w:rsid w:val="00285260"/>
    <w:rsid w:val="00285A55"/>
    <w:rsid w:val="00286FFC"/>
    <w:rsid w:val="00290AA4"/>
    <w:rsid w:val="00290DD0"/>
    <w:rsid w:val="00290E1D"/>
    <w:rsid w:val="002912EF"/>
    <w:rsid w:val="00291B07"/>
    <w:rsid w:val="002922DB"/>
    <w:rsid w:val="002923D9"/>
    <w:rsid w:val="00292995"/>
    <w:rsid w:val="00292D53"/>
    <w:rsid w:val="002930C6"/>
    <w:rsid w:val="0029335D"/>
    <w:rsid w:val="00293CEF"/>
    <w:rsid w:val="00293D8C"/>
    <w:rsid w:val="0029400E"/>
    <w:rsid w:val="00294210"/>
    <w:rsid w:val="0029440D"/>
    <w:rsid w:val="00294FFE"/>
    <w:rsid w:val="00295738"/>
    <w:rsid w:val="00295A0F"/>
    <w:rsid w:val="00295E23"/>
    <w:rsid w:val="00295FB3"/>
    <w:rsid w:val="00295FC8"/>
    <w:rsid w:val="00296083"/>
    <w:rsid w:val="002961EC"/>
    <w:rsid w:val="002963F1"/>
    <w:rsid w:val="00296672"/>
    <w:rsid w:val="002966D3"/>
    <w:rsid w:val="002969ED"/>
    <w:rsid w:val="0029710B"/>
    <w:rsid w:val="002972D6"/>
    <w:rsid w:val="0029769E"/>
    <w:rsid w:val="00297782"/>
    <w:rsid w:val="002A0C3E"/>
    <w:rsid w:val="002A118D"/>
    <w:rsid w:val="002A14B2"/>
    <w:rsid w:val="002A14EB"/>
    <w:rsid w:val="002A1AC8"/>
    <w:rsid w:val="002A2F3D"/>
    <w:rsid w:val="002A31CF"/>
    <w:rsid w:val="002A3AF1"/>
    <w:rsid w:val="002A4369"/>
    <w:rsid w:val="002A471B"/>
    <w:rsid w:val="002A483F"/>
    <w:rsid w:val="002A56E9"/>
    <w:rsid w:val="002A5B71"/>
    <w:rsid w:val="002A60FC"/>
    <w:rsid w:val="002A6198"/>
    <w:rsid w:val="002A772D"/>
    <w:rsid w:val="002A7D88"/>
    <w:rsid w:val="002B020A"/>
    <w:rsid w:val="002B03DE"/>
    <w:rsid w:val="002B0404"/>
    <w:rsid w:val="002B1031"/>
    <w:rsid w:val="002B142D"/>
    <w:rsid w:val="002B1895"/>
    <w:rsid w:val="002B197F"/>
    <w:rsid w:val="002B23B8"/>
    <w:rsid w:val="002B28B7"/>
    <w:rsid w:val="002B390A"/>
    <w:rsid w:val="002B3A64"/>
    <w:rsid w:val="002B470F"/>
    <w:rsid w:val="002B4915"/>
    <w:rsid w:val="002B54CE"/>
    <w:rsid w:val="002B55B8"/>
    <w:rsid w:val="002B5BC2"/>
    <w:rsid w:val="002B5EEF"/>
    <w:rsid w:val="002B6319"/>
    <w:rsid w:val="002B6F59"/>
    <w:rsid w:val="002B74E3"/>
    <w:rsid w:val="002B7729"/>
    <w:rsid w:val="002C149F"/>
    <w:rsid w:val="002C194A"/>
    <w:rsid w:val="002C1D8B"/>
    <w:rsid w:val="002C207D"/>
    <w:rsid w:val="002C2ECB"/>
    <w:rsid w:val="002C3093"/>
    <w:rsid w:val="002C35C4"/>
    <w:rsid w:val="002C43D7"/>
    <w:rsid w:val="002C45C5"/>
    <w:rsid w:val="002C4B19"/>
    <w:rsid w:val="002C4E85"/>
    <w:rsid w:val="002C4FF1"/>
    <w:rsid w:val="002C5773"/>
    <w:rsid w:val="002C589D"/>
    <w:rsid w:val="002C58AB"/>
    <w:rsid w:val="002C5CA6"/>
    <w:rsid w:val="002C5EB5"/>
    <w:rsid w:val="002C6599"/>
    <w:rsid w:val="002C6B28"/>
    <w:rsid w:val="002C76D5"/>
    <w:rsid w:val="002D0567"/>
    <w:rsid w:val="002D0AAD"/>
    <w:rsid w:val="002D0B51"/>
    <w:rsid w:val="002D10EB"/>
    <w:rsid w:val="002D1256"/>
    <w:rsid w:val="002D17CA"/>
    <w:rsid w:val="002D1BAE"/>
    <w:rsid w:val="002D2576"/>
    <w:rsid w:val="002D33F1"/>
    <w:rsid w:val="002D3592"/>
    <w:rsid w:val="002D35E4"/>
    <w:rsid w:val="002D43E1"/>
    <w:rsid w:val="002D55F8"/>
    <w:rsid w:val="002D5711"/>
    <w:rsid w:val="002D7315"/>
    <w:rsid w:val="002D77F2"/>
    <w:rsid w:val="002D792D"/>
    <w:rsid w:val="002E0001"/>
    <w:rsid w:val="002E06B4"/>
    <w:rsid w:val="002E10A3"/>
    <w:rsid w:val="002E2393"/>
    <w:rsid w:val="002E2502"/>
    <w:rsid w:val="002E28B9"/>
    <w:rsid w:val="002E43CE"/>
    <w:rsid w:val="002E4F79"/>
    <w:rsid w:val="002E6628"/>
    <w:rsid w:val="002E6982"/>
    <w:rsid w:val="002E69A8"/>
    <w:rsid w:val="002E6E17"/>
    <w:rsid w:val="002E70D9"/>
    <w:rsid w:val="002E7663"/>
    <w:rsid w:val="002F0250"/>
    <w:rsid w:val="002F0824"/>
    <w:rsid w:val="002F0C89"/>
    <w:rsid w:val="002F0D39"/>
    <w:rsid w:val="002F2C0F"/>
    <w:rsid w:val="002F2EB7"/>
    <w:rsid w:val="002F3343"/>
    <w:rsid w:val="002F3711"/>
    <w:rsid w:val="002F3886"/>
    <w:rsid w:val="002F3972"/>
    <w:rsid w:val="002F3B25"/>
    <w:rsid w:val="002F4299"/>
    <w:rsid w:val="002F43CE"/>
    <w:rsid w:val="002F44CA"/>
    <w:rsid w:val="002F5A31"/>
    <w:rsid w:val="002F5AE8"/>
    <w:rsid w:val="002F5D62"/>
    <w:rsid w:val="002F5DD1"/>
    <w:rsid w:val="002F609E"/>
    <w:rsid w:val="002F677C"/>
    <w:rsid w:val="002F6E28"/>
    <w:rsid w:val="002F6EF1"/>
    <w:rsid w:val="002F6FDF"/>
    <w:rsid w:val="002F7B7D"/>
    <w:rsid w:val="003006B3"/>
    <w:rsid w:val="00300FEF"/>
    <w:rsid w:val="00301AC2"/>
    <w:rsid w:val="00302015"/>
    <w:rsid w:val="00302298"/>
    <w:rsid w:val="0030268C"/>
    <w:rsid w:val="00302AA3"/>
    <w:rsid w:val="00302B10"/>
    <w:rsid w:val="00302C3B"/>
    <w:rsid w:val="00303867"/>
    <w:rsid w:val="00303A64"/>
    <w:rsid w:val="00303EA8"/>
    <w:rsid w:val="00303FB1"/>
    <w:rsid w:val="00304035"/>
    <w:rsid w:val="0030408C"/>
    <w:rsid w:val="00304477"/>
    <w:rsid w:val="00305B45"/>
    <w:rsid w:val="00305CA6"/>
    <w:rsid w:val="0030610B"/>
    <w:rsid w:val="0030615A"/>
    <w:rsid w:val="0030632A"/>
    <w:rsid w:val="00306ABC"/>
    <w:rsid w:val="00306B40"/>
    <w:rsid w:val="0030701E"/>
    <w:rsid w:val="00307498"/>
    <w:rsid w:val="003110CF"/>
    <w:rsid w:val="0031140D"/>
    <w:rsid w:val="00311A40"/>
    <w:rsid w:val="00311D2D"/>
    <w:rsid w:val="00312008"/>
    <w:rsid w:val="00312216"/>
    <w:rsid w:val="00312349"/>
    <w:rsid w:val="003127BB"/>
    <w:rsid w:val="00313CB1"/>
    <w:rsid w:val="0031405A"/>
    <w:rsid w:val="00314B73"/>
    <w:rsid w:val="00314FAC"/>
    <w:rsid w:val="00315273"/>
    <w:rsid w:val="0031592D"/>
    <w:rsid w:val="003164E7"/>
    <w:rsid w:val="00316F1D"/>
    <w:rsid w:val="00317538"/>
    <w:rsid w:val="00317BE2"/>
    <w:rsid w:val="00317FCF"/>
    <w:rsid w:val="00320941"/>
    <w:rsid w:val="00320D5A"/>
    <w:rsid w:val="00321916"/>
    <w:rsid w:val="00321988"/>
    <w:rsid w:val="00321BC4"/>
    <w:rsid w:val="0032260C"/>
    <w:rsid w:val="003229CB"/>
    <w:rsid w:val="00322AF7"/>
    <w:rsid w:val="00322E87"/>
    <w:rsid w:val="00323714"/>
    <w:rsid w:val="0032426E"/>
    <w:rsid w:val="003243E0"/>
    <w:rsid w:val="00324C97"/>
    <w:rsid w:val="00324CEA"/>
    <w:rsid w:val="0032547A"/>
    <w:rsid w:val="00325586"/>
    <w:rsid w:val="00325927"/>
    <w:rsid w:val="00325BA6"/>
    <w:rsid w:val="00326879"/>
    <w:rsid w:val="00326935"/>
    <w:rsid w:val="003269D8"/>
    <w:rsid w:val="00327181"/>
    <w:rsid w:val="003271EE"/>
    <w:rsid w:val="00327732"/>
    <w:rsid w:val="00327A59"/>
    <w:rsid w:val="0033001B"/>
    <w:rsid w:val="00331137"/>
    <w:rsid w:val="0033171C"/>
    <w:rsid w:val="0033177A"/>
    <w:rsid w:val="00331DC3"/>
    <w:rsid w:val="003320E1"/>
    <w:rsid w:val="003321C8"/>
    <w:rsid w:val="00332320"/>
    <w:rsid w:val="003335CF"/>
    <w:rsid w:val="003337A9"/>
    <w:rsid w:val="00333944"/>
    <w:rsid w:val="00333C95"/>
    <w:rsid w:val="00334708"/>
    <w:rsid w:val="0033474F"/>
    <w:rsid w:val="00334BB1"/>
    <w:rsid w:val="00334CB4"/>
    <w:rsid w:val="003353EB"/>
    <w:rsid w:val="0033553D"/>
    <w:rsid w:val="0033566F"/>
    <w:rsid w:val="00335822"/>
    <w:rsid w:val="00335CDA"/>
    <w:rsid w:val="00335E25"/>
    <w:rsid w:val="00336285"/>
    <w:rsid w:val="00336F99"/>
    <w:rsid w:val="00337559"/>
    <w:rsid w:val="00337BFE"/>
    <w:rsid w:val="00337F77"/>
    <w:rsid w:val="0034059C"/>
    <w:rsid w:val="00340A89"/>
    <w:rsid w:val="00341916"/>
    <w:rsid w:val="00341C29"/>
    <w:rsid w:val="0034241B"/>
    <w:rsid w:val="00342CB7"/>
    <w:rsid w:val="00342D4E"/>
    <w:rsid w:val="00342EAF"/>
    <w:rsid w:val="003435BE"/>
    <w:rsid w:val="00343A59"/>
    <w:rsid w:val="00343BE2"/>
    <w:rsid w:val="00344AA0"/>
    <w:rsid w:val="00344AC5"/>
    <w:rsid w:val="00345184"/>
    <w:rsid w:val="00345471"/>
    <w:rsid w:val="00345A04"/>
    <w:rsid w:val="00345D3C"/>
    <w:rsid w:val="00346262"/>
    <w:rsid w:val="0034675E"/>
    <w:rsid w:val="00346B6F"/>
    <w:rsid w:val="00346C2F"/>
    <w:rsid w:val="003470D4"/>
    <w:rsid w:val="003509B3"/>
    <w:rsid w:val="00350A01"/>
    <w:rsid w:val="003516FD"/>
    <w:rsid w:val="00351773"/>
    <w:rsid w:val="0035209A"/>
    <w:rsid w:val="003532AE"/>
    <w:rsid w:val="00353387"/>
    <w:rsid w:val="003533F0"/>
    <w:rsid w:val="00353A0F"/>
    <w:rsid w:val="00354476"/>
    <w:rsid w:val="00354609"/>
    <w:rsid w:val="003549C0"/>
    <w:rsid w:val="00355806"/>
    <w:rsid w:val="00355B50"/>
    <w:rsid w:val="00355EEB"/>
    <w:rsid w:val="0035603B"/>
    <w:rsid w:val="003562BF"/>
    <w:rsid w:val="0035674B"/>
    <w:rsid w:val="003567CC"/>
    <w:rsid w:val="00356A77"/>
    <w:rsid w:val="00356A9F"/>
    <w:rsid w:val="00356DB9"/>
    <w:rsid w:val="00356DC8"/>
    <w:rsid w:val="003579CC"/>
    <w:rsid w:val="003601C8"/>
    <w:rsid w:val="003607FD"/>
    <w:rsid w:val="0036080D"/>
    <w:rsid w:val="0036110F"/>
    <w:rsid w:val="00361523"/>
    <w:rsid w:val="00363C91"/>
    <w:rsid w:val="00363DEB"/>
    <w:rsid w:val="00364978"/>
    <w:rsid w:val="00364D0A"/>
    <w:rsid w:val="0036509D"/>
    <w:rsid w:val="003657C3"/>
    <w:rsid w:val="003663EA"/>
    <w:rsid w:val="00366B9E"/>
    <w:rsid w:val="0036709A"/>
    <w:rsid w:val="003673F9"/>
    <w:rsid w:val="00367ED4"/>
    <w:rsid w:val="003711BA"/>
    <w:rsid w:val="00371322"/>
    <w:rsid w:val="00371343"/>
    <w:rsid w:val="0037143E"/>
    <w:rsid w:val="00371BC8"/>
    <w:rsid w:val="00373677"/>
    <w:rsid w:val="003736E1"/>
    <w:rsid w:val="00373969"/>
    <w:rsid w:val="00373C91"/>
    <w:rsid w:val="00373EEF"/>
    <w:rsid w:val="0037463A"/>
    <w:rsid w:val="00374816"/>
    <w:rsid w:val="00374B3A"/>
    <w:rsid w:val="00375AD9"/>
    <w:rsid w:val="00376035"/>
    <w:rsid w:val="00376671"/>
    <w:rsid w:val="00376CF6"/>
    <w:rsid w:val="003774C3"/>
    <w:rsid w:val="00380EB5"/>
    <w:rsid w:val="00381565"/>
    <w:rsid w:val="003815AB"/>
    <w:rsid w:val="00381C02"/>
    <w:rsid w:val="00382438"/>
    <w:rsid w:val="00382B0B"/>
    <w:rsid w:val="00383045"/>
    <w:rsid w:val="0038310F"/>
    <w:rsid w:val="00383656"/>
    <w:rsid w:val="00383AC6"/>
    <w:rsid w:val="00384C3B"/>
    <w:rsid w:val="00384C3D"/>
    <w:rsid w:val="0038510B"/>
    <w:rsid w:val="003852BC"/>
    <w:rsid w:val="003857A8"/>
    <w:rsid w:val="00386081"/>
    <w:rsid w:val="00386145"/>
    <w:rsid w:val="00386D44"/>
    <w:rsid w:val="003900F2"/>
    <w:rsid w:val="00390A7D"/>
    <w:rsid w:val="00390FCE"/>
    <w:rsid w:val="00391383"/>
    <w:rsid w:val="00391403"/>
    <w:rsid w:val="0039169F"/>
    <w:rsid w:val="003929E3"/>
    <w:rsid w:val="00392E94"/>
    <w:rsid w:val="003939C6"/>
    <w:rsid w:val="00393DA1"/>
    <w:rsid w:val="0039447D"/>
    <w:rsid w:val="003944ED"/>
    <w:rsid w:val="00394837"/>
    <w:rsid w:val="00395622"/>
    <w:rsid w:val="0039598F"/>
    <w:rsid w:val="00395B75"/>
    <w:rsid w:val="003960A9"/>
    <w:rsid w:val="003964C2"/>
    <w:rsid w:val="00396E34"/>
    <w:rsid w:val="003974EF"/>
    <w:rsid w:val="00397925"/>
    <w:rsid w:val="003A0F35"/>
    <w:rsid w:val="003A1269"/>
    <w:rsid w:val="003A1457"/>
    <w:rsid w:val="003A1D3A"/>
    <w:rsid w:val="003A1D46"/>
    <w:rsid w:val="003A1DC8"/>
    <w:rsid w:val="003A25F0"/>
    <w:rsid w:val="003A2768"/>
    <w:rsid w:val="003A2C2C"/>
    <w:rsid w:val="003A2FD9"/>
    <w:rsid w:val="003A3785"/>
    <w:rsid w:val="003A3B9B"/>
    <w:rsid w:val="003A4293"/>
    <w:rsid w:val="003A4755"/>
    <w:rsid w:val="003A4822"/>
    <w:rsid w:val="003A4B11"/>
    <w:rsid w:val="003A53BF"/>
    <w:rsid w:val="003A5561"/>
    <w:rsid w:val="003A559A"/>
    <w:rsid w:val="003A581B"/>
    <w:rsid w:val="003A5BF4"/>
    <w:rsid w:val="003A6162"/>
    <w:rsid w:val="003A6643"/>
    <w:rsid w:val="003A6A66"/>
    <w:rsid w:val="003A7149"/>
    <w:rsid w:val="003A7289"/>
    <w:rsid w:val="003A74D9"/>
    <w:rsid w:val="003A76CF"/>
    <w:rsid w:val="003A7AEF"/>
    <w:rsid w:val="003B00D7"/>
    <w:rsid w:val="003B03BD"/>
    <w:rsid w:val="003B077A"/>
    <w:rsid w:val="003B13E6"/>
    <w:rsid w:val="003B1517"/>
    <w:rsid w:val="003B212D"/>
    <w:rsid w:val="003B2647"/>
    <w:rsid w:val="003B2D02"/>
    <w:rsid w:val="003B30DB"/>
    <w:rsid w:val="003B3637"/>
    <w:rsid w:val="003B42A2"/>
    <w:rsid w:val="003B481A"/>
    <w:rsid w:val="003B54E9"/>
    <w:rsid w:val="003B573E"/>
    <w:rsid w:val="003B58B0"/>
    <w:rsid w:val="003B6481"/>
    <w:rsid w:val="003B6E3F"/>
    <w:rsid w:val="003B6F5A"/>
    <w:rsid w:val="003B7269"/>
    <w:rsid w:val="003C014A"/>
    <w:rsid w:val="003C0C89"/>
    <w:rsid w:val="003C1027"/>
    <w:rsid w:val="003C124F"/>
    <w:rsid w:val="003C16A0"/>
    <w:rsid w:val="003C16EF"/>
    <w:rsid w:val="003C1854"/>
    <w:rsid w:val="003C1E42"/>
    <w:rsid w:val="003C1F4E"/>
    <w:rsid w:val="003C30BC"/>
    <w:rsid w:val="003C34B2"/>
    <w:rsid w:val="003C36EC"/>
    <w:rsid w:val="003C3E06"/>
    <w:rsid w:val="003C3FDD"/>
    <w:rsid w:val="003C4CAC"/>
    <w:rsid w:val="003C5019"/>
    <w:rsid w:val="003C50CB"/>
    <w:rsid w:val="003C59C8"/>
    <w:rsid w:val="003C5AE8"/>
    <w:rsid w:val="003C5D55"/>
    <w:rsid w:val="003C60EE"/>
    <w:rsid w:val="003C6727"/>
    <w:rsid w:val="003C6F54"/>
    <w:rsid w:val="003C7826"/>
    <w:rsid w:val="003C7EFF"/>
    <w:rsid w:val="003D00EB"/>
    <w:rsid w:val="003D0C87"/>
    <w:rsid w:val="003D0E75"/>
    <w:rsid w:val="003D1265"/>
    <w:rsid w:val="003D137B"/>
    <w:rsid w:val="003D3034"/>
    <w:rsid w:val="003D41F6"/>
    <w:rsid w:val="003D543C"/>
    <w:rsid w:val="003D5971"/>
    <w:rsid w:val="003D5B15"/>
    <w:rsid w:val="003D5B52"/>
    <w:rsid w:val="003D608B"/>
    <w:rsid w:val="003D65B5"/>
    <w:rsid w:val="003D6754"/>
    <w:rsid w:val="003D6F38"/>
    <w:rsid w:val="003D7D1A"/>
    <w:rsid w:val="003E14BC"/>
    <w:rsid w:val="003E1604"/>
    <w:rsid w:val="003E2053"/>
    <w:rsid w:val="003E2CD3"/>
    <w:rsid w:val="003E3B67"/>
    <w:rsid w:val="003E3BEC"/>
    <w:rsid w:val="003E4432"/>
    <w:rsid w:val="003E4645"/>
    <w:rsid w:val="003E4689"/>
    <w:rsid w:val="003E4F21"/>
    <w:rsid w:val="003E4F69"/>
    <w:rsid w:val="003E5A16"/>
    <w:rsid w:val="003E5E2C"/>
    <w:rsid w:val="003E60A7"/>
    <w:rsid w:val="003E6540"/>
    <w:rsid w:val="003E68DB"/>
    <w:rsid w:val="003E6A9F"/>
    <w:rsid w:val="003E70C4"/>
    <w:rsid w:val="003E7388"/>
    <w:rsid w:val="003F039F"/>
    <w:rsid w:val="003F0909"/>
    <w:rsid w:val="003F1762"/>
    <w:rsid w:val="003F1AA6"/>
    <w:rsid w:val="003F2CFB"/>
    <w:rsid w:val="003F3F70"/>
    <w:rsid w:val="003F4A1C"/>
    <w:rsid w:val="003F4DF5"/>
    <w:rsid w:val="003F5260"/>
    <w:rsid w:val="003F5414"/>
    <w:rsid w:val="003F5B54"/>
    <w:rsid w:val="003F67CC"/>
    <w:rsid w:val="003F683B"/>
    <w:rsid w:val="003F6919"/>
    <w:rsid w:val="003F69D0"/>
    <w:rsid w:val="003F6A14"/>
    <w:rsid w:val="003F77CC"/>
    <w:rsid w:val="003F7AF3"/>
    <w:rsid w:val="003F7C0C"/>
    <w:rsid w:val="00400529"/>
    <w:rsid w:val="004005FA"/>
    <w:rsid w:val="0040084A"/>
    <w:rsid w:val="004009F9"/>
    <w:rsid w:val="0040127C"/>
    <w:rsid w:val="0040283D"/>
    <w:rsid w:val="00402A46"/>
    <w:rsid w:val="00403500"/>
    <w:rsid w:val="004036B1"/>
    <w:rsid w:val="004038E1"/>
    <w:rsid w:val="00403940"/>
    <w:rsid w:val="00403DEA"/>
    <w:rsid w:val="00404476"/>
    <w:rsid w:val="004046FF"/>
    <w:rsid w:val="00404EE8"/>
    <w:rsid w:val="00405025"/>
    <w:rsid w:val="004051BF"/>
    <w:rsid w:val="004055F2"/>
    <w:rsid w:val="00405948"/>
    <w:rsid w:val="00405F3D"/>
    <w:rsid w:val="00405FEA"/>
    <w:rsid w:val="00406558"/>
    <w:rsid w:val="004069F6"/>
    <w:rsid w:val="00407006"/>
    <w:rsid w:val="00407073"/>
    <w:rsid w:val="004071E6"/>
    <w:rsid w:val="004076F9"/>
    <w:rsid w:val="00410092"/>
    <w:rsid w:val="004103D7"/>
    <w:rsid w:val="00410F12"/>
    <w:rsid w:val="00411556"/>
    <w:rsid w:val="00411B23"/>
    <w:rsid w:val="00411E63"/>
    <w:rsid w:val="0041205A"/>
    <w:rsid w:val="004121A0"/>
    <w:rsid w:val="00412B07"/>
    <w:rsid w:val="00412B6F"/>
    <w:rsid w:val="00412D67"/>
    <w:rsid w:val="00412EE7"/>
    <w:rsid w:val="00414742"/>
    <w:rsid w:val="00414B75"/>
    <w:rsid w:val="00414DAD"/>
    <w:rsid w:val="00414DAF"/>
    <w:rsid w:val="004155F3"/>
    <w:rsid w:val="00415608"/>
    <w:rsid w:val="004157F5"/>
    <w:rsid w:val="00416833"/>
    <w:rsid w:val="00417E7F"/>
    <w:rsid w:val="0042014A"/>
    <w:rsid w:val="00421FD0"/>
    <w:rsid w:val="0042203F"/>
    <w:rsid w:val="00423126"/>
    <w:rsid w:val="00423B18"/>
    <w:rsid w:val="00423EBB"/>
    <w:rsid w:val="00423EF5"/>
    <w:rsid w:val="004244B2"/>
    <w:rsid w:val="00424515"/>
    <w:rsid w:val="00424741"/>
    <w:rsid w:val="00424787"/>
    <w:rsid w:val="004247E9"/>
    <w:rsid w:val="00425D2A"/>
    <w:rsid w:val="00426297"/>
    <w:rsid w:val="004263E2"/>
    <w:rsid w:val="004264D4"/>
    <w:rsid w:val="00426B33"/>
    <w:rsid w:val="00426E83"/>
    <w:rsid w:val="00427485"/>
    <w:rsid w:val="004308DE"/>
    <w:rsid w:val="00430E5C"/>
    <w:rsid w:val="004315C5"/>
    <w:rsid w:val="004319FB"/>
    <w:rsid w:val="00431ADC"/>
    <w:rsid w:val="00431D96"/>
    <w:rsid w:val="00432E76"/>
    <w:rsid w:val="004335F5"/>
    <w:rsid w:val="00435D17"/>
    <w:rsid w:val="00435E92"/>
    <w:rsid w:val="00435EBE"/>
    <w:rsid w:val="0043643D"/>
    <w:rsid w:val="00436971"/>
    <w:rsid w:val="00436D8A"/>
    <w:rsid w:val="00436E87"/>
    <w:rsid w:val="00436ED2"/>
    <w:rsid w:val="0043723B"/>
    <w:rsid w:val="004372F1"/>
    <w:rsid w:val="004373F3"/>
    <w:rsid w:val="00437BDC"/>
    <w:rsid w:val="0044017A"/>
    <w:rsid w:val="00440207"/>
    <w:rsid w:val="0044076B"/>
    <w:rsid w:val="004408EA"/>
    <w:rsid w:val="00441750"/>
    <w:rsid w:val="00442BCA"/>
    <w:rsid w:val="004430C4"/>
    <w:rsid w:val="0044348D"/>
    <w:rsid w:val="004439FF"/>
    <w:rsid w:val="0044406F"/>
    <w:rsid w:val="0044517D"/>
    <w:rsid w:val="0044567F"/>
    <w:rsid w:val="0044610E"/>
    <w:rsid w:val="0044663E"/>
    <w:rsid w:val="004469AE"/>
    <w:rsid w:val="004469C8"/>
    <w:rsid w:val="00446D1F"/>
    <w:rsid w:val="00447695"/>
    <w:rsid w:val="004477F0"/>
    <w:rsid w:val="0045081C"/>
    <w:rsid w:val="00450DAC"/>
    <w:rsid w:val="00451479"/>
    <w:rsid w:val="00451B44"/>
    <w:rsid w:val="00451F14"/>
    <w:rsid w:val="004534A6"/>
    <w:rsid w:val="00453D68"/>
    <w:rsid w:val="00453DEE"/>
    <w:rsid w:val="0045414F"/>
    <w:rsid w:val="00454594"/>
    <w:rsid w:val="0045460B"/>
    <w:rsid w:val="00455379"/>
    <w:rsid w:val="004558D0"/>
    <w:rsid w:val="00455B7B"/>
    <w:rsid w:val="00456188"/>
    <w:rsid w:val="0045619B"/>
    <w:rsid w:val="00456D86"/>
    <w:rsid w:val="0045702E"/>
    <w:rsid w:val="00457A87"/>
    <w:rsid w:val="00457C72"/>
    <w:rsid w:val="00460248"/>
    <w:rsid w:val="004605ED"/>
    <w:rsid w:val="004624B3"/>
    <w:rsid w:val="00462689"/>
    <w:rsid w:val="00462B33"/>
    <w:rsid w:val="00462CD7"/>
    <w:rsid w:val="00463714"/>
    <w:rsid w:val="00463716"/>
    <w:rsid w:val="00463B10"/>
    <w:rsid w:val="00463CBD"/>
    <w:rsid w:val="00463E6F"/>
    <w:rsid w:val="004641DA"/>
    <w:rsid w:val="0046460F"/>
    <w:rsid w:val="0046495B"/>
    <w:rsid w:val="004650BF"/>
    <w:rsid w:val="00465160"/>
    <w:rsid w:val="004654C9"/>
    <w:rsid w:val="00465A0F"/>
    <w:rsid w:val="00466693"/>
    <w:rsid w:val="00466A88"/>
    <w:rsid w:val="00467AE2"/>
    <w:rsid w:val="00467B63"/>
    <w:rsid w:val="00467D84"/>
    <w:rsid w:val="00470757"/>
    <w:rsid w:val="004709B7"/>
    <w:rsid w:val="004713D3"/>
    <w:rsid w:val="004718D0"/>
    <w:rsid w:val="00471F16"/>
    <w:rsid w:val="00472392"/>
    <w:rsid w:val="00472D9C"/>
    <w:rsid w:val="00472FF7"/>
    <w:rsid w:val="00473486"/>
    <w:rsid w:val="00473722"/>
    <w:rsid w:val="00473802"/>
    <w:rsid w:val="00473924"/>
    <w:rsid w:val="0047479D"/>
    <w:rsid w:val="00474BCB"/>
    <w:rsid w:val="00474DD7"/>
    <w:rsid w:val="00475062"/>
    <w:rsid w:val="004753AA"/>
    <w:rsid w:val="004753B1"/>
    <w:rsid w:val="00476321"/>
    <w:rsid w:val="004775EB"/>
    <w:rsid w:val="00477948"/>
    <w:rsid w:val="0048055A"/>
    <w:rsid w:val="00480748"/>
    <w:rsid w:val="00480A85"/>
    <w:rsid w:val="00481637"/>
    <w:rsid w:val="0048184D"/>
    <w:rsid w:val="00481954"/>
    <w:rsid w:val="004824D4"/>
    <w:rsid w:val="00483541"/>
    <w:rsid w:val="00483659"/>
    <w:rsid w:val="00483671"/>
    <w:rsid w:val="00483A52"/>
    <w:rsid w:val="00483DD1"/>
    <w:rsid w:val="0048443A"/>
    <w:rsid w:val="004844BB"/>
    <w:rsid w:val="0048456C"/>
    <w:rsid w:val="004847C0"/>
    <w:rsid w:val="00484964"/>
    <w:rsid w:val="0048533C"/>
    <w:rsid w:val="00485537"/>
    <w:rsid w:val="00485701"/>
    <w:rsid w:val="00485E24"/>
    <w:rsid w:val="00486343"/>
    <w:rsid w:val="00486ED4"/>
    <w:rsid w:val="004872C4"/>
    <w:rsid w:val="00487668"/>
    <w:rsid w:val="004876C6"/>
    <w:rsid w:val="004900BB"/>
    <w:rsid w:val="0049078F"/>
    <w:rsid w:val="00490FC5"/>
    <w:rsid w:val="004914F3"/>
    <w:rsid w:val="004917C7"/>
    <w:rsid w:val="004918D2"/>
    <w:rsid w:val="00492345"/>
    <w:rsid w:val="0049260A"/>
    <w:rsid w:val="0049304E"/>
    <w:rsid w:val="004932D5"/>
    <w:rsid w:val="00493443"/>
    <w:rsid w:val="00493701"/>
    <w:rsid w:val="00493B68"/>
    <w:rsid w:val="00493DD1"/>
    <w:rsid w:val="00493F00"/>
    <w:rsid w:val="00494933"/>
    <w:rsid w:val="00495CEB"/>
    <w:rsid w:val="00495EDE"/>
    <w:rsid w:val="0049649D"/>
    <w:rsid w:val="00496935"/>
    <w:rsid w:val="00496AF9"/>
    <w:rsid w:val="00496C3F"/>
    <w:rsid w:val="00496E88"/>
    <w:rsid w:val="004977C9"/>
    <w:rsid w:val="00497CFC"/>
    <w:rsid w:val="004A07A1"/>
    <w:rsid w:val="004A160C"/>
    <w:rsid w:val="004A168A"/>
    <w:rsid w:val="004A1769"/>
    <w:rsid w:val="004A232A"/>
    <w:rsid w:val="004A26BB"/>
    <w:rsid w:val="004A26F6"/>
    <w:rsid w:val="004A294D"/>
    <w:rsid w:val="004A2985"/>
    <w:rsid w:val="004A2A7A"/>
    <w:rsid w:val="004A3D3A"/>
    <w:rsid w:val="004A414C"/>
    <w:rsid w:val="004A425D"/>
    <w:rsid w:val="004A43FD"/>
    <w:rsid w:val="004A4666"/>
    <w:rsid w:val="004A4BE6"/>
    <w:rsid w:val="004A4F1B"/>
    <w:rsid w:val="004A581A"/>
    <w:rsid w:val="004A58C7"/>
    <w:rsid w:val="004A5A3B"/>
    <w:rsid w:val="004A6443"/>
    <w:rsid w:val="004A66E6"/>
    <w:rsid w:val="004A69EF"/>
    <w:rsid w:val="004A7147"/>
    <w:rsid w:val="004A7286"/>
    <w:rsid w:val="004A7586"/>
    <w:rsid w:val="004A76EE"/>
    <w:rsid w:val="004B09B3"/>
    <w:rsid w:val="004B0B5E"/>
    <w:rsid w:val="004B10B7"/>
    <w:rsid w:val="004B1215"/>
    <w:rsid w:val="004B198D"/>
    <w:rsid w:val="004B19B2"/>
    <w:rsid w:val="004B1BE6"/>
    <w:rsid w:val="004B23F6"/>
    <w:rsid w:val="004B29FA"/>
    <w:rsid w:val="004B339D"/>
    <w:rsid w:val="004B36D0"/>
    <w:rsid w:val="004B3765"/>
    <w:rsid w:val="004B38F0"/>
    <w:rsid w:val="004B426D"/>
    <w:rsid w:val="004B4A7B"/>
    <w:rsid w:val="004B4BF5"/>
    <w:rsid w:val="004B6200"/>
    <w:rsid w:val="004B63CD"/>
    <w:rsid w:val="004B6A30"/>
    <w:rsid w:val="004B6AF6"/>
    <w:rsid w:val="004B721B"/>
    <w:rsid w:val="004B72F7"/>
    <w:rsid w:val="004B787A"/>
    <w:rsid w:val="004B796A"/>
    <w:rsid w:val="004B7B18"/>
    <w:rsid w:val="004B7EB6"/>
    <w:rsid w:val="004B7F07"/>
    <w:rsid w:val="004B7F4E"/>
    <w:rsid w:val="004C0488"/>
    <w:rsid w:val="004C0809"/>
    <w:rsid w:val="004C154D"/>
    <w:rsid w:val="004C1653"/>
    <w:rsid w:val="004C17AE"/>
    <w:rsid w:val="004C2F96"/>
    <w:rsid w:val="004C3183"/>
    <w:rsid w:val="004C3A47"/>
    <w:rsid w:val="004C3BB0"/>
    <w:rsid w:val="004C3CAF"/>
    <w:rsid w:val="004C3CD4"/>
    <w:rsid w:val="004C4565"/>
    <w:rsid w:val="004C47DD"/>
    <w:rsid w:val="004C4930"/>
    <w:rsid w:val="004C4FD2"/>
    <w:rsid w:val="004C5124"/>
    <w:rsid w:val="004C5598"/>
    <w:rsid w:val="004C5D6C"/>
    <w:rsid w:val="004C5F69"/>
    <w:rsid w:val="004C68B8"/>
    <w:rsid w:val="004C6DB0"/>
    <w:rsid w:val="004C6EC5"/>
    <w:rsid w:val="004C7C44"/>
    <w:rsid w:val="004D0840"/>
    <w:rsid w:val="004D0ACD"/>
    <w:rsid w:val="004D1CAF"/>
    <w:rsid w:val="004D2B60"/>
    <w:rsid w:val="004D2EC5"/>
    <w:rsid w:val="004D2ED2"/>
    <w:rsid w:val="004D2F73"/>
    <w:rsid w:val="004D3B95"/>
    <w:rsid w:val="004D5E3F"/>
    <w:rsid w:val="004D62EB"/>
    <w:rsid w:val="004D6AB4"/>
    <w:rsid w:val="004D6D55"/>
    <w:rsid w:val="004D7189"/>
    <w:rsid w:val="004D7415"/>
    <w:rsid w:val="004D7698"/>
    <w:rsid w:val="004E0498"/>
    <w:rsid w:val="004E0A60"/>
    <w:rsid w:val="004E0ADC"/>
    <w:rsid w:val="004E1023"/>
    <w:rsid w:val="004E14B6"/>
    <w:rsid w:val="004E1558"/>
    <w:rsid w:val="004E1D93"/>
    <w:rsid w:val="004E208B"/>
    <w:rsid w:val="004E258F"/>
    <w:rsid w:val="004E2593"/>
    <w:rsid w:val="004E3DFD"/>
    <w:rsid w:val="004E3E27"/>
    <w:rsid w:val="004E42CE"/>
    <w:rsid w:val="004E4809"/>
    <w:rsid w:val="004E5CE0"/>
    <w:rsid w:val="004E5DEC"/>
    <w:rsid w:val="004E6639"/>
    <w:rsid w:val="004F0F5A"/>
    <w:rsid w:val="004F1400"/>
    <w:rsid w:val="004F15C9"/>
    <w:rsid w:val="004F1640"/>
    <w:rsid w:val="004F16BF"/>
    <w:rsid w:val="004F1AC8"/>
    <w:rsid w:val="004F1DD5"/>
    <w:rsid w:val="004F1EE9"/>
    <w:rsid w:val="004F21CA"/>
    <w:rsid w:val="004F22F2"/>
    <w:rsid w:val="004F2F1F"/>
    <w:rsid w:val="004F3058"/>
    <w:rsid w:val="004F3996"/>
    <w:rsid w:val="004F4606"/>
    <w:rsid w:val="004F4C8B"/>
    <w:rsid w:val="004F4CFC"/>
    <w:rsid w:val="004F4FE5"/>
    <w:rsid w:val="004F51A1"/>
    <w:rsid w:val="004F55DB"/>
    <w:rsid w:val="004F5FB7"/>
    <w:rsid w:val="004F6096"/>
    <w:rsid w:val="004F61B5"/>
    <w:rsid w:val="004F6FB9"/>
    <w:rsid w:val="004F770D"/>
    <w:rsid w:val="00500C6C"/>
    <w:rsid w:val="00501B3A"/>
    <w:rsid w:val="00501E52"/>
    <w:rsid w:val="0050250F"/>
    <w:rsid w:val="00502792"/>
    <w:rsid w:val="00502BE1"/>
    <w:rsid w:val="00503300"/>
    <w:rsid w:val="0050425D"/>
    <w:rsid w:val="00507419"/>
    <w:rsid w:val="005074ED"/>
    <w:rsid w:val="005077B7"/>
    <w:rsid w:val="005100F9"/>
    <w:rsid w:val="00510A56"/>
    <w:rsid w:val="00510CAE"/>
    <w:rsid w:val="005114E7"/>
    <w:rsid w:val="00511850"/>
    <w:rsid w:val="00511CCC"/>
    <w:rsid w:val="005134F4"/>
    <w:rsid w:val="00513EF1"/>
    <w:rsid w:val="00514F90"/>
    <w:rsid w:val="0051566D"/>
    <w:rsid w:val="00515698"/>
    <w:rsid w:val="0051587B"/>
    <w:rsid w:val="00515A38"/>
    <w:rsid w:val="00515B51"/>
    <w:rsid w:val="00515B8D"/>
    <w:rsid w:val="00516268"/>
    <w:rsid w:val="00516BD7"/>
    <w:rsid w:val="00517552"/>
    <w:rsid w:val="00517A2F"/>
    <w:rsid w:val="00517F8E"/>
    <w:rsid w:val="00520F66"/>
    <w:rsid w:val="005212BC"/>
    <w:rsid w:val="0052142E"/>
    <w:rsid w:val="00521472"/>
    <w:rsid w:val="005223AC"/>
    <w:rsid w:val="0052287F"/>
    <w:rsid w:val="00523236"/>
    <w:rsid w:val="005234F9"/>
    <w:rsid w:val="00523695"/>
    <w:rsid w:val="00524365"/>
    <w:rsid w:val="005249DB"/>
    <w:rsid w:val="00524AD7"/>
    <w:rsid w:val="00525154"/>
    <w:rsid w:val="005256D0"/>
    <w:rsid w:val="00525771"/>
    <w:rsid w:val="005257BE"/>
    <w:rsid w:val="0052625D"/>
    <w:rsid w:val="00526420"/>
    <w:rsid w:val="00526B33"/>
    <w:rsid w:val="00527186"/>
    <w:rsid w:val="00527468"/>
    <w:rsid w:val="00527E45"/>
    <w:rsid w:val="005304FF"/>
    <w:rsid w:val="00530FB7"/>
    <w:rsid w:val="0053140F"/>
    <w:rsid w:val="00531429"/>
    <w:rsid w:val="00531787"/>
    <w:rsid w:val="00531BAD"/>
    <w:rsid w:val="00532DB2"/>
    <w:rsid w:val="00532F74"/>
    <w:rsid w:val="00533ABC"/>
    <w:rsid w:val="00534041"/>
    <w:rsid w:val="00534C44"/>
    <w:rsid w:val="00534F86"/>
    <w:rsid w:val="005353DD"/>
    <w:rsid w:val="005359CD"/>
    <w:rsid w:val="00535C31"/>
    <w:rsid w:val="00536481"/>
    <w:rsid w:val="00536E40"/>
    <w:rsid w:val="00537666"/>
    <w:rsid w:val="00537BDF"/>
    <w:rsid w:val="00540935"/>
    <w:rsid w:val="0054099F"/>
    <w:rsid w:val="00540AB0"/>
    <w:rsid w:val="00540CA4"/>
    <w:rsid w:val="005417E9"/>
    <w:rsid w:val="00541B1B"/>
    <w:rsid w:val="00541BBB"/>
    <w:rsid w:val="00541ED4"/>
    <w:rsid w:val="00542041"/>
    <w:rsid w:val="00542876"/>
    <w:rsid w:val="00542B4F"/>
    <w:rsid w:val="005432D0"/>
    <w:rsid w:val="00543960"/>
    <w:rsid w:val="00543B34"/>
    <w:rsid w:val="00544048"/>
    <w:rsid w:val="00544D15"/>
    <w:rsid w:val="00545BD1"/>
    <w:rsid w:val="00546686"/>
    <w:rsid w:val="00546999"/>
    <w:rsid w:val="00546AF7"/>
    <w:rsid w:val="005472BB"/>
    <w:rsid w:val="005474F2"/>
    <w:rsid w:val="00547A88"/>
    <w:rsid w:val="00550089"/>
    <w:rsid w:val="00550780"/>
    <w:rsid w:val="005508C8"/>
    <w:rsid w:val="0055091E"/>
    <w:rsid w:val="00550B43"/>
    <w:rsid w:val="0055137D"/>
    <w:rsid w:val="0055181E"/>
    <w:rsid w:val="00551828"/>
    <w:rsid w:val="00551D33"/>
    <w:rsid w:val="00551F9B"/>
    <w:rsid w:val="00552232"/>
    <w:rsid w:val="00552512"/>
    <w:rsid w:val="00552513"/>
    <w:rsid w:val="00552634"/>
    <w:rsid w:val="0055270C"/>
    <w:rsid w:val="00552DF5"/>
    <w:rsid w:val="00553783"/>
    <w:rsid w:val="00553A01"/>
    <w:rsid w:val="00554334"/>
    <w:rsid w:val="0055434D"/>
    <w:rsid w:val="00554D10"/>
    <w:rsid w:val="00555460"/>
    <w:rsid w:val="005554BC"/>
    <w:rsid w:val="00555777"/>
    <w:rsid w:val="00555C22"/>
    <w:rsid w:val="005560C2"/>
    <w:rsid w:val="005563D5"/>
    <w:rsid w:val="0055665C"/>
    <w:rsid w:val="00557040"/>
    <w:rsid w:val="005571CC"/>
    <w:rsid w:val="00557699"/>
    <w:rsid w:val="00560079"/>
    <w:rsid w:val="005600EF"/>
    <w:rsid w:val="00560E20"/>
    <w:rsid w:val="005610D6"/>
    <w:rsid w:val="00561147"/>
    <w:rsid w:val="005612F7"/>
    <w:rsid w:val="00561986"/>
    <w:rsid w:val="0056217C"/>
    <w:rsid w:val="00562987"/>
    <w:rsid w:val="00562B20"/>
    <w:rsid w:val="0056389B"/>
    <w:rsid w:val="00563997"/>
    <w:rsid w:val="00564014"/>
    <w:rsid w:val="005644D4"/>
    <w:rsid w:val="005645DA"/>
    <w:rsid w:val="00564835"/>
    <w:rsid w:val="00564837"/>
    <w:rsid w:val="00565698"/>
    <w:rsid w:val="00565953"/>
    <w:rsid w:val="00565BF4"/>
    <w:rsid w:val="0056659F"/>
    <w:rsid w:val="00566C37"/>
    <w:rsid w:val="00567921"/>
    <w:rsid w:val="005701EA"/>
    <w:rsid w:val="00570246"/>
    <w:rsid w:val="00570364"/>
    <w:rsid w:val="0057131B"/>
    <w:rsid w:val="00571443"/>
    <w:rsid w:val="005717EE"/>
    <w:rsid w:val="0057189E"/>
    <w:rsid w:val="005718E8"/>
    <w:rsid w:val="005719A5"/>
    <w:rsid w:val="005719D1"/>
    <w:rsid w:val="00571BFB"/>
    <w:rsid w:val="00572762"/>
    <w:rsid w:val="00572F1A"/>
    <w:rsid w:val="00572FF7"/>
    <w:rsid w:val="00573027"/>
    <w:rsid w:val="00574F24"/>
    <w:rsid w:val="005752BD"/>
    <w:rsid w:val="005753E8"/>
    <w:rsid w:val="00575D3D"/>
    <w:rsid w:val="00575E68"/>
    <w:rsid w:val="00576809"/>
    <w:rsid w:val="00577150"/>
    <w:rsid w:val="005773AF"/>
    <w:rsid w:val="005777CF"/>
    <w:rsid w:val="005778A6"/>
    <w:rsid w:val="00577D66"/>
    <w:rsid w:val="00577E01"/>
    <w:rsid w:val="00580DBD"/>
    <w:rsid w:val="00581378"/>
    <w:rsid w:val="005815BE"/>
    <w:rsid w:val="00581AB7"/>
    <w:rsid w:val="00582362"/>
    <w:rsid w:val="0058259B"/>
    <w:rsid w:val="00582D3B"/>
    <w:rsid w:val="00582E6F"/>
    <w:rsid w:val="005830E1"/>
    <w:rsid w:val="0058328A"/>
    <w:rsid w:val="005832D9"/>
    <w:rsid w:val="0058333D"/>
    <w:rsid w:val="00583B43"/>
    <w:rsid w:val="00583CEF"/>
    <w:rsid w:val="00584BEB"/>
    <w:rsid w:val="00584E4A"/>
    <w:rsid w:val="00584F11"/>
    <w:rsid w:val="005852F7"/>
    <w:rsid w:val="00585B70"/>
    <w:rsid w:val="00585ED2"/>
    <w:rsid w:val="00586165"/>
    <w:rsid w:val="00586362"/>
    <w:rsid w:val="005865C8"/>
    <w:rsid w:val="00586925"/>
    <w:rsid w:val="00587363"/>
    <w:rsid w:val="00587747"/>
    <w:rsid w:val="00587AE7"/>
    <w:rsid w:val="00587E3C"/>
    <w:rsid w:val="00590A15"/>
    <w:rsid w:val="005915F4"/>
    <w:rsid w:val="00591E59"/>
    <w:rsid w:val="00592520"/>
    <w:rsid w:val="00592685"/>
    <w:rsid w:val="00592754"/>
    <w:rsid w:val="005928BA"/>
    <w:rsid w:val="00592AC4"/>
    <w:rsid w:val="00592C1D"/>
    <w:rsid w:val="00593281"/>
    <w:rsid w:val="00593F25"/>
    <w:rsid w:val="00594178"/>
    <w:rsid w:val="00594CBD"/>
    <w:rsid w:val="005956C9"/>
    <w:rsid w:val="005958EE"/>
    <w:rsid w:val="0059686F"/>
    <w:rsid w:val="00597343"/>
    <w:rsid w:val="00597432"/>
    <w:rsid w:val="005977B2"/>
    <w:rsid w:val="005A0082"/>
    <w:rsid w:val="005A0788"/>
    <w:rsid w:val="005A0922"/>
    <w:rsid w:val="005A0C28"/>
    <w:rsid w:val="005A0DF5"/>
    <w:rsid w:val="005A13AF"/>
    <w:rsid w:val="005A1F22"/>
    <w:rsid w:val="005A2271"/>
    <w:rsid w:val="005A261A"/>
    <w:rsid w:val="005A3400"/>
    <w:rsid w:val="005A3C66"/>
    <w:rsid w:val="005A472C"/>
    <w:rsid w:val="005A57C5"/>
    <w:rsid w:val="005A5855"/>
    <w:rsid w:val="005A5969"/>
    <w:rsid w:val="005A5E95"/>
    <w:rsid w:val="005A64CE"/>
    <w:rsid w:val="005A6EAA"/>
    <w:rsid w:val="005A7022"/>
    <w:rsid w:val="005A71BA"/>
    <w:rsid w:val="005A7219"/>
    <w:rsid w:val="005A79BC"/>
    <w:rsid w:val="005A7B8D"/>
    <w:rsid w:val="005B0B6B"/>
    <w:rsid w:val="005B1210"/>
    <w:rsid w:val="005B126D"/>
    <w:rsid w:val="005B134F"/>
    <w:rsid w:val="005B1B01"/>
    <w:rsid w:val="005B1B4F"/>
    <w:rsid w:val="005B1FD8"/>
    <w:rsid w:val="005B213B"/>
    <w:rsid w:val="005B2199"/>
    <w:rsid w:val="005B23AA"/>
    <w:rsid w:val="005B289A"/>
    <w:rsid w:val="005B2F0D"/>
    <w:rsid w:val="005B30B2"/>
    <w:rsid w:val="005B3AD4"/>
    <w:rsid w:val="005B43CF"/>
    <w:rsid w:val="005B4694"/>
    <w:rsid w:val="005B52BB"/>
    <w:rsid w:val="005B54C6"/>
    <w:rsid w:val="005B5AB1"/>
    <w:rsid w:val="005B5FCA"/>
    <w:rsid w:val="005B6437"/>
    <w:rsid w:val="005B6D17"/>
    <w:rsid w:val="005B6D49"/>
    <w:rsid w:val="005B7B5F"/>
    <w:rsid w:val="005C0801"/>
    <w:rsid w:val="005C1378"/>
    <w:rsid w:val="005C13A5"/>
    <w:rsid w:val="005C1680"/>
    <w:rsid w:val="005C181C"/>
    <w:rsid w:val="005C19AC"/>
    <w:rsid w:val="005C1C11"/>
    <w:rsid w:val="005C1CEF"/>
    <w:rsid w:val="005C2AC2"/>
    <w:rsid w:val="005C2BB5"/>
    <w:rsid w:val="005C2E33"/>
    <w:rsid w:val="005C2F2B"/>
    <w:rsid w:val="005C2F97"/>
    <w:rsid w:val="005C3CC8"/>
    <w:rsid w:val="005C400B"/>
    <w:rsid w:val="005C448E"/>
    <w:rsid w:val="005C4E7F"/>
    <w:rsid w:val="005C50C1"/>
    <w:rsid w:val="005C513D"/>
    <w:rsid w:val="005C5B4E"/>
    <w:rsid w:val="005C6AB8"/>
    <w:rsid w:val="005C6B2D"/>
    <w:rsid w:val="005C6F24"/>
    <w:rsid w:val="005C72E5"/>
    <w:rsid w:val="005D006C"/>
    <w:rsid w:val="005D08D9"/>
    <w:rsid w:val="005D0D4D"/>
    <w:rsid w:val="005D1398"/>
    <w:rsid w:val="005D19BB"/>
    <w:rsid w:val="005D1ED7"/>
    <w:rsid w:val="005D20AE"/>
    <w:rsid w:val="005D29C9"/>
    <w:rsid w:val="005D36E3"/>
    <w:rsid w:val="005D3A6D"/>
    <w:rsid w:val="005D3B06"/>
    <w:rsid w:val="005D4396"/>
    <w:rsid w:val="005D5343"/>
    <w:rsid w:val="005D581C"/>
    <w:rsid w:val="005D59FC"/>
    <w:rsid w:val="005D5DD2"/>
    <w:rsid w:val="005D651E"/>
    <w:rsid w:val="005D657D"/>
    <w:rsid w:val="005D673F"/>
    <w:rsid w:val="005D7EFA"/>
    <w:rsid w:val="005E0030"/>
    <w:rsid w:val="005E0612"/>
    <w:rsid w:val="005E07B0"/>
    <w:rsid w:val="005E138C"/>
    <w:rsid w:val="005E1E7B"/>
    <w:rsid w:val="005E2B2C"/>
    <w:rsid w:val="005E2D52"/>
    <w:rsid w:val="005E3ED2"/>
    <w:rsid w:val="005E3ED9"/>
    <w:rsid w:val="005E4270"/>
    <w:rsid w:val="005E429E"/>
    <w:rsid w:val="005E4D36"/>
    <w:rsid w:val="005E5F3B"/>
    <w:rsid w:val="005E6007"/>
    <w:rsid w:val="005E627C"/>
    <w:rsid w:val="005E6321"/>
    <w:rsid w:val="005E63D5"/>
    <w:rsid w:val="005E67A4"/>
    <w:rsid w:val="005E70FB"/>
    <w:rsid w:val="005E7132"/>
    <w:rsid w:val="005E7201"/>
    <w:rsid w:val="005E72E4"/>
    <w:rsid w:val="005E747F"/>
    <w:rsid w:val="005E7DF9"/>
    <w:rsid w:val="005F0799"/>
    <w:rsid w:val="005F1162"/>
    <w:rsid w:val="005F16F9"/>
    <w:rsid w:val="005F1C3B"/>
    <w:rsid w:val="005F1EEC"/>
    <w:rsid w:val="005F2061"/>
    <w:rsid w:val="005F3262"/>
    <w:rsid w:val="005F3EBF"/>
    <w:rsid w:val="005F41F3"/>
    <w:rsid w:val="005F45BA"/>
    <w:rsid w:val="005F4770"/>
    <w:rsid w:val="005F477E"/>
    <w:rsid w:val="005F54AB"/>
    <w:rsid w:val="005F55AB"/>
    <w:rsid w:val="005F55BC"/>
    <w:rsid w:val="005F58EE"/>
    <w:rsid w:val="005F5A50"/>
    <w:rsid w:val="005F5FCF"/>
    <w:rsid w:val="005F6F1C"/>
    <w:rsid w:val="005F77F2"/>
    <w:rsid w:val="005F7E7E"/>
    <w:rsid w:val="00600553"/>
    <w:rsid w:val="006008AB"/>
    <w:rsid w:val="00601440"/>
    <w:rsid w:val="00601768"/>
    <w:rsid w:val="00601996"/>
    <w:rsid w:val="00601BB8"/>
    <w:rsid w:val="00601DF9"/>
    <w:rsid w:val="00602207"/>
    <w:rsid w:val="0060228C"/>
    <w:rsid w:val="006023FB"/>
    <w:rsid w:val="006024ED"/>
    <w:rsid w:val="00602EE0"/>
    <w:rsid w:val="00602F19"/>
    <w:rsid w:val="006033B9"/>
    <w:rsid w:val="00604476"/>
    <w:rsid w:val="0060496F"/>
    <w:rsid w:val="00606045"/>
    <w:rsid w:val="0060627A"/>
    <w:rsid w:val="00606366"/>
    <w:rsid w:val="006064AA"/>
    <w:rsid w:val="00606A6C"/>
    <w:rsid w:val="006070BE"/>
    <w:rsid w:val="00607103"/>
    <w:rsid w:val="006071CE"/>
    <w:rsid w:val="0060765A"/>
    <w:rsid w:val="00607699"/>
    <w:rsid w:val="0060770B"/>
    <w:rsid w:val="00607E9A"/>
    <w:rsid w:val="00610490"/>
    <w:rsid w:val="00610842"/>
    <w:rsid w:val="00610C54"/>
    <w:rsid w:val="00610DFD"/>
    <w:rsid w:val="006118CF"/>
    <w:rsid w:val="00611A68"/>
    <w:rsid w:val="006128E0"/>
    <w:rsid w:val="00612CF8"/>
    <w:rsid w:val="0061450C"/>
    <w:rsid w:val="006146E1"/>
    <w:rsid w:val="00614B27"/>
    <w:rsid w:val="00614CD3"/>
    <w:rsid w:val="00614DBD"/>
    <w:rsid w:val="00615AC9"/>
    <w:rsid w:val="00615D05"/>
    <w:rsid w:val="006163FE"/>
    <w:rsid w:val="0061700A"/>
    <w:rsid w:val="0061724E"/>
    <w:rsid w:val="006176F2"/>
    <w:rsid w:val="006179FD"/>
    <w:rsid w:val="00617D5A"/>
    <w:rsid w:val="00617FFB"/>
    <w:rsid w:val="00620183"/>
    <w:rsid w:val="0062031F"/>
    <w:rsid w:val="00620473"/>
    <w:rsid w:val="00620AE5"/>
    <w:rsid w:val="00621252"/>
    <w:rsid w:val="00621CC4"/>
    <w:rsid w:val="00621E95"/>
    <w:rsid w:val="00621EA1"/>
    <w:rsid w:val="006227B4"/>
    <w:rsid w:val="006229E6"/>
    <w:rsid w:val="00622F13"/>
    <w:rsid w:val="00622F61"/>
    <w:rsid w:val="00623CBD"/>
    <w:rsid w:val="00623F88"/>
    <w:rsid w:val="00624475"/>
    <w:rsid w:val="006251A0"/>
    <w:rsid w:val="0062610D"/>
    <w:rsid w:val="00626647"/>
    <w:rsid w:val="00626A13"/>
    <w:rsid w:val="00627713"/>
    <w:rsid w:val="0062775A"/>
    <w:rsid w:val="00627AE8"/>
    <w:rsid w:val="006302BC"/>
    <w:rsid w:val="0063050A"/>
    <w:rsid w:val="006307FA"/>
    <w:rsid w:val="00630843"/>
    <w:rsid w:val="00630912"/>
    <w:rsid w:val="00630A96"/>
    <w:rsid w:val="00631C37"/>
    <w:rsid w:val="006321CC"/>
    <w:rsid w:val="00632878"/>
    <w:rsid w:val="006328C2"/>
    <w:rsid w:val="00632D19"/>
    <w:rsid w:val="006343E5"/>
    <w:rsid w:val="006345C2"/>
    <w:rsid w:val="006347DE"/>
    <w:rsid w:val="00635067"/>
    <w:rsid w:val="00635199"/>
    <w:rsid w:val="00635669"/>
    <w:rsid w:val="00636183"/>
    <w:rsid w:val="0063653E"/>
    <w:rsid w:val="00636667"/>
    <w:rsid w:val="006370B3"/>
    <w:rsid w:val="00637504"/>
    <w:rsid w:val="00637AB7"/>
    <w:rsid w:val="0064033E"/>
    <w:rsid w:val="00640C9F"/>
    <w:rsid w:val="006415FE"/>
    <w:rsid w:val="00641965"/>
    <w:rsid w:val="0064210B"/>
    <w:rsid w:val="00642236"/>
    <w:rsid w:val="00642E09"/>
    <w:rsid w:val="00642F9E"/>
    <w:rsid w:val="006431B3"/>
    <w:rsid w:val="0064341F"/>
    <w:rsid w:val="00643997"/>
    <w:rsid w:val="00643AA1"/>
    <w:rsid w:val="00643D70"/>
    <w:rsid w:val="00643E0D"/>
    <w:rsid w:val="00643EE2"/>
    <w:rsid w:val="006441CA"/>
    <w:rsid w:val="00644696"/>
    <w:rsid w:val="006455AB"/>
    <w:rsid w:val="00645FE8"/>
    <w:rsid w:val="0064631E"/>
    <w:rsid w:val="00646647"/>
    <w:rsid w:val="0064689B"/>
    <w:rsid w:val="00646946"/>
    <w:rsid w:val="0064707D"/>
    <w:rsid w:val="00650738"/>
    <w:rsid w:val="0065102E"/>
    <w:rsid w:val="00651512"/>
    <w:rsid w:val="00651C5F"/>
    <w:rsid w:val="00652279"/>
    <w:rsid w:val="006525A2"/>
    <w:rsid w:val="0065281F"/>
    <w:rsid w:val="00653002"/>
    <w:rsid w:val="00653370"/>
    <w:rsid w:val="0065399C"/>
    <w:rsid w:val="006540A1"/>
    <w:rsid w:val="0065416C"/>
    <w:rsid w:val="00654EBF"/>
    <w:rsid w:val="00655004"/>
    <w:rsid w:val="00656622"/>
    <w:rsid w:val="00656711"/>
    <w:rsid w:val="00657736"/>
    <w:rsid w:val="0066023D"/>
    <w:rsid w:val="00660343"/>
    <w:rsid w:val="00660A22"/>
    <w:rsid w:val="0066108E"/>
    <w:rsid w:val="0066129F"/>
    <w:rsid w:val="00661B1B"/>
    <w:rsid w:val="006627A8"/>
    <w:rsid w:val="00662C05"/>
    <w:rsid w:val="00663562"/>
    <w:rsid w:val="00663AE4"/>
    <w:rsid w:val="00663B5A"/>
    <w:rsid w:val="006644D6"/>
    <w:rsid w:val="0066595C"/>
    <w:rsid w:val="0066620C"/>
    <w:rsid w:val="006664F2"/>
    <w:rsid w:val="00666912"/>
    <w:rsid w:val="006674A6"/>
    <w:rsid w:val="00671717"/>
    <w:rsid w:val="00671A1E"/>
    <w:rsid w:val="00671D8B"/>
    <w:rsid w:val="00672330"/>
    <w:rsid w:val="0067457C"/>
    <w:rsid w:val="00674B6E"/>
    <w:rsid w:val="0067546B"/>
    <w:rsid w:val="006756FC"/>
    <w:rsid w:val="00675821"/>
    <w:rsid w:val="00675874"/>
    <w:rsid w:val="00675AF6"/>
    <w:rsid w:val="00675C76"/>
    <w:rsid w:val="00675C80"/>
    <w:rsid w:val="00676511"/>
    <w:rsid w:val="00676B1D"/>
    <w:rsid w:val="006772CE"/>
    <w:rsid w:val="00677922"/>
    <w:rsid w:val="00677A1D"/>
    <w:rsid w:val="00677E65"/>
    <w:rsid w:val="006800FE"/>
    <w:rsid w:val="00680C91"/>
    <w:rsid w:val="00680EBE"/>
    <w:rsid w:val="00682366"/>
    <w:rsid w:val="006825CA"/>
    <w:rsid w:val="0068294D"/>
    <w:rsid w:val="0068295C"/>
    <w:rsid w:val="00682A21"/>
    <w:rsid w:val="00682FC0"/>
    <w:rsid w:val="00683292"/>
    <w:rsid w:val="006835DF"/>
    <w:rsid w:val="00683A68"/>
    <w:rsid w:val="00683F06"/>
    <w:rsid w:val="006840A4"/>
    <w:rsid w:val="00684527"/>
    <w:rsid w:val="00684723"/>
    <w:rsid w:val="006853A3"/>
    <w:rsid w:val="00685F46"/>
    <w:rsid w:val="00685F4C"/>
    <w:rsid w:val="0068617E"/>
    <w:rsid w:val="00686227"/>
    <w:rsid w:val="00686735"/>
    <w:rsid w:val="00686766"/>
    <w:rsid w:val="00687828"/>
    <w:rsid w:val="00687AAC"/>
    <w:rsid w:val="00687E61"/>
    <w:rsid w:val="00687FED"/>
    <w:rsid w:val="00690372"/>
    <w:rsid w:val="00690BCA"/>
    <w:rsid w:val="00691425"/>
    <w:rsid w:val="00692296"/>
    <w:rsid w:val="0069265B"/>
    <w:rsid w:val="006928AA"/>
    <w:rsid w:val="006933EA"/>
    <w:rsid w:val="006934D1"/>
    <w:rsid w:val="00693723"/>
    <w:rsid w:val="00694123"/>
    <w:rsid w:val="00694347"/>
    <w:rsid w:val="0069488D"/>
    <w:rsid w:val="00694954"/>
    <w:rsid w:val="006950A3"/>
    <w:rsid w:val="0069593D"/>
    <w:rsid w:val="00696628"/>
    <w:rsid w:val="00696CDE"/>
    <w:rsid w:val="00696ED7"/>
    <w:rsid w:val="00697137"/>
    <w:rsid w:val="0069747B"/>
    <w:rsid w:val="00697817"/>
    <w:rsid w:val="00697F95"/>
    <w:rsid w:val="006A0194"/>
    <w:rsid w:val="006A01D4"/>
    <w:rsid w:val="006A01EA"/>
    <w:rsid w:val="006A0234"/>
    <w:rsid w:val="006A030F"/>
    <w:rsid w:val="006A035E"/>
    <w:rsid w:val="006A0927"/>
    <w:rsid w:val="006A0C87"/>
    <w:rsid w:val="006A0E39"/>
    <w:rsid w:val="006A168E"/>
    <w:rsid w:val="006A19DB"/>
    <w:rsid w:val="006A1B2D"/>
    <w:rsid w:val="006A1C6B"/>
    <w:rsid w:val="006A285C"/>
    <w:rsid w:val="006A28B3"/>
    <w:rsid w:val="006A29B4"/>
    <w:rsid w:val="006A3B9B"/>
    <w:rsid w:val="006A483F"/>
    <w:rsid w:val="006A4ABC"/>
    <w:rsid w:val="006A4F79"/>
    <w:rsid w:val="006A5845"/>
    <w:rsid w:val="006A596D"/>
    <w:rsid w:val="006A6226"/>
    <w:rsid w:val="006A66E3"/>
    <w:rsid w:val="006A6EB8"/>
    <w:rsid w:val="006A7162"/>
    <w:rsid w:val="006B0417"/>
    <w:rsid w:val="006B0621"/>
    <w:rsid w:val="006B07BB"/>
    <w:rsid w:val="006B0DFA"/>
    <w:rsid w:val="006B0FC7"/>
    <w:rsid w:val="006B102D"/>
    <w:rsid w:val="006B151D"/>
    <w:rsid w:val="006B15E2"/>
    <w:rsid w:val="006B1DA2"/>
    <w:rsid w:val="006B2667"/>
    <w:rsid w:val="006B29D6"/>
    <w:rsid w:val="006B32CF"/>
    <w:rsid w:val="006B390C"/>
    <w:rsid w:val="006B4B1F"/>
    <w:rsid w:val="006B5421"/>
    <w:rsid w:val="006B554D"/>
    <w:rsid w:val="006B560E"/>
    <w:rsid w:val="006B5BFA"/>
    <w:rsid w:val="006B5D57"/>
    <w:rsid w:val="006B65CC"/>
    <w:rsid w:val="006B6887"/>
    <w:rsid w:val="006B6C33"/>
    <w:rsid w:val="006C0631"/>
    <w:rsid w:val="006C0B93"/>
    <w:rsid w:val="006C1707"/>
    <w:rsid w:val="006C1AD0"/>
    <w:rsid w:val="006C203C"/>
    <w:rsid w:val="006C2D77"/>
    <w:rsid w:val="006C336E"/>
    <w:rsid w:val="006C3613"/>
    <w:rsid w:val="006C3694"/>
    <w:rsid w:val="006C3C53"/>
    <w:rsid w:val="006C3FCD"/>
    <w:rsid w:val="006C418A"/>
    <w:rsid w:val="006C45C8"/>
    <w:rsid w:val="006C493E"/>
    <w:rsid w:val="006C4D44"/>
    <w:rsid w:val="006C5182"/>
    <w:rsid w:val="006C5602"/>
    <w:rsid w:val="006C56F6"/>
    <w:rsid w:val="006C5D3A"/>
    <w:rsid w:val="006C6288"/>
    <w:rsid w:val="006C678D"/>
    <w:rsid w:val="006C6D10"/>
    <w:rsid w:val="006C7305"/>
    <w:rsid w:val="006C74E0"/>
    <w:rsid w:val="006D06CF"/>
    <w:rsid w:val="006D1319"/>
    <w:rsid w:val="006D14D8"/>
    <w:rsid w:val="006D16C6"/>
    <w:rsid w:val="006D1B65"/>
    <w:rsid w:val="006D2C9C"/>
    <w:rsid w:val="006D2E2A"/>
    <w:rsid w:val="006D3252"/>
    <w:rsid w:val="006D36B3"/>
    <w:rsid w:val="006D39BF"/>
    <w:rsid w:val="006D3A85"/>
    <w:rsid w:val="006D3C2B"/>
    <w:rsid w:val="006D4564"/>
    <w:rsid w:val="006D46FC"/>
    <w:rsid w:val="006D49F6"/>
    <w:rsid w:val="006D4E65"/>
    <w:rsid w:val="006D501A"/>
    <w:rsid w:val="006D50D8"/>
    <w:rsid w:val="006D572A"/>
    <w:rsid w:val="006D5C30"/>
    <w:rsid w:val="006D5F65"/>
    <w:rsid w:val="006D67C9"/>
    <w:rsid w:val="006D6884"/>
    <w:rsid w:val="006D6B61"/>
    <w:rsid w:val="006D77D6"/>
    <w:rsid w:val="006D7B90"/>
    <w:rsid w:val="006E06B4"/>
    <w:rsid w:val="006E0CB0"/>
    <w:rsid w:val="006E0FB4"/>
    <w:rsid w:val="006E108D"/>
    <w:rsid w:val="006E15A4"/>
    <w:rsid w:val="006E292F"/>
    <w:rsid w:val="006E2F4B"/>
    <w:rsid w:val="006E3210"/>
    <w:rsid w:val="006E34F4"/>
    <w:rsid w:val="006E3A8B"/>
    <w:rsid w:val="006E47AC"/>
    <w:rsid w:val="006E4D06"/>
    <w:rsid w:val="006E54EA"/>
    <w:rsid w:val="006E5C35"/>
    <w:rsid w:val="006F0457"/>
    <w:rsid w:val="006F074B"/>
    <w:rsid w:val="006F08C5"/>
    <w:rsid w:val="006F1011"/>
    <w:rsid w:val="006F10A8"/>
    <w:rsid w:val="006F17F3"/>
    <w:rsid w:val="006F19C2"/>
    <w:rsid w:val="006F1D0E"/>
    <w:rsid w:val="006F1E3F"/>
    <w:rsid w:val="006F2A69"/>
    <w:rsid w:val="006F3183"/>
    <w:rsid w:val="006F37B9"/>
    <w:rsid w:val="006F4B17"/>
    <w:rsid w:val="006F4FB3"/>
    <w:rsid w:val="006F5273"/>
    <w:rsid w:val="006F52E1"/>
    <w:rsid w:val="006F5B28"/>
    <w:rsid w:val="006F5D29"/>
    <w:rsid w:val="006F5F2B"/>
    <w:rsid w:val="006F60E4"/>
    <w:rsid w:val="006F61FA"/>
    <w:rsid w:val="006F6321"/>
    <w:rsid w:val="006F6623"/>
    <w:rsid w:val="006F6E53"/>
    <w:rsid w:val="006F779B"/>
    <w:rsid w:val="006F7898"/>
    <w:rsid w:val="006F7FF0"/>
    <w:rsid w:val="007018B0"/>
    <w:rsid w:val="00701EC5"/>
    <w:rsid w:val="00701F6C"/>
    <w:rsid w:val="00702053"/>
    <w:rsid w:val="0070234D"/>
    <w:rsid w:val="0070270C"/>
    <w:rsid w:val="00702B69"/>
    <w:rsid w:val="007034B5"/>
    <w:rsid w:val="00703B04"/>
    <w:rsid w:val="007041A0"/>
    <w:rsid w:val="007053CD"/>
    <w:rsid w:val="00705520"/>
    <w:rsid w:val="0070681C"/>
    <w:rsid w:val="00706976"/>
    <w:rsid w:val="0070782C"/>
    <w:rsid w:val="0070798B"/>
    <w:rsid w:val="007105B1"/>
    <w:rsid w:val="00710CD2"/>
    <w:rsid w:val="00710FA9"/>
    <w:rsid w:val="0071162D"/>
    <w:rsid w:val="00711CCF"/>
    <w:rsid w:val="007127F1"/>
    <w:rsid w:val="00712972"/>
    <w:rsid w:val="00712D64"/>
    <w:rsid w:val="00712DAD"/>
    <w:rsid w:val="0071436C"/>
    <w:rsid w:val="00714795"/>
    <w:rsid w:val="0071506F"/>
    <w:rsid w:val="00715343"/>
    <w:rsid w:val="0071632C"/>
    <w:rsid w:val="007163BD"/>
    <w:rsid w:val="00716511"/>
    <w:rsid w:val="00716F26"/>
    <w:rsid w:val="007173AD"/>
    <w:rsid w:val="00720182"/>
    <w:rsid w:val="007201D9"/>
    <w:rsid w:val="00720467"/>
    <w:rsid w:val="0072082D"/>
    <w:rsid w:val="0072086E"/>
    <w:rsid w:val="0072106C"/>
    <w:rsid w:val="007211C8"/>
    <w:rsid w:val="0072158B"/>
    <w:rsid w:val="00721772"/>
    <w:rsid w:val="00721ACA"/>
    <w:rsid w:val="0072206D"/>
    <w:rsid w:val="00722D2C"/>
    <w:rsid w:val="00722D57"/>
    <w:rsid w:val="00722F1C"/>
    <w:rsid w:val="00723372"/>
    <w:rsid w:val="0072418C"/>
    <w:rsid w:val="0072422D"/>
    <w:rsid w:val="00724449"/>
    <w:rsid w:val="007245AB"/>
    <w:rsid w:val="00724688"/>
    <w:rsid w:val="0072585D"/>
    <w:rsid w:val="0072592F"/>
    <w:rsid w:val="007260E7"/>
    <w:rsid w:val="0072618B"/>
    <w:rsid w:val="007263AC"/>
    <w:rsid w:val="0072651C"/>
    <w:rsid w:val="00727A5E"/>
    <w:rsid w:val="00730347"/>
    <w:rsid w:val="0073078E"/>
    <w:rsid w:val="007308AA"/>
    <w:rsid w:val="00730AD2"/>
    <w:rsid w:val="00731423"/>
    <w:rsid w:val="00731D79"/>
    <w:rsid w:val="00731FEB"/>
    <w:rsid w:val="0073206A"/>
    <w:rsid w:val="007322A9"/>
    <w:rsid w:val="007323ED"/>
    <w:rsid w:val="00732DD0"/>
    <w:rsid w:val="007331C0"/>
    <w:rsid w:val="007345A9"/>
    <w:rsid w:val="00734841"/>
    <w:rsid w:val="00734F76"/>
    <w:rsid w:val="0073562C"/>
    <w:rsid w:val="00736D12"/>
    <w:rsid w:val="00737050"/>
    <w:rsid w:val="0073746B"/>
    <w:rsid w:val="00737D5C"/>
    <w:rsid w:val="00737EFE"/>
    <w:rsid w:val="00737F26"/>
    <w:rsid w:val="00740A29"/>
    <w:rsid w:val="00740BE5"/>
    <w:rsid w:val="00740E7C"/>
    <w:rsid w:val="00741A9B"/>
    <w:rsid w:val="00741BF0"/>
    <w:rsid w:val="00742122"/>
    <w:rsid w:val="00742226"/>
    <w:rsid w:val="00742539"/>
    <w:rsid w:val="00742998"/>
    <w:rsid w:val="00742C6D"/>
    <w:rsid w:val="00743434"/>
    <w:rsid w:val="007435D9"/>
    <w:rsid w:val="00743AB0"/>
    <w:rsid w:val="00743C28"/>
    <w:rsid w:val="007441F5"/>
    <w:rsid w:val="007442F8"/>
    <w:rsid w:val="00744659"/>
    <w:rsid w:val="00744A79"/>
    <w:rsid w:val="00744C63"/>
    <w:rsid w:val="00744D75"/>
    <w:rsid w:val="00744D91"/>
    <w:rsid w:val="00744FE6"/>
    <w:rsid w:val="00745026"/>
    <w:rsid w:val="00745310"/>
    <w:rsid w:val="00745E5D"/>
    <w:rsid w:val="00746195"/>
    <w:rsid w:val="007465AA"/>
    <w:rsid w:val="00746699"/>
    <w:rsid w:val="00747A91"/>
    <w:rsid w:val="007500C4"/>
    <w:rsid w:val="00750764"/>
    <w:rsid w:val="00750CC2"/>
    <w:rsid w:val="00751222"/>
    <w:rsid w:val="00751227"/>
    <w:rsid w:val="007512B9"/>
    <w:rsid w:val="00751E15"/>
    <w:rsid w:val="00752096"/>
    <w:rsid w:val="00753103"/>
    <w:rsid w:val="00753716"/>
    <w:rsid w:val="00753742"/>
    <w:rsid w:val="00753C3C"/>
    <w:rsid w:val="00755533"/>
    <w:rsid w:val="00755F2F"/>
    <w:rsid w:val="0075617A"/>
    <w:rsid w:val="00756283"/>
    <w:rsid w:val="00756B60"/>
    <w:rsid w:val="00757112"/>
    <w:rsid w:val="0075785A"/>
    <w:rsid w:val="00760480"/>
    <w:rsid w:val="00760947"/>
    <w:rsid w:val="00760F8A"/>
    <w:rsid w:val="0076126D"/>
    <w:rsid w:val="00761D78"/>
    <w:rsid w:val="00761E84"/>
    <w:rsid w:val="00762542"/>
    <w:rsid w:val="00762B46"/>
    <w:rsid w:val="007634E6"/>
    <w:rsid w:val="00763D32"/>
    <w:rsid w:val="00763F79"/>
    <w:rsid w:val="00763F82"/>
    <w:rsid w:val="007643D6"/>
    <w:rsid w:val="00764C04"/>
    <w:rsid w:val="00764D75"/>
    <w:rsid w:val="00764ECA"/>
    <w:rsid w:val="007650BD"/>
    <w:rsid w:val="0076541B"/>
    <w:rsid w:val="00765E85"/>
    <w:rsid w:val="00766612"/>
    <w:rsid w:val="0076672E"/>
    <w:rsid w:val="00766812"/>
    <w:rsid w:val="00766EB3"/>
    <w:rsid w:val="0076774B"/>
    <w:rsid w:val="00767878"/>
    <w:rsid w:val="00767943"/>
    <w:rsid w:val="00767E00"/>
    <w:rsid w:val="00770571"/>
    <w:rsid w:val="00770EF2"/>
    <w:rsid w:val="007713E8"/>
    <w:rsid w:val="00771508"/>
    <w:rsid w:val="00771B2B"/>
    <w:rsid w:val="007721BA"/>
    <w:rsid w:val="007724C0"/>
    <w:rsid w:val="00772578"/>
    <w:rsid w:val="00773132"/>
    <w:rsid w:val="0077394E"/>
    <w:rsid w:val="00773D6E"/>
    <w:rsid w:val="0077434A"/>
    <w:rsid w:val="00774CDB"/>
    <w:rsid w:val="0077588B"/>
    <w:rsid w:val="00775B58"/>
    <w:rsid w:val="00775F48"/>
    <w:rsid w:val="00776057"/>
    <w:rsid w:val="007766D4"/>
    <w:rsid w:val="00776956"/>
    <w:rsid w:val="00776A25"/>
    <w:rsid w:val="0077729B"/>
    <w:rsid w:val="00777563"/>
    <w:rsid w:val="0077799B"/>
    <w:rsid w:val="00777B20"/>
    <w:rsid w:val="00777C27"/>
    <w:rsid w:val="00777EA5"/>
    <w:rsid w:val="00780AC8"/>
    <w:rsid w:val="007811C6"/>
    <w:rsid w:val="007815CF"/>
    <w:rsid w:val="007817E7"/>
    <w:rsid w:val="00781977"/>
    <w:rsid w:val="00781C37"/>
    <w:rsid w:val="0078225A"/>
    <w:rsid w:val="007822C4"/>
    <w:rsid w:val="00782E30"/>
    <w:rsid w:val="00783316"/>
    <w:rsid w:val="007833D3"/>
    <w:rsid w:val="00783460"/>
    <w:rsid w:val="0078380A"/>
    <w:rsid w:val="00783BEF"/>
    <w:rsid w:val="00783E38"/>
    <w:rsid w:val="007846E7"/>
    <w:rsid w:val="0078495B"/>
    <w:rsid w:val="00785448"/>
    <w:rsid w:val="007865B5"/>
    <w:rsid w:val="00786742"/>
    <w:rsid w:val="00786964"/>
    <w:rsid w:val="007871B8"/>
    <w:rsid w:val="007875E6"/>
    <w:rsid w:val="00787826"/>
    <w:rsid w:val="00787A7D"/>
    <w:rsid w:val="00791E7F"/>
    <w:rsid w:val="00792206"/>
    <w:rsid w:val="007927B7"/>
    <w:rsid w:val="00792939"/>
    <w:rsid w:val="00792DD0"/>
    <w:rsid w:val="0079320B"/>
    <w:rsid w:val="00793415"/>
    <w:rsid w:val="00793D3F"/>
    <w:rsid w:val="007941CF"/>
    <w:rsid w:val="00794506"/>
    <w:rsid w:val="00794A39"/>
    <w:rsid w:val="00795881"/>
    <w:rsid w:val="007958B7"/>
    <w:rsid w:val="00796188"/>
    <w:rsid w:val="007963C3"/>
    <w:rsid w:val="0079654D"/>
    <w:rsid w:val="007978A1"/>
    <w:rsid w:val="00797E03"/>
    <w:rsid w:val="007A0604"/>
    <w:rsid w:val="007A0D47"/>
    <w:rsid w:val="007A0F13"/>
    <w:rsid w:val="007A0F58"/>
    <w:rsid w:val="007A101D"/>
    <w:rsid w:val="007A19FB"/>
    <w:rsid w:val="007A24C0"/>
    <w:rsid w:val="007A2A99"/>
    <w:rsid w:val="007A2F42"/>
    <w:rsid w:val="007A36B5"/>
    <w:rsid w:val="007A3B9E"/>
    <w:rsid w:val="007A3F25"/>
    <w:rsid w:val="007A41EA"/>
    <w:rsid w:val="007A45A1"/>
    <w:rsid w:val="007A4EB3"/>
    <w:rsid w:val="007A4F1F"/>
    <w:rsid w:val="007A5CEE"/>
    <w:rsid w:val="007A630E"/>
    <w:rsid w:val="007A6A8C"/>
    <w:rsid w:val="007A708D"/>
    <w:rsid w:val="007A7501"/>
    <w:rsid w:val="007A7F43"/>
    <w:rsid w:val="007B03A8"/>
    <w:rsid w:val="007B0B89"/>
    <w:rsid w:val="007B18F5"/>
    <w:rsid w:val="007B1D37"/>
    <w:rsid w:val="007B205D"/>
    <w:rsid w:val="007B2FA7"/>
    <w:rsid w:val="007B3215"/>
    <w:rsid w:val="007B3306"/>
    <w:rsid w:val="007B3A8E"/>
    <w:rsid w:val="007B3B02"/>
    <w:rsid w:val="007B3E17"/>
    <w:rsid w:val="007B402B"/>
    <w:rsid w:val="007B407B"/>
    <w:rsid w:val="007B4541"/>
    <w:rsid w:val="007B49A5"/>
    <w:rsid w:val="007B4E37"/>
    <w:rsid w:val="007B5585"/>
    <w:rsid w:val="007B5DA6"/>
    <w:rsid w:val="007B6454"/>
    <w:rsid w:val="007B6CDA"/>
    <w:rsid w:val="007B746F"/>
    <w:rsid w:val="007C07A5"/>
    <w:rsid w:val="007C0C73"/>
    <w:rsid w:val="007C0CDE"/>
    <w:rsid w:val="007C1309"/>
    <w:rsid w:val="007C15B8"/>
    <w:rsid w:val="007C1769"/>
    <w:rsid w:val="007C1952"/>
    <w:rsid w:val="007C237C"/>
    <w:rsid w:val="007C24AD"/>
    <w:rsid w:val="007C2BDF"/>
    <w:rsid w:val="007C2C33"/>
    <w:rsid w:val="007C301B"/>
    <w:rsid w:val="007C3796"/>
    <w:rsid w:val="007C3A99"/>
    <w:rsid w:val="007C4032"/>
    <w:rsid w:val="007C4337"/>
    <w:rsid w:val="007C4781"/>
    <w:rsid w:val="007C4EF1"/>
    <w:rsid w:val="007C50FD"/>
    <w:rsid w:val="007C552B"/>
    <w:rsid w:val="007C582C"/>
    <w:rsid w:val="007C58A2"/>
    <w:rsid w:val="007C5C47"/>
    <w:rsid w:val="007C5E01"/>
    <w:rsid w:val="007C67B1"/>
    <w:rsid w:val="007C6879"/>
    <w:rsid w:val="007C6AA3"/>
    <w:rsid w:val="007C6EAD"/>
    <w:rsid w:val="007C6F52"/>
    <w:rsid w:val="007C7016"/>
    <w:rsid w:val="007C735B"/>
    <w:rsid w:val="007D018F"/>
    <w:rsid w:val="007D078D"/>
    <w:rsid w:val="007D08A8"/>
    <w:rsid w:val="007D08F2"/>
    <w:rsid w:val="007D15F6"/>
    <w:rsid w:val="007D1D6B"/>
    <w:rsid w:val="007D1DDF"/>
    <w:rsid w:val="007D26D4"/>
    <w:rsid w:val="007D271C"/>
    <w:rsid w:val="007D2EDA"/>
    <w:rsid w:val="007D35C6"/>
    <w:rsid w:val="007D40FC"/>
    <w:rsid w:val="007D4A63"/>
    <w:rsid w:val="007D5431"/>
    <w:rsid w:val="007D5491"/>
    <w:rsid w:val="007D5B64"/>
    <w:rsid w:val="007D5D8F"/>
    <w:rsid w:val="007D6151"/>
    <w:rsid w:val="007D62E2"/>
    <w:rsid w:val="007D669D"/>
    <w:rsid w:val="007D765C"/>
    <w:rsid w:val="007D7AB4"/>
    <w:rsid w:val="007D7E48"/>
    <w:rsid w:val="007E0244"/>
    <w:rsid w:val="007E072C"/>
    <w:rsid w:val="007E0860"/>
    <w:rsid w:val="007E0E77"/>
    <w:rsid w:val="007E1156"/>
    <w:rsid w:val="007E11B2"/>
    <w:rsid w:val="007E1256"/>
    <w:rsid w:val="007E15C0"/>
    <w:rsid w:val="007E1EC9"/>
    <w:rsid w:val="007E2694"/>
    <w:rsid w:val="007E26D8"/>
    <w:rsid w:val="007E3D7A"/>
    <w:rsid w:val="007E3F7F"/>
    <w:rsid w:val="007E4C92"/>
    <w:rsid w:val="007E52F6"/>
    <w:rsid w:val="007E5F12"/>
    <w:rsid w:val="007E65E1"/>
    <w:rsid w:val="007E7606"/>
    <w:rsid w:val="007E78A4"/>
    <w:rsid w:val="007E7B8C"/>
    <w:rsid w:val="007F04CE"/>
    <w:rsid w:val="007F0D4A"/>
    <w:rsid w:val="007F1380"/>
    <w:rsid w:val="007F1857"/>
    <w:rsid w:val="007F269F"/>
    <w:rsid w:val="007F291E"/>
    <w:rsid w:val="007F2AD4"/>
    <w:rsid w:val="007F2E7F"/>
    <w:rsid w:val="007F3359"/>
    <w:rsid w:val="007F3842"/>
    <w:rsid w:val="007F43C4"/>
    <w:rsid w:val="007F4915"/>
    <w:rsid w:val="007F4B54"/>
    <w:rsid w:val="007F50AC"/>
    <w:rsid w:val="007F542B"/>
    <w:rsid w:val="007F586F"/>
    <w:rsid w:val="007F5CCF"/>
    <w:rsid w:val="007F6E08"/>
    <w:rsid w:val="007F79CC"/>
    <w:rsid w:val="007F7AFC"/>
    <w:rsid w:val="00800CCD"/>
    <w:rsid w:val="008010D2"/>
    <w:rsid w:val="00801F6D"/>
    <w:rsid w:val="0080331C"/>
    <w:rsid w:val="0080338F"/>
    <w:rsid w:val="008035B8"/>
    <w:rsid w:val="00803B70"/>
    <w:rsid w:val="00803C15"/>
    <w:rsid w:val="00803E2F"/>
    <w:rsid w:val="0080456F"/>
    <w:rsid w:val="008045CD"/>
    <w:rsid w:val="00804BF5"/>
    <w:rsid w:val="00804FBF"/>
    <w:rsid w:val="00805698"/>
    <w:rsid w:val="00805767"/>
    <w:rsid w:val="00806939"/>
    <w:rsid w:val="008074B0"/>
    <w:rsid w:val="008074B8"/>
    <w:rsid w:val="008076E8"/>
    <w:rsid w:val="00807E27"/>
    <w:rsid w:val="0081089C"/>
    <w:rsid w:val="00810AE0"/>
    <w:rsid w:val="00810E67"/>
    <w:rsid w:val="00811193"/>
    <w:rsid w:val="00811506"/>
    <w:rsid w:val="0081267E"/>
    <w:rsid w:val="008126FA"/>
    <w:rsid w:val="00813005"/>
    <w:rsid w:val="008133D6"/>
    <w:rsid w:val="00813B8B"/>
    <w:rsid w:val="0081460E"/>
    <w:rsid w:val="00814E4D"/>
    <w:rsid w:val="00815423"/>
    <w:rsid w:val="008159A8"/>
    <w:rsid w:val="00815FFF"/>
    <w:rsid w:val="0081653A"/>
    <w:rsid w:val="00816797"/>
    <w:rsid w:val="0081688A"/>
    <w:rsid w:val="00816C36"/>
    <w:rsid w:val="008172E7"/>
    <w:rsid w:val="00817660"/>
    <w:rsid w:val="00817E97"/>
    <w:rsid w:val="00817F20"/>
    <w:rsid w:val="00820073"/>
    <w:rsid w:val="0082015E"/>
    <w:rsid w:val="008203D5"/>
    <w:rsid w:val="0082061D"/>
    <w:rsid w:val="008209E1"/>
    <w:rsid w:val="00820BA6"/>
    <w:rsid w:val="0082157D"/>
    <w:rsid w:val="00821BC3"/>
    <w:rsid w:val="00822194"/>
    <w:rsid w:val="00822387"/>
    <w:rsid w:val="00823061"/>
    <w:rsid w:val="008233E4"/>
    <w:rsid w:val="0082343D"/>
    <w:rsid w:val="0082495D"/>
    <w:rsid w:val="00824EDB"/>
    <w:rsid w:val="00825276"/>
    <w:rsid w:val="00825D28"/>
    <w:rsid w:val="00826554"/>
    <w:rsid w:val="00826746"/>
    <w:rsid w:val="0082690E"/>
    <w:rsid w:val="00826C26"/>
    <w:rsid w:val="00826FBE"/>
    <w:rsid w:val="00826FFB"/>
    <w:rsid w:val="00827B8C"/>
    <w:rsid w:val="00827F2D"/>
    <w:rsid w:val="00831AE6"/>
    <w:rsid w:val="00831D8E"/>
    <w:rsid w:val="008321DA"/>
    <w:rsid w:val="0083233D"/>
    <w:rsid w:val="00832A73"/>
    <w:rsid w:val="00832B24"/>
    <w:rsid w:val="00832EB6"/>
    <w:rsid w:val="00833764"/>
    <w:rsid w:val="0083379C"/>
    <w:rsid w:val="008340D7"/>
    <w:rsid w:val="0083426A"/>
    <w:rsid w:val="008347EA"/>
    <w:rsid w:val="00834906"/>
    <w:rsid w:val="00835190"/>
    <w:rsid w:val="00835591"/>
    <w:rsid w:val="008358D4"/>
    <w:rsid w:val="00835A48"/>
    <w:rsid w:val="00835C77"/>
    <w:rsid w:val="00835F20"/>
    <w:rsid w:val="008361D3"/>
    <w:rsid w:val="00836D65"/>
    <w:rsid w:val="008376E1"/>
    <w:rsid w:val="00837802"/>
    <w:rsid w:val="00837E0B"/>
    <w:rsid w:val="00841131"/>
    <w:rsid w:val="00841230"/>
    <w:rsid w:val="00841968"/>
    <w:rsid w:val="00841979"/>
    <w:rsid w:val="00841FFD"/>
    <w:rsid w:val="008420A4"/>
    <w:rsid w:val="0084255B"/>
    <w:rsid w:val="0084258B"/>
    <w:rsid w:val="008429CE"/>
    <w:rsid w:val="00842D57"/>
    <w:rsid w:val="0084389F"/>
    <w:rsid w:val="00843E38"/>
    <w:rsid w:val="008446B8"/>
    <w:rsid w:val="00844A45"/>
    <w:rsid w:val="00844BDF"/>
    <w:rsid w:val="0084509F"/>
    <w:rsid w:val="008452A0"/>
    <w:rsid w:val="008456B3"/>
    <w:rsid w:val="0084579D"/>
    <w:rsid w:val="00845C8D"/>
    <w:rsid w:val="00845F70"/>
    <w:rsid w:val="00845FEB"/>
    <w:rsid w:val="0084634F"/>
    <w:rsid w:val="0084660C"/>
    <w:rsid w:val="00846AB7"/>
    <w:rsid w:val="00846C4A"/>
    <w:rsid w:val="00846DE4"/>
    <w:rsid w:val="00846E78"/>
    <w:rsid w:val="00846F44"/>
    <w:rsid w:val="008472F4"/>
    <w:rsid w:val="008475D3"/>
    <w:rsid w:val="00847C87"/>
    <w:rsid w:val="00847D02"/>
    <w:rsid w:val="00847DAA"/>
    <w:rsid w:val="008500D9"/>
    <w:rsid w:val="00850234"/>
    <w:rsid w:val="00850334"/>
    <w:rsid w:val="00850521"/>
    <w:rsid w:val="00851316"/>
    <w:rsid w:val="00851B15"/>
    <w:rsid w:val="00851E88"/>
    <w:rsid w:val="00852832"/>
    <w:rsid w:val="0085380A"/>
    <w:rsid w:val="00853A87"/>
    <w:rsid w:val="00854602"/>
    <w:rsid w:val="008546B4"/>
    <w:rsid w:val="00854B48"/>
    <w:rsid w:val="00854CD2"/>
    <w:rsid w:val="0085537B"/>
    <w:rsid w:val="00855B3D"/>
    <w:rsid w:val="00855E32"/>
    <w:rsid w:val="00855FCA"/>
    <w:rsid w:val="00856010"/>
    <w:rsid w:val="008561D6"/>
    <w:rsid w:val="0085646B"/>
    <w:rsid w:val="00856676"/>
    <w:rsid w:val="00856F2C"/>
    <w:rsid w:val="008575B3"/>
    <w:rsid w:val="00857600"/>
    <w:rsid w:val="00860E9C"/>
    <w:rsid w:val="00861269"/>
    <w:rsid w:val="00861C0E"/>
    <w:rsid w:val="00861EE8"/>
    <w:rsid w:val="008629DF"/>
    <w:rsid w:val="00862DC5"/>
    <w:rsid w:val="00863240"/>
    <w:rsid w:val="008638A3"/>
    <w:rsid w:val="008644B6"/>
    <w:rsid w:val="008654AB"/>
    <w:rsid w:val="008659C0"/>
    <w:rsid w:val="00865B67"/>
    <w:rsid w:val="0086660D"/>
    <w:rsid w:val="00866894"/>
    <w:rsid w:val="00867101"/>
    <w:rsid w:val="00867272"/>
    <w:rsid w:val="008702D7"/>
    <w:rsid w:val="00870707"/>
    <w:rsid w:val="008707F1"/>
    <w:rsid w:val="00870851"/>
    <w:rsid w:val="0087117B"/>
    <w:rsid w:val="00871748"/>
    <w:rsid w:val="008719D1"/>
    <w:rsid w:val="00871E5A"/>
    <w:rsid w:val="00871E86"/>
    <w:rsid w:val="008726A0"/>
    <w:rsid w:val="00872CE5"/>
    <w:rsid w:val="00872EC4"/>
    <w:rsid w:val="00873F64"/>
    <w:rsid w:val="0087437E"/>
    <w:rsid w:val="008749D0"/>
    <w:rsid w:val="00874AA1"/>
    <w:rsid w:val="00874B85"/>
    <w:rsid w:val="00874F63"/>
    <w:rsid w:val="00875403"/>
    <w:rsid w:val="00875553"/>
    <w:rsid w:val="00876699"/>
    <w:rsid w:val="0087766B"/>
    <w:rsid w:val="00877D36"/>
    <w:rsid w:val="00877FF2"/>
    <w:rsid w:val="0088123B"/>
    <w:rsid w:val="0088142C"/>
    <w:rsid w:val="008817BC"/>
    <w:rsid w:val="00881947"/>
    <w:rsid w:val="00881B11"/>
    <w:rsid w:val="00882066"/>
    <w:rsid w:val="00882944"/>
    <w:rsid w:val="00882A55"/>
    <w:rsid w:val="00882AF5"/>
    <w:rsid w:val="0088360F"/>
    <w:rsid w:val="008838F7"/>
    <w:rsid w:val="00883D3C"/>
    <w:rsid w:val="00883D76"/>
    <w:rsid w:val="00884034"/>
    <w:rsid w:val="00884129"/>
    <w:rsid w:val="0088465F"/>
    <w:rsid w:val="00884D7A"/>
    <w:rsid w:val="00884F8B"/>
    <w:rsid w:val="00885226"/>
    <w:rsid w:val="008854CC"/>
    <w:rsid w:val="00885E0D"/>
    <w:rsid w:val="008875A5"/>
    <w:rsid w:val="00887601"/>
    <w:rsid w:val="00887BEE"/>
    <w:rsid w:val="00887D47"/>
    <w:rsid w:val="00887EB5"/>
    <w:rsid w:val="00890309"/>
    <w:rsid w:val="008905FD"/>
    <w:rsid w:val="008906CD"/>
    <w:rsid w:val="00890CC5"/>
    <w:rsid w:val="00890DB2"/>
    <w:rsid w:val="00891154"/>
    <w:rsid w:val="008914AD"/>
    <w:rsid w:val="00891745"/>
    <w:rsid w:val="00891A9E"/>
    <w:rsid w:val="0089205D"/>
    <w:rsid w:val="008939C1"/>
    <w:rsid w:val="00893A01"/>
    <w:rsid w:val="008943B7"/>
    <w:rsid w:val="00894929"/>
    <w:rsid w:val="00894B3F"/>
    <w:rsid w:val="00894E0C"/>
    <w:rsid w:val="00895006"/>
    <w:rsid w:val="008955BB"/>
    <w:rsid w:val="00895C2C"/>
    <w:rsid w:val="00897341"/>
    <w:rsid w:val="00897358"/>
    <w:rsid w:val="008973AE"/>
    <w:rsid w:val="0089769A"/>
    <w:rsid w:val="008978E9"/>
    <w:rsid w:val="00897A93"/>
    <w:rsid w:val="00897C6B"/>
    <w:rsid w:val="008A039D"/>
    <w:rsid w:val="008A0DF5"/>
    <w:rsid w:val="008A0EA6"/>
    <w:rsid w:val="008A1C43"/>
    <w:rsid w:val="008A2CAF"/>
    <w:rsid w:val="008A2D9C"/>
    <w:rsid w:val="008A2F3A"/>
    <w:rsid w:val="008A303E"/>
    <w:rsid w:val="008A3D02"/>
    <w:rsid w:val="008A3DAF"/>
    <w:rsid w:val="008A533D"/>
    <w:rsid w:val="008A578A"/>
    <w:rsid w:val="008A7587"/>
    <w:rsid w:val="008B04BE"/>
    <w:rsid w:val="008B04E6"/>
    <w:rsid w:val="008B0C18"/>
    <w:rsid w:val="008B0C64"/>
    <w:rsid w:val="008B0EED"/>
    <w:rsid w:val="008B114E"/>
    <w:rsid w:val="008B1284"/>
    <w:rsid w:val="008B12BB"/>
    <w:rsid w:val="008B1FFE"/>
    <w:rsid w:val="008B20AA"/>
    <w:rsid w:val="008B20F8"/>
    <w:rsid w:val="008B236C"/>
    <w:rsid w:val="008B2469"/>
    <w:rsid w:val="008B2B72"/>
    <w:rsid w:val="008B2F65"/>
    <w:rsid w:val="008B3246"/>
    <w:rsid w:val="008B32B0"/>
    <w:rsid w:val="008B37A6"/>
    <w:rsid w:val="008B3AAD"/>
    <w:rsid w:val="008B40BE"/>
    <w:rsid w:val="008B5E2C"/>
    <w:rsid w:val="008B66F0"/>
    <w:rsid w:val="008B71C6"/>
    <w:rsid w:val="008B730B"/>
    <w:rsid w:val="008B756B"/>
    <w:rsid w:val="008C0551"/>
    <w:rsid w:val="008C0A41"/>
    <w:rsid w:val="008C14A9"/>
    <w:rsid w:val="008C1853"/>
    <w:rsid w:val="008C1995"/>
    <w:rsid w:val="008C208A"/>
    <w:rsid w:val="008C292E"/>
    <w:rsid w:val="008C316E"/>
    <w:rsid w:val="008C32C7"/>
    <w:rsid w:val="008C34BE"/>
    <w:rsid w:val="008C458B"/>
    <w:rsid w:val="008C4855"/>
    <w:rsid w:val="008C527E"/>
    <w:rsid w:val="008C53C5"/>
    <w:rsid w:val="008C5489"/>
    <w:rsid w:val="008C54DE"/>
    <w:rsid w:val="008C59B8"/>
    <w:rsid w:val="008C5A7E"/>
    <w:rsid w:val="008C5D7E"/>
    <w:rsid w:val="008C6B71"/>
    <w:rsid w:val="008C7013"/>
    <w:rsid w:val="008D0178"/>
    <w:rsid w:val="008D0574"/>
    <w:rsid w:val="008D0785"/>
    <w:rsid w:val="008D117F"/>
    <w:rsid w:val="008D16B8"/>
    <w:rsid w:val="008D1B20"/>
    <w:rsid w:val="008D1B2D"/>
    <w:rsid w:val="008D2A36"/>
    <w:rsid w:val="008D2ADB"/>
    <w:rsid w:val="008D3555"/>
    <w:rsid w:val="008D3CE7"/>
    <w:rsid w:val="008D4039"/>
    <w:rsid w:val="008D40E3"/>
    <w:rsid w:val="008D579F"/>
    <w:rsid w:val="008D632F"/>
    <w:rsid w:val="008D652D"/>
    <w:rsid w:val="008D66E9"/>
    <w:rsid w:val="008D6707"/>
    <w:rsid w:val="008D67AB"/>
    <w:rsid w:val="008D77F1"/>
    <w:rsid w:val="008E034A"/>
    <w:rsid w:val="008E0D56"/>
    <w:rsid w:val="008E10ED"/>
    <w:rsid w:val="008E119A"/>
    <w:rsid w:val="008E1234"/>
    <w:rsid w:val="008E161C"/>
    <w:rsid w:val="008E177F"/>
    <w:rsid w:val="008E1CED"/>
    <w:rsid w:val="008E226C"/>
    <w:rsid w:val="008E25C0"/>
    <w:rsid w:val="008E31DA"/>
    <w:rsid w:val="008E378C"/>
    <w:rsid w:val="008E385C"/>
    <w:rsid w:val="008E3C5E"/>
    <w:rsid w:val="008E3D37"/>
    <w:rsid w:val="008E414F"/>
    <w:rsid w:val="008E45EB"/>
    <w:rsid w:val="008E4677"/>
    <w:rsid w:val="008E4E62"/>
    <w:rsid w:val="008E5297"/>
    <w:rsid w:val="008E55A4"/>
    <w:rsid w:val="008E5A1F"/>
    <w:rsid w:val="008E5CE2"/>
    <w:rsid w:val="008E5F1F"/>
    <w:rsid w:val="008F005E"/>
    <w:rsid w:val="008F0576"/>
    <w:rsid w:val="008F0616"/>
    <w:rsid w:val="008F097C"/>
    <w:rsid w:val="008F0EC6"/>
    <w:rsid w:val="008F1183"/>
    <w:rsid w:val="008F139F"/>
    <w:rsid w:val="008F2873"/>
    <w:rsid w:val="008F2A16"/>
    <w:rsid w:val="008F2C13"/>
    <w:rsid w:val="008F3007"/>
    <w:rsid w:val="008F3057"/>
    <w:rsid w:val="008F3108"/>
    <w:rsid w:val="008F4147"/>
    <w:rsid w:val="008F4D96"/>
    <w:rsid w:val="008F5419"/>
    <w:rsid w:val="008F54E0"/>
    <w:rsid w:val="008F5D8C"/>
    <w:rsid w:val="008F5FC4"/>
    <w:rsid w:val="008F678E"/>
    <w:rsid w:val="008F6B66"/>
    <w:rsid w:val="008F7258"/>
    <w:rsid w:val="008F7737"/>
    <w:rsid w:val="008F78EB"/>
    <w:rsid w:val="009008B2"/>
    <w:rsid w:val="00900BBB"/>
    <w:rsid w:val="00901086"/>
    <w:rsid w:val="0090153C"/>
    <w:rsid w:val="0090184D"/>
    <w:rsid w:val="0090185A"/>
    <w:rsid w:val="009019A6"/>
    <w:rsid w:val="00901AA4"/>
    <w:rsid w:val="009020EB"/>
    <w:rsid w:val="009026DD"/>
    <w:rsid w:val="00902996"/>
    <w:rsid w:val="00902A86"/>
    <w:rsid w:val="00902BAF"/>
    <w:rsid w:val="009031AE"/>
    <w:rsid w:val="0090363C"/>
    <w:rsid w:val="009039B7"/>
    <w:rsid w:val="009042A7"/>
    <w:rsid w:val="00904F33"/>
    <w:rsid w:val="0090508E"/>
    <w:rsid w:val="00905B04"/>
    <w:rsid w:val="00905F0C"/>
    <w:rsid w:val="00907464"/>
    <w:rsid w:val="009102CB"/>
    <w:rsid w:val="00910BA8"/>
    <w:rsid w:val="00910BBC"/>
    <w:rsid w:val="00910D1E"/>
    <w:rsid w:val="009113B3"/>
    <w:rsid w:val="00911F18"/>
    <w:rsid w:val="009121DA"/>
    <w:rsid w:val="009125E5"/>
    <w:rsid w:val="00912CFB"/>
    <w:rsid w:val="00912D63"/>
    <w:rsid w:val="0091349C"/>
    <w:rsid w:val="009134BE"/>
    <w:rsid w:val="009137CA"/>
    <w:rsid w:val="00913A1B"/>
    <w:rsid w:val="00913ADC"/>
    <w:rsid w:val="009142DE"/>
    <w:rsid w:val="0091457D"/>
    <w:rsid w:val="0091481C"/>
    <w:rsid w:val="00914985"/>
    <w:rsid w:val="00915418"/>
    <w:rsid w:val="0091671B"/>
    <w:rsid w:val="00916ABB"/>
    <w:rsid w:val="00916B3D"/>
    <w:rsid w:val="00916B5D"/>
    <w:rsid w:val="00916B7A"/>
    <w:rsid w:val="00916FB0"/>
    <w:rsid w:val="0091702D"/>
    <w:rsid w:val="00917500"/>
    <w:rsid w:val="009179B2"/>
    <w:rsid w:val="00920268"/>
    <w:rsid w:val="00920DEB"/>
    <w:rsid w:val="00920F9C"/>
    <w:rsid w:val="0092107D"/>
    <w:rsid w:val="009215A9"/>
    <w:rsid w:val="00921638"/>
    <w:rsid w:val="00921D86"/>
    <w:rsid w:val="00922167"/>
    <w:rsid w:val="00922EC5"/>
    <w:rsid w:val="009240B4"/>
    <w:rsid w:val="00924168"/>
    <w:rsid w:val="009241CF"/>
    <w:rsid w:val="009246E0"/>
    <w:rsid w:val="009249F0"/>
    <w:rsid w:val="00924CBA"/>
    <w:rsid w:val="00924D8B"/>
    <w:rsid w:val="00924E25"/>
    <w:rsid w:val="00924F6D"/>
    <w:rsid w:val="00924FC8"/>
    <w:rsid w:val="00925442"/>
    <w:rsid w:val="00925F83"/>
    <w:rsid w:val="00927127"/>
    <w:rsid w:val="0093030E"/>
    <w:rsid w:val="00930E04"/>
    <w:rsid w:val="00930E43"/>
    <w:rsid w:val="0093103E"/>
    <w:rsid w:val="0093123E"/>
    <w:rsid w:val="0093162C"/>
    <w:rsid w:val="009318F6"/>
    <w:rsid w:val="00932AE4"/>
    <w:rsid w:val="00932D42"/>
    <w:rsid w:val="0093342C"/>
    <w:rsid w:val="009334DB"/>
    <w:rsid w:val="00933747"/>
    <w:rsid w:val="009340B1"/>
    <w:rsid w:val="009340FE"/>
    <w:rsid w:val="009342D9"/>
    <w:rsid w:val="00934410"/>
    <w:rsid w:val="009345C6"/>
    <w:rsid w:val="009346D0"/>
    <w:rsid w:val="00934B09"/>
    <w:rsid w:val="00934E9B"/>
    <w:rsid w:val="00935819"/>
    <w:rsid w:val="009361E4"/>
    <w:rsid w:val="009367F4"/>
    <w:rsid w:val="00936853"/>
    <w:rsid w:val="00937E18"/>
    <w:rsid w:val="0094038F"/>
    <w:rsid w:val="009408D8"/>
    <w:rsid w:val="00940A8B"/>
    <w:rsid w:val="00941C6F"/>
    <w:rsid w:val="00941E35"/>
    <w:rsid w:val="00942063"/>
    <w:rsid w:val="009426DB"/>
    <w:rsid w:val="00942813"/>
    <w:rsid w:val="00942D8E"/>
    <w:rsid w:val="0094394B"/>
    <w:rsid w:val="00943AB6"/>
    <w:rsid w:val="00944725"/>
    <w:rsid w:val="009451AB"/>
    <w:rsid w:val="00945AFE"/>
    <w:rsid w:val="00945BE1"/>
    <w:rsid w:val="009460D4"/>
    <w:rsid w:val="009464B5"/>
    <w:rsid w:val="00946DD5"/>
    <w:rsid w:val="00947082"/>
    <w:rsid w:val="00950140"/>
    <w:rsid w:val="0095032C"/>
    <w:rsid w:val="009504EB"/>
    <w:rsid w:val="0095078E"/>
    <w:rsid w:val="0095085B"/>
    <w:rsid w:val="00950984"/>
    <w:rsid w:val="00951438"/>
    <w:rsid w:val="0095146F"/>
    <w:rsid w:val="00951E6A"/>
    <w:rsid w:val="009521FF"/>
    <w:rsid w:val="00952485"/>
    <w:rsid w:val="0095266F"/>
    <w:rsid w:val="009527CE"/>
    <w:rsid w:val="00952823"/>
    <w:rsid w:val="00952993"/>
    <w:rsid w:val="00952AA5"/>
    <w:rsid w:val="00952F03"/>
    <w:rsid w:val="00953689"/>
    <w:rsid w:val="00953BE4"/>
    <w:rsid w:val="00954455"/>
    <w:rsid w:val="0095480F"/>
    <w:rsid w:val="00955493"/>
    <w:rsid w:val="00955CB7"/>
    <w:rsid w:val="00955D4E"/>
    <w:rsid w:val="0095629D"/>
    <w:rsid w:val="0095708D"/>
    <w:rsid w:val="009573B1"/>
    <w:rsid w:val="00960061"/>
    <w:rsid w:val="009606CE"/>
    <w:rsid w:val="00960C17"/>
    <w:rsid w:val="00960F2F"/>
    <w:rsid w:val="00960F32"/>
    <w:rsid w:val="0096163D"/>
    <w:rsid w:val="00961C8C"/>
    <w:rsid w:val="00961E65"/>
    <w:rsid w:val="009621C2"/>
    <w:rsid w:val="00962682"/>
    <w:rsid w:val="00962810"/>
    <w:rsid w:val="00962A91"/>
    <w:rsid w:val="00962D6C"/>
    <w:rsid w:val="00963106"/>
    <w:rsid w:val="009633C6"/>
    <w:rsid w:val="009634E7"/>
    <w:rsid w:val="00963560"/>
    <w:rsid w:val="00963FA0"/>
    <w:rsid w:val="00964482"/>
    <w:rsid w:val="0096450E"/>
    <w:rsid w:val="0096496E"/>
    <w:rsid w:val="00964B7C"/>
    <w:rsid w:val="0096585E"/>
    <w:rsid w:val="00965AC9"/>
    <w:rsid w:val="00965CA7"/>
    <w:rsid w:val="0096641B"/>
    <w:rsid w:val="0096644E"/>
    <w:rsid w:val="009667F5"/>
    <w:rsid w:val="00966ACE"/>
    <w:rsid w:val="00966B98"/>
    <w:rsid w:val="00967975"/>
    <w:rsid w:val="0097001A"/>
    <w:rsid w:val="009700A7"/>
    <w:rsid w:val="0097055F"/>
    <w:rsid w:val="009707D8"/>
    <w:rsid w:val="009709AA"/>
    <w:rsid w:val="00971692"/>
    <w:rsid w:val="0097192D"/>
    <w:rsid w:val="0097203B"/>
    <w:rsid w:val="0097232B"/>
    <w:rsid w:val="00972899"/>
    <w:rsid w:val="00972B51"/>
    <w:rsid w:val="00973013"/>
    <w:rsid w:val="00973E9C"/>
    <w:rsid w:val="0097417C"/>
    <w:rsid w:val="00974A56"/>
    <w:rsid w:val="00974ADD"/>
    <w:rsid w:val="00974B48"/>
    <w:rsid w:val="00974CBF"/>
    <w:rsid w:val="00974DED"/>
    <w:rsid w:val="00974E98"/>
    <w:rsid w:val="0097529A"/>
    <w:rsid w:val="00975486"/>
    <w:rsid w:val="009757D4"/>
    <w:rsid w:val="00975E03"/>
    <w:rsid w:val="00975E90"/>
    <w:rsid w:val="00976122"/>
    <w:rsid w:val="0097652D"/>
    <w:rsid w:val="00976A2E"/>
    <w:rsid w:val="00976B53"/>
    <w:rsid w:val="00977AFA"/>
    <w:rsid w:val="00977C72"/>
    <w:rsid w:val="0098072F"/>
    <w:rsid w:val="009816B2"/>
    <w:rsid w:val="00981776"/>
    <w:rsid w:val="00982886"/>
    <w:rsid w:val="00982AD3"/>
    <w:rsid w:val="00983043"/>
    <w:rsid w:val="0098414F"/>
    <w:rsid w:val="00984434"/>
    <w:rsid w:val="00985BC5"/>
    <w:rsid w:val="00985CFF"/>
    <w:rsid w:val="00986B10"/>
    <w:rsid w:val="0098706E"/>
    <w:rsid w:val="009874D9"/>
    <w:rsid w:val="00990216"/>
    <w:rsid w:val="0099084A"/>
    <w:rsid w:val="00990A54"/>
    <w:rsid w:val="00990F1C"/>
    <w:rsid w:val="00991C25"/>
    <w:rsid w:val="009924BB"/>
    <w:rsid w:val="009926E6"/>
    <w:rsid w:val="009929BB"/>
    <w:rsid w:val="00992FC3"/>
    <w:rsid w:val="00992FFC"/>
    <w:rsid w:val="00993535"/>
    <w:rsid w:val="0099396A"/>
    <w:rsid w:val="00993FFB"/>
    <w:rsid w:val="00994267"/>
    <w:rsid w:val="009942AF"/>
    <w:rsid w:val="0099505A"/>
    <w:rsid w:val="0099527B"/>
    <w:rsid w:val="00995854"/>
    <w:rsid w:val="00995B3B"/>
    <w:rsid w:val="00995E9D"/>
    <w:rsid w:val="00995FD6"/>
    <w:rsid w:val="00996C4A"/>
    <w:rsid w:val="009971A9"/>
    <w:rsid w:val="00997265"/>
    <w:rsid w:val="009977F6"/>
    <w:rsid w:val="00997912"/>
    <w:rsid w:val="009A021A"/>
    <w:rsid w:val="009A0BEF"/>
    <w:rsid w:val="009A0F8B"/>
    <w:rsid w:val="009A11AB"/>
    <w:rsid w:val="009A12D8"/>
    <w:rsid w:val="009A1389"/>
    <w:rsid w:val="009A16E0"/>
    <w:rsid w:val="009A17B0"/>
    <w:rsid w:val="009A1C4D"/>
    <w:rsid w:val="009A22C8"/>
    <w:rsid w:val="009A2F27"/>
    <w:rsid w:val="009A3A77"/>
    <w:rsid w:val="009A3D4D"/>
    <w:rsid w:val="009A3F57"/>
    <w:rsid w:val="009A41A5"/>
    <w:rsid w:val="009A4760"/>
    <w:rsid w:val="009A4E15"/>
    <w:rsid w:val="009A5446"/>
    <w:rsid w:val="009A58C3"/>
    <w:rsid w:val="009A6279"/>
    <w:rsid w:val="009A67B3"/>
    <w:rsid w:val="009A74B1"/>
    <w:rsid w:val="009A7E86"/>
    <w:rsid w:val="009B000C"/>
    <w:rsid w:val="009B027D"/>
    <w:rsid w:val="009B0659"/>
    <w:rsid w:val="009B0A66"/>
    <w:rsid w:val="009B0B0B"/>
    <w:rsid w:val="009B0E93"/>
    <w:rsid w:val="009B1474"/>
    <w:rsid w:val="009B155D"/>
    <w:rsid w:val="009B15E8"/>
    <w:rsid w:val="009B16BB"/>
    <w:rsid w:val="009B1AA6"/>
    <w:rsid w:val="009B204E"/>
    <w:rsid w:val="009B20CF"/>
    <w:rsid w:val="009B20D5"/>
    <w:rsid w:val="009B24C5"/>
    <w:rsid w:val="009B2513"/>
    <w:rsid w:val="009B31E4"/>
    <w:rsid w:val="009B332C"/>
    <w:rsid w:val="009B3D2B"/>
    <w:rsid w:val="009B3EC4"/>
    <w:rsid w:val="009B4D29"/>
    <w:rsid w:val="009B4EB7"/>
    <w:rsid w:val="009B56A9"/>
    <w:rsid w:val="009B5CE9"/>
    <w:rsid w:val="009B5D6E"/>
    <w:rsid w:val="009B5D71"/>
    <w:rsid w:val="009B63B6"/>
    <w:rsid w:val="009B63DB"/>
    <w:rsid w:val="009B64AB"/>
    <w:rsid w:val="009B6BFF"/>
    <w:rsid w:val="009B6C3C"/>
    <w:rsid w:val="009B6D9C"/>
    <w:rsid w:val="009B6E4C"/>
    <w:rsid w:val="009C044F"/>
    <w:rsid w:val="009C0FCE"/>
    <w:rsid w:val="009C12D4"/>
    <w:rsid w:val="009C1CAD"/>
    <w:rsid w:val="009C25F8"/>
    <w:rsid w:val="009C2F46"/>
    <w:rsid w:val="009C3461"/>
    <w:rsid w:val="009C3E05"/>
    <w:rsid w:val="009C4085"/>
    <w:rsid w:val="009C4782"/>
    <w:rsid w:val="009C4927"/>
    <w:rsid w:val="009C4F5A"/>
    <w:rsid w:val="009C5178"/>
    <w:rsid w:val="009C526C"/>
    <w:rsid w:val="009C555A"/>
    <w:rsid w:val="009C611D"/>
    <w:rsid w:val="009C64F5"/>
    <w:rsid w:val="009C6B47"/>
    <w:rsid w:val="009C722D"/>
    <w:rsid w:val="009C774C"/>
    <w:rsid w:val="009C7779"/>
    <w:rsid w:val="009C793F"/>
    <w:rsid w:val="009C7AA0"/>
    <w:rsid w:val="009C7FC1"/>
    <w:rsid w:val="009D0FCC"/>
    <w:rsid w:val="009D2A4A"/>
    <w:rsid w:val="009D3138"/>
    <w:rsid w:val="009D3328"/>
    <w:rsid w:val="009D35CF"/>
    <w:rsid w:val="009D41E8"/>
    <w:rsid w:val="009D432F"/>
    <w:rsid w:val="009D46DA"/>
    <w:rsid w:val="009D6543"/>
    <w:rsid w:val="009D7289"/>
    <w:rsid w:val="009E0001"/>
    <w:rsid w:val="009E007F"/>
    <w:rsid w:val="009E059C"/>
    <w:rsid w:val="009E05A3"/>
    <w:rsid w:val="009E10B9"/>
    <w:rsid w:val="009E13E9"/>
    <w:rsid w:val="009E246A"/>
    <w:rsid w:val="009E2816"/>
    <w:rsid w:val="009E29B0"/>
    <w:rsid w:val="009E2E38"/>
    <w:rsid w:val="009E333E"/>
    <w:rsid w:val="009E3399"/>
    <w:rsid w:val="009E3DEC"/>
    <w:rsid w:val="009E457A"/>
    <w:rsid w:val="009E490A"/>
    <w:rsid w:val="009E5461"/>
    <w:rsid w:val="009E563B"/>
    <w:rsid w:val="009E5953"/>
    <w:rsid w:val="009E5F45"/>
    <w:rsid w:val="009E6781"/>
    <w:rsid w:val="009E6CB9"/>
    <w:rsid w:val="009E712C"/>
    <w:rsid w:val="009F07AC"/>
    <w:rsid w:val="009F0ABA"/>
    <w:rsid w:val="009F0CA1"/>
    <w:rsid w:val="009F120D"/>
    <w:rsid w:val="009F15D6"/>
    <w:rsid w:val="009F162B"/>
    <w:rsid w:val="009F1E25"/>
    <w:rsid w:val="009F2157"/>
    <w:rsid w:val="009F2558"/>
    <w:rsid w:val="009F3153"/>
    <w:rsid w:val="009F38DE"/>
    <w:rsid w:val="009F39C6"/>
    <w:rsid w:val="009F4380"/>
    <w:rsid w:val="009F5102"/>
    <w:rsid w:val="009F541D"/>
    <w:rsid w:val="009F59A3"/>
    <w:rsid w:val="009F6490"/>
    <w:rsid w:val="009F6530"/>
    <w:rsid w:val="009F67AD"/>
    <w:rsid w:val="009F68D6"/>
    <w:rsid w:val="009F6D83"/>
    <w:rsid w:val="009F7218"/>
    <w:rsid w:val="009F78B2"/>
    <w:rsid w:val="00A00138"/>
    <w:rsid w:val="00A008FA"/>
    <w:rsid w:val="00A010FE"/>
    <w:rsid w:val="00A01473"/>
    <w:rsid w:val="00A01712"/>
    <w:rsid w:val="00A01802"/>
    <w:rsid w:val="00A02CD9"/>
    <w:rsid w:val="00A03257"/>
    <w:rsid w:val="00A038DA"/>
    <w:rsid w:val="00A03FB4"/>
    <w:rsid w:val="00A0400F"/>
    <w:rsid w:val="00A04039"/>
    <w:rsid w:val="00A043EC"/>
    <w:rsid w:val="00A0454C"/>
    <w:rsid w:val="00A045DB"/>
    <w:rsid w:val="00A04C61"/>
    <w:rsid w:val="00A04D96"/>
    <w:rsid w:val="00A04DCB"/>
    <w:rsid w:val="00A04E68"/>
    <w:rsid w:val="00A04E7B"/>
    <w:rsid w:val="00A04FA6"/>
    <w:rsid w:val="00A0597A"/>
    <w:rsid w:val="00A05D95"/>
    <w:rsid w:val="00A064CD"/>
    <w:rsid w:val="00A07324"/>
    <w:rsid w:val="00A079C2"/>
    <w:rsid w:val="00A10133"/>
    <w:rsid w:val="00A10175"/>
    <w:rsid w:val="00A10920"/>
    <w:rsid w:val="00A11978"/>
    <w:rsid w:val="00A11ACE"/>
    <w:rsid w:val="00A11CF8"/>
    <w:rsid w:val="00A11D74"/>
    <w:rsid w:val="00A121F3"/>
    <w:rsid w:val="00A12F89"/>
    <w:rsid w:val="00A13393"/>
    <w:rsid w:val="00A13478"/>
    <w:rsid w:val="00A13D20"/>
    <w:rsid w:val="00A13D38"/>
    <w:rsid w:val="00A13FD8"/>
    <w:rsid w:val="00A1419E"/>
    <w:rsid w:val="00A142CD"/>
    <w:rsid w:val="00A1450B"/>
    <w:rsid w:val="00A15232"/>
    <w:rsid w:val="00A159D9"/>
    <w:rsid w:val="00A15BED"/>
    <w:rsid w:val="00A15CBE"/>
    <w:rsid w:val="00A16AE8"/>
    <w:rsid w:val="00A16C5C"/>
    <w:rsid w:val="00A16DA4"/>
    <w:rsid w:val="00A1733C"/>
    <w:rsid w:val="00A2013C"/>
    <w:rsid w:val="00A2026F"/>
    <w:rsid w:val="00A20462"/>
    <w:rsid w:val="00A20463"/>
    <w:rsid w:val="00A20590"/>
    <w:rsid w:val="00A20CD5"/>
    <w:rsid w:val="00A210DE"/>
    <w:rsid w:val="00A211FB"/>
    <w:rsid w:val="00A21B92"/>
    <w:rsid w:val="00A222D5"/>
    <w:rsid w:val="00A2287F"/>
    <w:rsid w:val="00A22CDB"/>
    <w:rsid w:val="00A23052"/>
    <w:rsid w:val="00A23353"/>
    <w:rsid w:val="00A233FB"/>
    <w:rsid w:val="00A23763"/>
    <w:rsid w:val="00A237F0"/>
    <w:rsid w:val="00A23DD3"/>
    <w:rsid w:val="00A2407D"/>
    <w:rsid w:val="00A24157"/>
    <w:rsid w:val="00A2564E"/>
    <w:rsid w:val="00A267F7"/>
    <w:rsid w:val="00A26CB9"/>
    <w:rsid w:val="00A27BEB"/>
    <w:rsid w:val="00A300A4"/>
    <w:rsid w:val="00A301CE"/>
    <w:rsid w:val="00A3045D"/>
    <w:rsid w:val="00A31968"/>
    <w:rsid w:val="00A31A7C"/>
    <w:rsid w:val="00A31B14"/>
    <w:rsid w:val="00A31E21"/>
    <w:rsid w:val="00A31F67"/>
    <w:rsid w:val="00A3255B"/>
    <w:rsid w:val="00A32F91"/>
    <w:rsid w:val="00A35735"/>
    <w:rsid w:val="00A35C13"/>
    <w:rsid w:val="00A35C4E"/>
    <w:rsid w:val="00A35F2F"/>
    <w:rsid w:val="00A3632C"/>
    <w:rsid w:val="00A36438"/>
    <w:rsid w:val="00A368F7"/>
    <w:rsid w:val="00A369E9"/>
    <w:rsid w:val="00A36B7D"/>
    <w:rsid w:val="00A37027"/>
    <w:rsid w:val="00A3709E"/>
    <w:rsid w:val="00A37621"/>
    <w:rsid w:val="00A37847"/>
    <w:rsid w:val="00A40B21"/>
    <w:rsid w:val="00A40CA4"/>
    <w:rsid w:val="00A411CC"/>
    <w:rsid w:val="00A418B2"/>
    <w:rsid w:val="00A41D5E"/>
    <w:rsid w:val="00A42184"/>
    <w:rsid w:val="00A423ED"/>
    <w:rsid w:val="00A42631"/>
    <w:rsid w:val="00A42F39"/>
    <w:rsid w:val="00A43330"/>
    <w:rsid w:val="00A4374F"/>
    <w:rsid w:val="00A43E50"/>
    <w:rsid w:val="00A43F3D"/>
    <w:rsid w:val="00A44301"/>
    <w:rsid w:val="00A44B21"/>
    <w:rsid w:val="00A452D3"/>
    <w:rsid w:val="00A45524"/>
    <w:rsid w:val="00A45A63"/>
    <w:rsid w:val="00A45D87"/>
    <w:rsid w:val="00A4621A"/>
    <w:rsid w:val="00A4660C"/>
    <w:rsid w:val="00A471DB"/>
    <w:rsid w:val="00A47256"/>
    <w:rsid w:val="00A4736B"/>
    <w:rsid w:val="00A4737F"/>
    <w:rsid w:val="00A507A1"/>
    <w:rsid w:val="00A50DDB"/>
    <w:rsid w:val="00A50F16"/>
    <w:rsid w:val="00A51806"/>
    <w:rsid w:val="00A51890"/>
    <w:rsid w:val="00A51A6E"/>
    <w:rsid w:val="00A51DCD"/>
    <w:rsid w:val="00A5386A"/>
    <w:rsid w:val="00A541F9"/>
    <w:rsid w:val="00A5420B"/>
    <w:rsid w:val="00A54A85"/>
    <w:rsid w:val="00A55044"/>
    <w:rsid w:val="00A55191"/>
    <w:rsid w:val="00A55F49"/>
    <w:rsid w:val="00A575BE"/>
    <w:rsid w:val="00A576F3"/>
    <w:rsid w:val="00A60060"/>
    <w:rsid w:val="00A60341"/>
    <w:rsid w:val="00A6054A"/>
    <w:rsid w:val="00A60E0F"/>
    <w:rsid w:val="00A6172D"/>
    <w:rsid w:val="00A61768"/>
    <w:rsid w:val="00A61B6B"/>
    <w:rsid w:val="00A61D46"/>
    <w:rsid w:val="00A62001"/>
    <w:rsid w:val="00A62010"/>
    <w:rsid w:val="00A63E53"/>
    <w:rsid w:val="00A656D8"/>
    <w:rsid w:val="00A660A5"/>
    <w:rsid w:val="00A66762"/>
    <w:rsid w:val="00A66BF6"/>
    <w:rsid w:val="00A66E50"/>
    <w:rsid w:val="00A6784D"/>
    <w:rsid w:val="00A67D1E"/>
    <w:rsid w:val="00A67E12"/>
    <w:rsid w:val="00A708B1"/>
    <w:rsid w:val="00A70AA1"/>
    <w:rsid w:val="00A70DC4"/>
    <w:rsid w:val="00A719D0"/>
    <w:rsid w:val="00A72D9E"/>
    <w:rsid w:val="00A73AAB"/>
    <w:rsid w:val="00A73D1D"/>
    <w:rsid w:val="00A759F4"/>
    <w:rsid w:val="00A75A01"/>
    <w:rsid w:val="00A75C69"/>
    <w:rsid w:val="00A7725B"/>
    <w:rsid w:val="00A7766B"/>
    <w:rsid w:val="00A77F54"/>
    <w:rsid w:val="00A80195"/>
    <w:rsid w:val="00A807CD"/>
    <w:rsid w:val="00A80A2F"/>
    <w:rsid w:val="00A80A4A"/>
    <w:rsid w:val="00A813A1"/>
    <w:rsid w:val="00A82580"/>
    <w:rsid w:val="00A8281D"/>
    <w:rsid w:val="00A82AE8"/>
    <w:rsid w:val="00A82EDB"/>
    <w:rsid w:val="00A833B3"/>
    <w:rsid w:val="00A8368F"/>
    <w:rsid w:val="00A83B4D"/>
    <w:rsid w:val="00A845BF"/>
    <w:rsid w:val="00A84BC9"/>
    <w:rsid w:val="00A8511A"/>
    <w:rsid w:val="00A85791"/>
    <w:rsid w:val="00A85B7F"/>
    <w:rsid w:val="00A86253"/>
    <w:rsid w:val="00A86AE9"/>
    <w:rsid w:val="00A86AF5"/>
    <w:rsid w:val="00A86C15"/>
    <w:rsid w:val="00A86F60"/>
    <w:rsid w:val="00A8723E"/>
    <w:rsid w:val="00A87A63"/>
    <w:rsid w:val="00A87AC7"/>
    <w:rsid w:val="00A9002B"/>
    <w:rsid w:val="00A9066F"/>
    <w:rsid w:val="00A90AED"/>
    <w:rsid w:val="00A916EA"/>
    <w:rsid w:val="00A9181D"/>
    <w:rsid w:val="00A91A88"/>
    <w:rsid w:val="00A91AE9"/>
    <w:rsid w:val="00A93581"/>
    <w:rsid w:val="00A946C3"/>
    <w:rsid w:val="00A95225"/>
    <w:rsid w:val="00A958E1"/>
    <w:rsid w:val="00A959FF"/>
    <w:rsid w:val="00A95E20"/>
    <w:rsid w:val="00A95F4E"/>
    <w:rsid w:val="00A97396"/>
    <w:rsid w:val="00A974A6"/>
    <w:rsid w:val="00A97B78"/>
    <w:rsid w:val="00AA0150"/>
    <w:rsid w:val="00AA06A9"/>
    <w:rsid w:val="00AA0968"/>
    <w:rsid w:val="00AA0B6C"/>
    <w:rsid w:val="00AA0C0D"/>
    <w:rsid w:val="00AA0CC8"/>
    <w:rsid w:val="00AA164D"/>
    <w:rsid w:val="00AA18E9"/>
    <w:rsid w:val="00AA1921"/>
    <w:rsid w:val="00AA1B2E"/>
    <w:rsid w:val="00AA1D7C"/>
    <w:rsid w:val="00AA1E1E"/>
    <w:rsid w:val="00AA2210"/>
    <w:rsid w:val="00AA22F9"/>
    <w:rsid w:val="00AA2491"/>
    <w:rsid w:val="00AA2778"/>
    <w:rsid w:val="00AA2AF5"/>
    <w:rsid w:val="00AA2C0B"/>
    <w:rsid w:val="00AA2F53"/>
    <w:rsid w:val="00AA3787"/>
    <w:rsid w:val="00AA39D5"/>
    <w:rsid w:val="00AA3DB1"/>
    <w:rsid w:val="00AA3E22"/>
    <w:rsid w:val="00AA4FCA"/>
    <w:rsid w:val="00AA6E6F"/>
    <w:rsid w:val="00AA77D9"/>
    <w:rsid w:val="00AA7A0F"/>
    <w:rsid w:val="00AA7DF4"/>
    <w:rsid w:val="00AB03B2"/>
    <w:rsid w:val="00AB1038"/>
    <w:rsid w:val="00AB11BD"/>
    <w:rsid w:val="00AB1572"/>
    <w:rsid w:val="00AB1645"/>
    <w:rsid w:val="00AB242F"/>
    <w:rsid w:val="00AB29CE"/>
    <w:rsid w:val="00AB2AED"/>
    <w:rsid w:val="00AB2B5D"/>
    <w:rsid w:val="00AB3008"/>
    <w:rsid w:val="00AB3141"/>
    <w:rsid w:val="00AB35CD"/>
    <w:rsid w:val="00AB3953"/>
    <w:rsid w:val="00AB3DD4"/>
    <w:rsid w:val="00AB41BC"/>
    <w:rsid w:val="00AB487E"/>
    <w:rsid w:val="00AB538E"/>
    <w:rsid w:val="00AB5A01"/>
    <w:rsid w:val="00AB5AA7"/>
    <w:rsid w:val="00AB5D6D"/>
    <w:rsid w:val="00AB5F44"/>
    <w:rsid w:val="00AB656A"/>
    <w:rsid w:val="00AB7283"/>
    <w:rsid w:val="00AB7308"/>
    <w:rsid w:val="00AB7EE5"/>
    <w:rsid w:val="00AC05DD"/>
    <w:rsid w:val="00AC062A"/>
    <w:rsid w:val="00AC06BA"/>
    <w:rsid w:val="00AC18E9"/>
    <w:rsid w:val="00AC197B"/>
    <w:rsid w:val="00AC1F53"/>
    <w:rsid w:val="00AC2680"/>
    <w:rsid w:val="00AC2ABA"/>
    <w:rsid w:val="00AC3042"/>
    <w:rsid w:val="00AC3CFF"/>
    <w:rsid w:val="00AC4586"/>
    <w:rsid w:val="00AC4C54"/>
    <w:rsid w:val="00AC5C82"/>
    <w:rsid w:val="00AC5CF4"/>
    <w:rsid w:val="00AC5CF8"/>
    <w:rsid w:val="00AC6E41"/>
    <w:rsid w:val="00AC7375"/>
    <w:rsid w:val="00AC7ECF"/>
    <w:rsid w:val="00AD031A"/>
    <w:rsid w:val="00AD0A9F"/>
    <w:rsid w:val="00AD2184"/>
    <w:rsid w:val="00AD2B2F"/>
    <w:rsid w:val="00AD2EAB"/>
    <w:rsid w:val="00AD33C3"/>
    <w:rsid w:val="00AD3519"/>
    <w:rsid w:val="00AD377D"/>
    <w:rsid w:val="00AD38A7"/>
    <w:rsid w:val="00AD39AF"/>
    <w:rsid w:val="00AD422F"/>
    <w:rsid w:val="00AD4DE2"/>
    <w:rsid w:val="00AD5B80"/>
    <w:rsid w:val="00AD5B9B"/>
    <w:rsid w:val="00AD63FD"/>
    <w:rsid w:val="00AD6766"/>
    <w:rsid w:val="00AD6CE0"/>
    <w:rsid w:val="00AD6D27"/>
    <w:rsid w:val="00AD7C7B"/>
    <w:rsid w:val="00AD7CE5"/>
    <w:rsid w:val="00AE0B95"/>
    <w:rsid w:val="00AE0DE0"/>
    <w:rsid w:val="00AE10D1"/>
    <w:rsid w:val="00AE155A"/>
    <w:rsid w:val="00AE1C5A"/>
    <w:rsid w:val="00AE20D1"/>
    <w:rsid w:val="00AE22D1"/>
    <w:rsid w:val="00AE24FF"/>
    <w:rsid w:val="00AE2854"/>
    <w:rsid w:val="00AE2859"/>
    <w:rsid w:val="00AE2BD5"/>
    <w:rsid w:val="00AE33AD"/>
    <w:rsid w:val="00AE381C"/>
    <w:rsid w:val="00AE3AB3"/>
    <w:rsid w:val="00AE3EA2"/>
    <w:rsid w:val="00AE4D4D"/>
    <w:rsid w:val="00AE4E03"/>
    <w:rsid w:val="00AE512D"/>
    <w:rsid w:val="00AE5558"/>
    <w:rsid w:val="00AE5563"/>
    <w:rsid w:val="00AE5AA3"/>
    <w:rsid w:val="00AE5ABF"/>
    <w:rsid w:val="00AE5D3D"/>
    <w:rsid w:val="00AE70C4"/>
    <w:rsid w:val="00AE71BE"/>
    <w:rsid w:val="00AE7455"/>
    <w:rsid w:val="00AE7689"/>
    <w:rsid w:val="00AF0211"/>
    <w:rsid w:val="00AF0A35"/>
    <w:rsid w:val="00AF0BEB"/>
    <w:rsid w:val="00AF0EA1"/>
    <w:rsid w:val="00AF0EA8"/>
    <w:rsid w:val="00AF0F5C"/>
    <w:rsid w:val="00AF14A4"/>
    <w:rsid w:val="00AF1786"/>
    <w:rsid w:val="00AF1B1D"/>
    <w:rsid w:val="00AF1C5F"/>
    <w:rsid w:val="00AF1CE1"/>
    <w:rsid w:val="00AF2640"/>
    <w:rsid w:val="00AF2941"/>
    <w:rsid w:val="00AF2CFD"/>
    <w:rsid w:val="00AF2D24"/>
    <w:rsid w:val="00AF3147"/>
    <w:rsid w:val="00AF38A4"/>
    <w:rsid w:val="00AF3A96"/>
    <w:rsid w:val="00AF3FFE"/>
    <w:rsid w:val="00AF447D"/>
    <w:rsid w:val="00AF5069"/>
    <w:rsid w:val="00AF545F"/>
    <w:rsid w:val="00AF5480"/>
    <w:rsid w:val="00AF58B5"/>
    <w:rsid w:val="00AF597F"/>
    <w:rsid w:val="00AF6208"/>
    <w:rsid w:val="00AF7DD5"/>
    <w:rsid w:val="00AF7E49"/>
    <w:rsid w:val="00B002A8"/>
    <w:rsid w:val="00B0037A"/>
    <w:rsid w:val="00B007A4"/>
    <w:rsid w:val="00B01096"/>
    <w:rsid w:val="00B01B04"/>
    <w:rsid w:val="00B02087"/>
    <w:rsid w:val="00B02311"/>
    <w:rsid w:val="00B02333"/>
    <w:rsid w:val="00B02682"/>
    <w:rsid w:val="00B03085"/>
    <w:rsid w:val="00B039BE"/>
    <w:rsid w:val="00B03CA7"/>
    <w:rsid w:val="00B041C1"/>
    <w:rsid w:val="00B04279"/>
    <w:rsid w:val="00B04430"/>
    <w:rsid w:val="00B05673"/>
    <w:rsid w:val="00B05C61"/>
    <w:rsid w:val="00B05F2C"/>
    <w:rsid w:val="00B06616"/>
    <w:rsid w:val="00B06A21"/>
    <w:rsid w:val="00B0798D"/>
    <w:rsid w:val="00B10185"/>
    <w:rsid w:val="00B101D4"/>
    <w:rsid w:val="00B10330"/>
    <w:rsid w:val="00B10B9B"/>
    <w:rsid w:val="00B10F1D"/>
    <w:rsid w:val="00B114B7"/>
    <w:rsid w:val="00B11772"/>
    <w:rsid w:val="00B12674"/>
    <w:rsid w:val="00B127D5"/>
    <w:rsid w:val="00B12AED"/>
    <w:rsid w:val="00B12D7F"/>
    <w:rsid w:val="00B12F27"/>
    <w:rsid w:val="00B13D26"/>
    <w:rsid w:val="00B13D5A"/>
    <w:rsid w:val="00B140A2"/>
    <w:rsid w:val="00B1447B"/>
    <w:rsid w:val="00B14533"/>
    <w:rsid w:val="00B15028"/>
    <w:rsid w:val="00B1513A"/>
    <w:rsid w:val="00B1516A"/>
    <w:rsid w:val="00B17226"/>
    <w:rsid w:val="00B17350"/>
    <w:rsid w:val="00B17E64"/>
    <w:rsid w:val="00B20660"/>
    <w:rsid w:val="00B21577"/>
    <w:rsid w:val="00B21C41"/>
    <w:rsid w:val="00B22420"/>
    <w:rsid w:val="00B231BB"/>
    <w:rsid w:val="00B233A2"/>
    <w:rsid w:val="00B2370D"/>
    <w:rsid w:val="00B23760"/>
    <w:rsid w:val="00B23D3C"/>
    <w:rsid w:val="00B23D52"/>
    <w:rsid w:val="00B23D65"/>
    <w:rsid w:val="00B23E79"/>
    <w:rsid w:val="00B2413C"/>
    <w:rsid w:val="00B2434A"/>
    <w:rsid w:val="00B246DE"/>
    <w:rsid w:val="00B247AF"/>
    <w:rsid w:val="00B24CB9"/>
    <w:rsid w:val="00B25C6F"/>
    <w:rsid w:val="00B2615C"/>
    <w:rsid w:val="00B26299"/>
    <w:rsid w:val="00B262E8"/>
    <w:rsid w:val="00B26C88"/>
    <w:rsid w:val="00B26D6B"/>
    <w:rsid w:val="00B276C7"/>
    <w:rsid w:val="00B277CA"/>
    <w:rsid w:val="00B277E3"/>
    <w:rsid w:val="00B27B5D"/>
    <w:rsid w:val="00B27CD5"/>
    <w:rsid w:val="00B30BF2"/>
    <w:rsid w:val="00B30C0A"/>
    <w:rsid w:val="00B3124D"/>
    <w:rsid w:val="00B31264"/>
    <w:rsid w:val="00B320FF"/>
    <w:rsid w:val="00B3216C"/>
    <w:rsid w:val="00B3267D"/>
    <w:rsid w:val="00B33592"/>
    <w:rsid w:val="00B33710"/>
    <w:rsid w:val="00B337F3"/>
    <w:rsid w:val="00B338F6"/>
    <w:rsid w:val="00B33A51"/>
    <w:rsid w:val="00B33C4E"/>
    <w:rsid w:val="00B33E84"/>
    <w:rsid w:val="00B3403A"/>
    <w:rsid w:val="00B34C57"/>
    <w:rsid w:val="00B34E47"/>
    <w:rsid w:val="00B35FC7"/>
    <w:rsid w:val="00B372E7"/>
    <w:rsid w:val="00B37695"/>
    <w:rsid w:val="00B37793"/>
    <w:rsid w:val="00B37C39"/>
    <w:rsid w:val="00B400CB"/>
    <w:rsid w:val="00B403A9"/>
    <w:rsid w:val="00B4074C"/>
    <w:rsid w:val="00B4074F"/>
    <w:rsid w:val="00B40C35"/>
    <w:rsid w:val="00B41924"/>
    <w:rsid w:val="00B42509"/>
    <w:rsid w:val="00B42B6B"/>
    <w:rsid w:val="00B42D15"/>
    <w:rsid w:val="00B431C7"/>
    <w:rsid w:val="00B43433"/>
    <w:rsid w:val="00B448E9"/>
    <w:rsid w:val="00B44931"/>
    <w:rsid w:val="00B44F75"/>
    <w:rsid w:val="00B457FB"/>
    <w:rsid w:val="00B45860"/>
    <w:rsid w:val="00B45AA6"/>
    <w:rsid w:val="00B46787"/>
    <w:rsid w:val="00B46D9D"/>
    <w:rsid w:val="00B4703F"/>
    <w:rsid w:val="00B4740A"/>
    <w:rsid w:val="00B47C53"/>
    <w:rsid w:val="00B5030A"/>
    <w:rsid w:val="00B504F3"/>
    <w:rsid w:val="00B5076C"/>
    <w:rsid w:val="00B50B85"/>
    <w:rsid w:val="00B50EFC"/>
    <w:rsid w:val="00B5261C"/>
    <w:rsid w:val="00B52687"/>
    <w:rsid w:val="00B52A29"/>
    <w:rsid w:val="00B5339B"/>
    <w:rsid w:val="00B53540"/>
    <w:rsid w:val="00B53784"/>
    <w:rsid w:val="00B54D10"/>
    <w:rsid w:val="00B55425"/>
    <w:rsid w:val="00B557BB"/>
    <w:rsid w:val="00B559F0"/>
    <w:rsid w:val="00B55C6F"/>
    <w:rsid w:val="00B568AC"/>
    <w:rsid w:val="00B56B48"/>
    <w:rsid w:val="00B57058"/>
    <w:rsid w:val="00B57837"/>
    <w:rsid w:val="00B60491"/>
    <w:rsid w:val="00B6056B"/>
    <w:rsid w:val="00B6163C"/>
    <w:rsid w:val="00B616F6"/>
    <w:rsid w:val="00B6198B"/>
    <w:rsid w:val="00B6258B"/>
    <w:rsid w:val="00B62765"/>
    <w:rsid w:val="00B62DDB"/>
    <w:rsid w:val="00B63A89"/>
    <w:rsid w:val="00B63FE1"/>
    <w:rsid w:val="00B6405D"/>
    <w:rsid w:val="00B64429"/>
    <w:rsid w:val="00B64681"/>
    <w:rsid w:val="00B64816"/>
    <w:rsid w:val="00B64C1F"/>
    <w:rsid w:val="00B65282"/>
    <w:rsid w:val="00B65551"/>
    <w:rsid w:val="00B65AD6"/>
    <w:rsid w:val="00B6632C"/>
    <w:rsid w:val="00B6693B"/>
    <w:rsid w:val="00B66A94"/>
    <w:rsid w:val="00B671F3"/>
    <w:rsid w:val="00B6750A"/>
    <w:rsid w:val="00B6751A"/>
    <w:rsid w:val="00B67570"/>
    <w:rsid w:val="00B67F24"/>
    <w:rsid w:val="00B70AD7"/>
    <w:rsid w:val="00B70E82"/>
    <w:rsid w:val="00B70FCB"/>
    <w:rsid w:val="00B7187F"/>
    <w:rsid w:val="00B71A14"/>
    <w:rsid w:val="00B72539"/>
    <w:rsid w:val="00B732E7"/>
    <w:rsid w:val="00B7357E"/>
    <w:rsid w:val="00B73A8F"/>
    <w:rsid w:val="00B73FA9"/>
    <w:rsid w:val="00B74330"/>
    <w:rsid w:val="00B74987"/>
    <w:rsid w:val="00B75274"/>
    <w:rsid w:val="00B75412"/>
    <w:rsid w:val="00B7586D"/>
    <w:rsid w:val="00B75870"/>
    <w:rsid w:val="00B75893"/>
    <w:rsid w:val="00B75E60"/>
    <w:rsid w:val="00B75EC9"/>
    <w:rsid w:val="00B7663F"/>
    <w:rsid w:val="00B769AE"/>
    <w:rsid w:val="00B76A55"/>
    <w:rsid w:val="00B76CA3"/>
    <w:rsid w:val="00B76EF9"/>
    <w:rsid w:val="00B772F9"/>
    <w:rsid w:val="00B774C0"/>
    <w:rsid w:val="00B77A25"/>
    <w:rsid w:val="00B77D3C"/>
    <w:rsid w:val="00B8019A"/>
    <w:rsid w:val="00B806F3"/>
    <w:rsid w:val="00B80DBF"/>
    <w:rsid w:val="00B813F6"/>
    <w:rsid w:val="00B81856"/>
    <w:rsid w:val="00B81F50"/>
    <w:rsid w:val="00B820F6"/>
    <w:rsid w:val="00B821AB"/>
    <w:rsid w:val="00B821C8"/>
    <w:rsid w:val="00B824BE"/>
    <w:rsid w:val="00B825D8"/>
    <w:rsid w:val="00B82864"/>
    <w:rsid w:val="00B828AF"/>
    <w:rsid w:val="00B82C56"/>
    <w:rsid w:val="00B82D92"/>
    <w:rsid w:val="00B83363"/>
    <w:rsid w:val="00B84494"/>
    <w:rsid w:val="00B84557"/>
    <w:rsid w:val="00B84F22"/>
    <w:rsid w:val="00B850A2"/>
    <w:rsid w:val="00B85C6F"/>
    <w:rsid w:val="00B863D7"/>
    <w:rsid w:val="00B876D3"/>
    <w:rsid w:val="00B9046B"/>
    <w:rsid w:val="00B9057F"/>
    <w:rsid w:val="00B920CB"/>
    <w:rsid w:val="00B925F2"/>
    <w:rsid w:val="00B9273F"/>
    <w:rsid w:val="00B92940"/>
    <w:rsid w:val="00B92C6A"/>
    <w:rsid w:val="00B93989"/>
    <w:rsid w:val="00B94553"/>
    <w:rsid w:val="00B94DDE"/>
    <w:rsid w:val="00B956BD"/>
    <w:rsid w:val="00B961D9"/>
    <w:rsid w:val="00B9627F"/>
    <w:rsid w:val="00B96603"/>
    <w:rsid w:val="00B96C03"/>
    <w:rsid w:val="00B972B8"/>
    <w:rsid w:val="00B972B9"/>
    <w:rsid w:val="00B9760F"/>
    <w:rsid w:val="00BA090F"/>
    <w:rsid w:val="00BA0D62"/>
    <w:rsid w:val="00BA1052"/>
    <w:rsid w:val="00BA1211"/>
    <w:rsid w:val="00BA1940"/>
    <w:rsid w:val="00BA1AA5"/>
    <w:rsid w:val="00BA1E17"/>
    <w:rsid w:val="00BA249D"/>
    <w:rsid w:val="00BA2E9C"/>
    <w:rsid w:val="00BA3DB2"/>
    <w:rsid w:val="00BA3EF1"/>
    <w:rsid w:val="00BA4370"/>
    <w:rsid w:val="00BA4992"/>
    <w:rsid w:val="00BA4AC8"/>
    <w:rsid w:val="00BA582E"/>
    <w:rsid w:val="00BA5A84"/>
    <w:rsid w:val="00BA60F4"/>
    <w:rsid w:val="00BA692D"/>
    <w:rsid w:val="00BA6E7D"/>
    <w:rsid w:val="00BA7288"/>
    <w:rsid w:val="00BA7A57"/>
    <w:rsid w:val="00BA7AE1"/>
    <w:rsid w:val="00BB0231"/>
    <w:rsid w:val="00BB02A8"/>
    <w:rsid w:val="00BB04F1"/>
    <w:rsid w:val="00BB09BE"/>
    <w:rsid w:val="00BB0A6F"/>
    <w:rsid w:val="00BB1746"/>
    <w:rsid w:val="00BB1D84"/>
    <w:rsid w:val="00BB2517"/>
    <w:rsid w:val="00BB25C2"/>
    <w:rsid w:val="00BB3F83"/>
    <w:rsid w:val="00BB4332"/>
    <w:rsid w:val="00BB45C2"/>
    <w:rsid w:val="00BB46D7"/>
    <w:rsid w:val="00BB4E58"/>
    <w:rsid w:val="00BB50EB"/>
    <w:rsid w:val="00BB54EA"/>
    <w:rsid w:val="00BB5AF2"/>
    <w:rsid w:val="00BB75ED"/>
    <w:rsid w:val="00BB7930"/>
    <w:rsid w:val="00BB7B90"/>
    <w:rsid w:val="00BB7BD5"/>
    <w:rsid w:val="00BB7EDD"/>
    <w:rsid w:val="00BC274A"/>
    <w:rsid w:val="00BC2E31"/>
    <w:rsid w:val="00BC38B8"/>
    <w:rsid w:val="00BC3BBC"/>
    <w:rsid w:val="00BC418E"/>
    <w:rsid w:val="00BC4574"/>
    <w:rsid w:val="00BC5614"/>
    <w:rsid w:val="00BC5958"/>
    <w:rsid w:val="00BC5C9E"/>
    <w:rsid w:val="00BC6419"/>
    <w:rsid w:val="00BC66EC"/>
    <w:rsid w:val="00BC7BEC"/>
    <w:rsid w:val="00BD05C2"/>
    <w:rsid w:val="00BD094C"/>
    <w:rsid w:val="00BD0C71"/>
    <w:rsid w:val="00BD1044"/>
    <w:rsid w:val="00BD218A"/>
    <w:rsid w:val="00BD29B2"/>
    <w:rsid w:val="00BD3074"/>
    <w:rsid w:val="00BD3B86"/>
    <w:rsid w:val="00BD3D95"/>
    <w:rsid w:val="00BD40D1"/>
    <w:rsid w:val="00BD47DC"/>
    <w:rsid w:val="00BD5227"/>
    <w:rsid w:val="00BD53F1"/>
    <w:rsid w:val="00BD6F16"/>
    <w:rsid w:val="00BD74DF"/>
    <w:rsid w:val="00BD7633"/>
    <w:rsid w:val="00BD7FE8"/>
    <w:rsid w:val="00BE034D"/>
    <w:rsid w:val="00BE036D"/>
    <w:rsid w:val="00BE0661"/>
    <w:rsid w:val="00BE0F41"/>
    <w:rsid w:val="00BE1433"/>
    <w:rsid w:val="00BE18DC"/>
    <w:rsid w:val="00BE1CA5"/>
    <w:rsid w:val="00BE27CD"/>
    <w:rsid w:val="00BE3384"/>
    <w:rsid w:val="00BE35AC"/>
    <w:rsid w:val="00BE3EF5"/>
    <w:rsid w:val="00BE4034"/>
    <w:rsid w:val="00BE41BB"/>
    <w:rsid w:val="00BE41C9"/>
    <w:rsid w:val="00BE4750"/>
    <w:rsid w:val="00BE50EC"/>
    <w:rsid w:val="00BE595D"/>
    <w:rsid w:val="00BE6124"/>
    <w:rsid w:val="00BE622F"/>
    <w:rsid w:val="00BE6562"/>
    <w:rsid w:val="00BE6B7B"/>
    <w:rsid w:val="00BE7268"/>
    <w:rsid w:val="00BE7A72"/>
    <w:rsid w:val="00BF0431"/>
    <w:rsid w:val="00BF0589"/>
    <w:rsid w:val="00BF07F1"/>
    <w:rsid w:val="00BF1429"/>
    <w:rsid w:val="00BF1FCB"/>
    <w:rsid w:val="00BF26E2"/>
    <w:rsid w:val="00BF2B05"/>
    <w:rsid w:val="00BF2D1C"/>
    <w:rsid w:val="00BF2E7F"/>
    <w:rsid w:val="00BF314D"/>
    <w:rsid w:val="00BF36A7"/>
    <w:rsid w:val="00BF39A9"/>
    <w:rsid w:val="00BF3B99"/>
    <w:rsid w:val="00BF3E81"/>
    <w:rsid w:val="00BF3F61"/>
    <w:rsid w:val="00BF47F6"/>
    <w:rsid w:val="00BF49E8"/>
    <w:rsid w:val="00BF4D63"/>
    <w:rsid w:val="00BF5093"/>
    <w:rsid w:val="00BF5778"/>
    <w:rsid w:val="00BF5936"/>
    <w:rsid w:val="00BF6612"/>
    <w:rsid w:val="00BF6753"/>
    <w:rsid w:val="00BF6832"/>
    <w:rsid w:val="00BF72AE"/>
    <w:rsid w:val="00BF73AA"/>
    <w:rsid w:val="00BF758C"/>
    <w:rsid w:val="00BF7DF7"/>
    <w:rsid w:val="00BF7EFA"/>
    <w:rsid w:val="00C00152"/>
    <w:rsid w:val="00C0056A"/>
    <w:rsid w:val="00C009A0"/>
    <w:rsid w:val="00C00D67"/>
    <w:rsid w:val="00C00F0F"/>
    <w:rsid w:val="00C010D2"/>
    <w:rsid w:val="00C0115B"/>
    <w:rsid w:val="00C016AB"/>
    <w:rsid w:val="00C0188B"/>
    <w:rsid w:val="00C01FD7"/>
    <w:rsid w:val="00C0206D"/>
    <w:rsid w:val="00C02421"/>
    <w:rsid w:val="00C02451"/>
    <w:rsid w:val="00C027F6"/>
    <w:rsid w:val="00C02F7E"/>
    <w:rsid w:val="00C030F1"/>
    <w:rsid w:val="00C03740"/>
    <w:rsid w:val="00C044DC"/>
    <w:rsid w:val="00C048A2"/>
    <w:rsid w:val="00C04AFB"/>
    <w:rsid w:val="00C04FB4"/>
    <w:rsid w:val="00C05947"/>
    <w:rsid w:val="00C05D20"/>
    <w:rsid w:val="00C05D33"/>
    <w:rsid w:val="00C06D5A"/>
    <w:rsid w:val="00C070AB"/>
    <w:rsid w:val="00C0753C"/>
    <w:rsid w:val="00C0788F"/>
    <w:rsid w:val="00C07BF9"/>
    <w:rsid w:val="00C07F15"/>
    <w:rsid w:val="00C12514"/>
    <w:rsid w:val="00C12B67"/>
    <w:rsid w:val="00C136FB"/>
    <w:rsid w:val="00C13ECD"/>
    <w:rsid w:val="00C146D4"/>
    <w:rsid w:val="00C1488C"/>
    <w:rsid w:val="00C1523F"/>
    <w:rsid w:val="00C15387"/>
    <w:rsid w:val="00C15A73"/>
    <w:rsid w:val="00C15C43"/>
    <w:rsid w:val="00C15FDA"/>
    <w:rsid w:val="00C16A6A"/>
    <w:rsid w:val="00C16A99"/>
    <w:rsid w:val="00C16EB1"/>
    <w:rsid w:val="00C16F57"/>
    <w:rsid w:val="00C1726E"/>
    <w:rsid w:val="00C17874"/>
    <w:rsid w:val="00C17F62"/>
    <w:rsid w:val="00C2019B"/>
    <w:rsid w:val="00C2023F"/>
    <w:rsid w:val="00C2059E"/>
    <w:rsid w:val="00C20EB3"/>
    <w:rsid w:val="00C20F9D"/>
    <w:rsid w:val="00C22388"/>
    <w:rsid w:val="00C22648"/>
    <w:rsid w:val="00C229CD"/>
    <w:rsid w:val="00C22E32"/>
    <w:rsid w:val="00C22E3B"/>
    <w:rsid w:val="00C22EC5"/>
    <w:rsid w:val="00C2350A"/>
    <w:rsid w:val="00C236F3"/>
    <w:rsid w:val="00C23783"/>
    <w:rsid w:val="00C237CE"/>
    <w:rsid w:val="00C23E29"/>
    <w:rsid w:val="00C23ED5"/>
    <w:rsid w:val="00C2481E"/>
    <w:rsid w:val="00C2492F"/>
    <w:rsid w:val="00C24AC7"/>
    <w:rsid w:val="00C24C81"/>
    <w:rsid w:val="00C24E0C"/>
    <w:rsid w:val="00C2502F"/>
    <w:rsid w:val="00C25D99"/>
    <w:rsid w:val="00C25DB5"/>
    <w:rsid w:val="00C25E0A"/>
    <w:rsid w:val="00C27212"/>
    <w:rsid w:val="00C276B8"/>
    <w:rsid w:val="00C27BE7"/>
    <w:rsid w:val="00C27C33"/>
    <w:rsid w:val="00C3020F"/>
    <w:rsid w:val="00C3033B"/>
    <w:rsid w:val="00C30780"/>
    <w:rsid w:val="00C31621"/>
    <w:rsid w:val="00C3166F"/>
    <w:rsid w:val="00C3226B"/>
    <w:rsid w:val="00C324A6"/>
    <w:rsid w:val="00C324C4"/>
    <w:rsid w:val="00C32775"/>
    <w:rsid w:val="00C32BC0"/>
    <w:rsid w:val="00C33581"/>
    <w:rsid w:val="00C33A50"/>
    <w:rsid w:val="00C34779"/>
    <w:rsid w:val="00C357AC"/>
    <w:rsid w:val="00C3585C"/>
    <w:rsid w:val="00C36977"/>
    <w:rsid w:val="00C37394"/>
    <w:rsid w:val="00C375B0"/>
    <w:rsid w:val="00C37D2D"/>
    <w:rsid w:val="00C40172"/>
    <w:rsid w:val="00C40423"/>
    <w:rsid w:val="00C4070B"/>
    <w:rsid w:val="00C40BA4"/>
    <w:rsid w:val="00C418CD"/>
    <w:rsid w:val="00C42E3B"/>
    <w:rsid w:val="00C42FF9"/>
    <w:rsid w:val="00C43084"/>
    <w:rsid w:val="00C436BB"/>
    <w:rsid w:val="00C437A0"/>
    <w:rsid w:val="00C438A9"/>
    <w:rsid w:val="00C439FF"/>
    <w:rsid w:val="00C43D8D"/>
    <w:rsid w:val="00C440A1"/>
    <w:rsid w:val="00C444A0"/>
    <w:rsid w:val="00C44540"/>
    <w:rsid w:val="00C45643"/>
    <w:rsid w:val="00C45C2D"/>
    <w:rsid w:val="00C462BF"/>
    <w:rsid w:val="00C47490"/>
    <w:rsid w:val="00C475DC"/>
    <w:rsid w:val="00C47686"/>
    <w:rsid w:val="00C476EA"/>
    <w:rsid w:val="00C50744"/>
    <w:rsid w:val="00C50ABA"/>
    <w:rsid w:val="00C511C1"/>
    <w:rsid w:val="00C51375"/>
    <w:rsid w:val="00C51415"/>
    <w:rsid w:val="00C51748"/>
    <w:rsid w:val="00C51854"/>
    <w:rsid w:val="00C51C41"/>
    <w:rsid w:val="00C523A3"/>
    <w:rsid w:val="00C52A26"/>
    <w:rsid w:val="00C53489"/>
    <w:rsid w:val="00C535EC"/>
    <w:rsid w:val="00C542F2"/>
    <w:rsid w:val="00C54602"/>
    <w:rsid w:val="00C5534F"/>
    <w:rsid w:val="00C55AF2"/>
    <w:rsid w:val="00C569C3"/>
    <w:rsid w:val="00C56F9B"/>
    <w:rsid w:val="00C5767D"/>
    <w:rsid w:val="00C57B42"/>
    <w:rsid w:val="00C57E5B"/>
    <w:rsid w:val="00C60184"/>
    <w:rsid w:val="00C60A2D"/>
    <w:rsid w:val="00C61036"/>
    <w:rsid w:val="00C619E9"/>
    <w:rsid w:val="00C623E7"/>
    <w:rsid w:val="00C6305C"/>
    <w:rsid w:val="00C631B2"/>
    <w:rsid w:val="00C6321C"/>
    <w:rsid w:val="00C633F6"/>
    <w:rsid w:val="00C639E7"/>
    <w:rsid w:val="00C63E2F"/>
    <w:rsid w:val="00C6410B"/>
    <w:rsid w:val="00C64B3D"/>
    <w:rsid w:val="00C65133"/>
    <w:rsid w:val="00C66085"/>
    <w:rsid w:val="00C6615C"/>
    <w:rsid w:val="00C6654A"/>
    <w:rsid w:val="00C66DAB"/>
    <w:rsid w:val="00C66DE3"/>
    <w:rsid w:val="00C679B5"/>
    <w:rsid w:val="00C7001D"/>
    <w:rsid w:val="00C713C1"/>
    <w:rsid w:val="00C71458"/>
    <w:rsid w:val="00C71A78"/>
    <w:rsid w:val="00C71C47"/>
    <w:rsid w:val="00C71DD6"/>
    <w:rsid w:val="00C72001"/>
    <w:rsid w:val="00C7285A"/>
    <w:rsid w:val="00C728E5"/>
    <w:rsid w:val="00C728EA"/>
    <w:rsid w:val="00C72DA8"/>
    <w:rsid w:val="00C72DE1"/>
    <w:rsid w:val="00C72EBA"/>
    <w:rsid w:val="00C73294"/>
    <w:rsid w:val="00C7347B"/>
    <w:rsid w:val="00C73661"/>
    <w:rsid w:val="00C73E3D"/>
    <w:rsid w:val="00C7417B"/>
    <w:rsid w:val="00C7419A"/>
    <w:rsid w:val="00C74524"/>
    <w:rsid w:val="00C74670"/>
    <w:rsid w:val="00C7487A"/>
    <w:rsid w:val="00C7494A"/>
    <w:rsid w:val="00C74A35"/>
    <w:rsid w:val="00C75090"/>
    <w:rsid w:val="00C750A4"/>
    <w:rsid w:val="00C750E5"/>
    <w:rsid w:val="00C751BE"/>
    <w:rsid w:val="00C752EC"/>
    <w:rsid w:val="00C7572F"/>
    <w:rsid w:val="00C75765"/>
    <w:rsid w:val="00C7580F"/>
    <w:rsid w:val="00C75B2F"/>
    <w:rsid w:val="00C763C5"/>
    <w:rsid w:val="00C7656D"/>
    <w:rsid w:val="00C76E4C"/>
    <w:rsid w:val="00C76E64"/>
    <w:rsid w:val="00C76E7E"/>
    <w:rsid w:val="00C8187F"/>
    <w:rsid w:val="00C82164"/>
    <w:rsid w:val="00C821CA"/>
    <w:rsid w:val="00C8248F"/>
    <w:rsid w:val="00C82EF8"/>
    <w:rsid w:val="00C82FE2"/>
    <w:rsid w:val="00C8349A"/>
    <w:rsid w:val="00C839B7"/>
    <w:rsid w:val="00C8413E"/>
    <w:rsid w:val="00C84225"/>
    <w:rsid w:val="00C84310"/>
    <w:rsid w:val="00C84613"/>
    <w:rsid w:val="00C84AE4"/>
    <w:rsid w:val="00C85416"/>
    <w:rsid w:val="00C8559D"/>
    <w:rsid w:val="00C85CA4"/>
    <w:rsid w:val="00C8642A"/>
    <w:rsid w:val="00C86BBA"/>
    <w:rsid w:val="00C874D2"/>
    <w:rsid w:val="00C87662"/>
    <w:rsid w:val="00C8775D"/>
    <w:rsid w:val="00C879F9"/>
    <w:rsid w:val="00C87B13"/>
    <w:rsid w:val="00C87FB7"/>
    <w:rsid w:val="00C902CA"/>
    <w:rsid w:val="00C90709"/>
    <w:rsid w:val="00C90B30"/>
    <w:rsid w:val="00C90D6B"/>
    <w:rsid w:val="00C9209C"/>
    <w:rsid w:val="00C929ED"/>
    <w:rsid w:val="00C92BA5"/>
    <w:rsid w:val="00C92BF9"/>
    <w:rsid w:val="00C9315C"/>
    <w:rsid w:val="00C93518"/>
    <w:rsid w:val="00C935D2"/>
    <w:rsid w:val="00C937B9"/>
    <w:rsid w:val="00C9492D"/>
    <w:rsid w:val="00C94A3F"/>
    <w:rsid w:val="00C94F71"/>
    <w:rsid w:val="00C94FE6"/>
    <w:rsid w:val="00C95264"/>
    <w:rsid w:val="00C9619E"/>
    <w:rsid w:val="00C96BAD"/>
    <w:rsid w:val="00CA0517"/>
    <w:rsid w:val="00CA0B32"/>
    <w:rsid w:val="00CA21A4"/>
    <w:rsid w:val="00CA284E"/>
    <w:rsid w:val="00CA293E"/>
    <w:rsid w:val="00CA339A"/>
    <w:rsid w:val="00CA3ABC"/>
    <w:rsid w:val="00CA3F97"/>
    <w:rsid w:val="00CA444F"/>
    <w:rsid w:val="00CA49C5"/>
    <w:rsid w:val="00CA4D20"/>
    <w:rsid w:val="00CA4F54"/>
    <w:rsid w:val="00CA61E2"/>
    <w:rsid w:val="00CA6515"/>
    <w:rsid w:val="00CA682D"/>
    <w:rsid w:val="00CA69AD"/>
    <w:rsid w:val="00CA7C57"/>
    <w:rsid w:val="00CB00C3"/>
    <w:rsid w:val="00CB06B3"/>
    <w:rsid w:val="00CB113F"/>
    <w:rsid w:val="00CB1176"/>
    <w:rsid w:val="00CB1528"/>
    <w:rsid w:val="00CB1585"/>
    <w:rsid w:val="00CB17D4"/>
    <w:rsid w:val="00CB1BD4"/>
    <w:rsid w:val="00CB1DED"/>
    <w:rsid w:val="00CB2B08"/>
    <w:rsid w:val="00CB2B1A"/>
    <w:rsid w:val="00CB2FFF"/>
    <w:rsid w:val="00CB36D5"/>
    <w:rsid w:val="00CB3C1D"/>
    <w:rsid w:val="00CB42D5"/>
    <w:rsid w:val="00CB4962"/>
    <w:rsid w:val="00CB4B8A"/>
    <w:rsid w:val="00CB541C"/>
    <w:rsid w:val="00CB58F5"/>
    <w:rsid w:val="00CB5936"/>
    <w:rsid w:val="00CB675C"/>
    <w:rsid w:val="00CB6C69"/>
    <w:rsid w:val="00CB7400"/>
    <w:rsid w:val="00CC0067"/>
    <w:rsid w:val="00CC0499"/>
    <w:rsid w:val="00CC09A6"/>
    <w:rsid w:val="00CC1742"/>
    <w:rsid w:val="00CC1920"/>
    <w:rsid w:val="00CC1BDA"/>
    <w:rsid w:val="00CC1FE8"/>
    <w:rsid w:val="00CC2281"/>
    <w:rsid w:val="00CC2B7D"/>
    <w:rsid w:val="00CC2F4E"/>
    <w:rsid w:val="00CC3BAF"/>
    <w:rsid w:val="00CC3D6E"/>
    <w:rsid w:val="00CC4358"/>
    <w:rsid w:val="00CC467F"/>
    <w:rsid w:val="00CC4A15"/>
    <w:rsid w:val="00CC4E4E"/>
    <w:rsid w:val="00CC4FD5"/>
    <w:rsid w:val="00CC51CB"/>
    <w:rsid w:val="00CC56D3"/>
    <w:rsid w:val="00CC5D28"/>
    <w:rsid w:val="00CC601E"/>
    <w:rsid w:val="00CC6063"/>
    <w:rsid w:val="00CC6358"/>
    <w:rsid w:val="00CC65F1"/>
    <w:rsid w:val="00CC6A3F"/>
    <w:rsid w:val="00CC6F60"/>
    <w:rsid w:val="00CC6FF4"/>
    <w:rsid w:val="00CC74C6"/>
    <w:rsid w:val="00CC7FFC"/>
    <w:rsid w:val="00CD04D5"/>
    <w:rsid w:val="00CD0789"/>
    <w:rsid w:val="00CD0B4C"/>
    <w:rsid w:val="00CD0BF4"/>
    <w:rsid w:val="00CD0EC7"/>
    <w:rsid w:val="00CD1418"/>
    <w:rsid w:val="00CD1DB6"/>
    <w:rsid w:val="00CD1DE0"/>
    <w:rsid w:val="00CD2F08"/>
    <w:rsid w:val="00CD30CF"/>
    <w:rsid w:val="00CD3102"/>
    <w:rsid w:val="00CD31CB"/>
    <w:rsid w:val="00CD34BE"/>
    <w:rsid w:val="00CD3777"/>
    <w:rsid w:val="00CD3804"/>
    <w:rsid w:val="00CD3B32"/>
    <w:rsid w:val="00CD3C1D"/>
    <w:rsid w:val="00CD4B61"/>
    <w:rsid w:val="00CD4CF6"/>
    <w:rsid w:val="00CD59D8"/>
    <w:rsid w:val="00CD5F7E"/>
    <w:rsid w:val="00CD6011"/>
    <w:rsid w:val="00CD6579"/>
    <w:rsid w:val="00CD7743"/>
    <w:rsid w:val="00CE06A0"/>
    <w:rsid w:val="00CE08E0"/>
    <w:rsid w:val="00CE0C8D"/>
    <w:rsid w:val="00CE123D"/>
    <w:rsid w:val="00CE15C4"/>
    <w:rsid w:val="00CE1BF2"/>
    <w:rsid w:val="00CE24D3"/>
    <w:rsid w:val="00CE2FCF"/>
    <w:rsid w:val="00CE340F"/>
    <w:rsid w:val="00CE3AD4"/>
    <w:rsid w:val="00CE4392"/>
    <w:rsid w:val="00CE48E6"/>
    <w:rsid w:val="00CE4BC7"/>
    <w:rsid w:val="00CE4DC1"/>
    <w:rsid w:val="00CE5B24"/>
    <w:rsid w:val="00CE6018"/>
    <w:rsid w:val="00CE67CF"/>
    <w:rsid w:val="00CE68CB"/>
    <w:rsid w:val="00CE691B"/>
    <w:rsid w:val="00CE74EA"/>
    <w:rsid w:val="00CF00A0"/>
    <w:rsid w:val="00CF041C"/>
    <w:rsid w:val="00CF06A7"/>
    <w:rsid w:val="00CF06E2"/>
    <w:rsid w:val="00CF0AA3"/>
    <w:rsid w:val="00CF1EFC"/>
    <w:rsid w:val="00CF1F0A"/>
    <w:rsid w:val="00CF206C"/>
    <w:rsid w:val="00CF2544"/>
    <w:rsid w:val="00CF261B"/>
    <w:rsid w:val="00CF2B62"/>
    <w:rsid w:val="00CF2D85"/>
    <w:rsid w:val="00CF310A"/>
    <w:rsid w:val="00CF3323"/>
    <w:rsid w:val="00CF34E7"/>
    <w:rsid w:val="00CF35C8"/>
    <w:rsid w:val="00CF3ABE"/>
    <w:rsid w:val="00CF3D72"/>
    <w:rsid w:val="00CF567A"/>
    <w:rsid w:val="00CF5CA3"/>
    <w:rsid w:val="00CF6094"/>
    <w:rsid w:val="00CF73C9"/>
    <w:rsid w:val="00CF74FE"/>
    <w:rsid w:val="00CF755E"/>
    <w:rsid w:val="00CF76AF"/>
    <w:rsid w:val="00CF7B42"/>
    <w:rsid w:val="00D001EA"/>
    <w:rsid w:val="00D00363"/>
    <w:rsid w:val="00D00415"/>
    <w:rsid w:val="00D017F6"/>
    <w:rsid w:val="00D0184D"/>
    <w:rsid w:val="00D021D1"/>
    <w:rsid w:val="00D02F28"/>
    <w:rsid w:val="00D032BE"/>
    <w:rsid w:val="00D036F6"/>
    <w:rsid w:val="00D03950"/>
    <w:rsid w:val="00D04720"/>
    <w:rsid w:val="00D04EE3"/>
    <w:rsid w:val="00D05532"/>
    <w:rsid w:val="00D057EE"/>
    <w:rsid w:val="00D06080"/>
    <w:rsid w:val="00D0640E"/>
    <w:rsid w:val="00D066E6"/>
    <w:rsid w:val="00D06A03"/>
    <w:rsid w:val="00D07A85"/>
    <w:rsid w:val="00D10576"/>
    <w:rsid w:val="00D10F5C"/>
    <w:rsid w:val="00D1139E"/>
    <w:rsid w:val="00D11BA8"/>
    <w:rsid w:val="00D11E9F"/>
    <w:rsid w:val="00D127DC"/>
    <w:rsid w:val="00D12F1C"/>
    <w:rsid w:val="00D135BD"/>
    <w:rsid w:val="00D138BB"/>
    <w:rsid w:val="00D14289"/>
    <w:rsid w:val="00D14F96"/>
    <w:rsid w:val="00D154A3"/>
    <w:rsid w:val="00D1595A"/>
    <w:rsid w:val="00D162BA"/>
    <w:rsid w:val="00D1636D"/>
    <w:rsid w:val="00D16491"/>
    <w:rsid w:val="00D16749"/>
    <w:rsid w:val="00D168BA"/>
    <w:rsid w:val="00D16D8D"/>
    <w:rsid w:val="00D17694"/>
    <w:rsid w:val="00D176E4"/>
    <w:rsid w:val="00D17ACF"/>
    <w:rsid w:val="00D20020"/>
    <w:rsid w:val="00D201C7"/>
    <w:rsid w:val="00D202A9"/>
    <w:rsid w:val="00D20894"/>
    <w:rsid w:val="00D2142A"/>
    <w:rsid w:val="00D21884"/>
    <w:rsid w:val="00D21E21"/>
    <w:rsid w:val="00D22921"/>
    <w:rsid w:val="00D22E6E"/>
    <w:rsid w:val="00D230CD"/>
    <w:rsid w:val="00D231C5"/>
    <w:rsid w:val="00D2365F"/>
    <w:rsid w:val="00D23D51"/>
    <w:rsid w:val="00D24A4B"/>
    <w:rsid w:val="00D25636"/>
    <w:rsid w:val="00D26719"/>
    <w:rsid w:val="00D269A1"/>
    <w:rsid w:val="00D272AF"/>
    <w:rsid w:val="00D27596"/>
    <w:rsid w:val="00D2762F"/>
    <w:rsid w:val="00D27BE4"/>
    <w:rsid w:val="00D27BED"/>
    <w:rsid w:val="00D301F1"/>
    <w:rsid w:val="00D31D05"/>
    <w:rsid w:val="00D31DC5"/>
    <w:rsid w:val="00D32214"/>
    <w:rsid w:val="00D322C8"/>
    <w:rsid w:val="00D325EC"/>
    <w:rsid w:val="00D32B43"/>
    <w:rsid w:val="00D32D33"/>
    <w:rsid w:val="00D32DE2"/>
    <w:rsid w:val="00D332CE"/>
    <w:rsid w:val="00D335B6"/>
    <w:rsid w:val="00D33A64"/>
    <w:rsid w:val="00D33E00"/>
    <w:rsid w:val="00D34C3F"/>
    <w:rsid w:val="00D353AC"/>
    <w:rsid w:val="00D3572B"/>
    <w:rsid w:val="00D35FE8"/>
    <w:rsid w:val="00D365AE"/>
    <w:rsid w:val="00D366A2"/>
    <w:rsid w:val="00D36A77"/>
    <w:rsid w:val="00D36FEE"/>
    <w:rsid w:val="00D37257"/>
    <w:rsid w:val="00D372B0"/>
    <w:rsid w:val="00D37872"/>
    <w:rsid w:val="00D37E5C"/>
    <w:rsid w:val="00D41AB9"/>
    <w:rsid w:val="00D4292D"/>
    <w:rsid w:val="00D43075"/>
    <w:rsid w:val="00D43FE5"/>
    <w:rsid w:val="00D44443"/>
    <w:rsid w:val="00D44481"/>
    <w:rsid w:val="00D44489"/>
    <w:rsid w:val="00D44A03"/>
    <w:rsid w:val="00D45057"/>
    <w:rsid w:val="00D45D19"/>
    <w:rsid w:val="00D462FB"/>
    <w:rsid w:val="00D465CB"/>
    <w:rsid w:val="00D471A0"/>
    <w:rsid w:val="00D47528"/>
    <w:rsid w:val="00D50228"/>
    <w:rsid w:val="00D504BD"/>
    <w:rsid w:val="00D50559"/>
    <w:rsid w:val="00D50746"/>
    <w:rsid w:val="00D50782"/>
    <w:rsid w:val="00D50820"/>
    <w:rsid w:val="00D50D69"/>
    <w:rsid w:val="00D511A3"/>
    <w:rsid w:val="00D512B3"/>
    <w:rsid w:val="00D53245"/>
    <w:rsid w:val="00D532EF"/>
    <w:rsid w:val="00D534A4"/>
    <w:rsid w:val="00D53F09"/>
    <w:rsid w:val="00D54089"/>
    <w:rsid w:val="00D54287"/>
    <w:rsid w:val="00D549D6"/>
    <w:rsid w:val="00D549F0"/>
    <w:rsid w:val="00D55A3C"/>
    <w:rsid w:val="00D567D0"/>
    <w:rsid w:val="00D56E42"/>
    <w:rsid w:val="00D57188"/>
    <w:rsid w:val="00D57506"/>
    <w:rsid w:val="00D57527"/>
    <w:rsid w:val="00D5791C"/>
    <w:rsid w:val="00D609F2"/>
    <w:rsid w:val="00D60ACA"/>
    <w:rsid w:val="00D60CD0"/>
    <w:rsid w:val="00D61394"/>
    <w:rsid w:val="00D61A3A"/>
    <w:rsid w:val="00D620E8"/>
    <w:rsid w:val="00D6222C"/>
    <w:rsid w:val="00D62FC6"/>
    <w:rsid w:val="00D63D8C"/>
    <w:rsid w:val="00D640A1"/>
    <w:rsid w:val="00D64428"/>
    <w:rsid w:val="00D654B5"/>
    <w:rsid w:val="00D65AB6"/>
    <w:rsid w:val="00D65BE0"/>
    <w:rsid w:val="00D65CF1"/>
    <w:rsid w:val="00D664C4"/>
    <w:rsid w:val="00D6651A"/>
    <w:rsid w:val="00D66BCD"/>
    <w:rsid w:val="00D67530"/>
    <w:rsid w:val="00D67D70"/>
    <w:rsid w:val="00D7057C"/>
    <w:rsid w:val="00D706A2"/>
    <w:rsid w:val="00D706AC"/>
    <w:rsid w:val="00D71936"/>
    <w:rsid w:val="00D7234D"/>
    <w:rsid w:val="00D72795"/>
    <w:rsid w:val="00D72D8F"/>
    <w:rsid w:val="00D732DC"/>
    <w:rsid w:val="00D73530"/>
    <w:rsid w:val="00D74773"/>
    <w:rsid w:val="00D7486B"/>
    <w:rsid w:val="00D749A8"/>
    <w:rsid w:val="00D75218"/>
    <w:rsid w:val="00D753EB"/>
    <w:rsid w:val="00D7544E"/>
    <w:rsid w:val="00D754F9"/>
    <w:rsid w:val="00D756E3"/>
    <w:rsid w:val="00D75BA8"/>
    <w:rsid w:val="00D75C19"/>
    <w:rsid w:val="00D769F8"/>
    <w:rsid w:val="00D76F2F"/>
    <w:rsid w:val="00D771B9"/>
    <w:rsid w:val="00D77262"/>
    <w:rsid w:val="00D77467"/>
    <w:rsid w:val="00D776B7"/>
    <w:rsid w:val="00D77845"/>
    <w:rsid w:val="00D7799C"/>
    <w:rsid w:val="00D77CB1"/>
    <w:rsid w:val="00D80422"/>
    <w:rsid w:val="00D80AA8"/>
    <w:rsid w:val="00D8112A"/>
    <w:rsid w:val="00D81150"/>
    <w:rsid w:val="00D81509"/>
    <w:rsid w:val="00D81770"/>
    <w:rsid w:val="00D8237A"/>
    <w:rsid w:val="00D82526"/>
    <w:rsid w:val="00D82687"/>
    <w:rsid w:val="00D8284A"/>
    <w:rsid w:val="00D82AFE"/>
    <w:rsid w:val="00D83628"/>
    <w:rsid w:val="00D844EF"/>
    <w:rsid w:val="00D84A89"/>
    <w:rsid w:val="00D84B36"/>
    <w:rsid w:val="00D84CEB"/>
    <w:rsid w:val="00D85463"/>
    <w:rsid w:val="00D85712"/>
    <w:rsid w:val="00D85A6D"/>
    <w:rsid w:val="00D86451"/>
    <w:rsid w:val="00D870A6"/>
    <w:rsid w:val="00D87137"/>
    <w:rsid w:val="00D9131B"/>
    <w:rsid w:val="00D9232E"/>
    <w:rsid w:val="00D92509"/>
    <w:rsid w:val="00D926A8"/>
    <w:rsid w:val="00D92868"/>
    <w:rsid w:val="00D92BA8"/>
    <w:rsid w:val="00D92C85"/>
    <w:rsid w:val="00D935F4"/>
    <w:rsid w:val="00D93ADE"/>
    <w:rsid w:val="00D94F66"/>
    <w:rsid w:val="00D95569"/>
    <w:rsid w:val="00D95B39"/>
    <w:rsid w:val="00D95EE7"/>
    <w:rsid w:val="00D95F1E"/>
    <w:rsid w:val="00D96032"/>
    <w:rsid w:val="00D968ED"/>
    <w:rsid w:val="00D96EE4"/>
    <w:rsid w:val="00D97026"/>
    <w:rsid w:val="00D971E3"/>
    <w:rsid w:val="00D9767D"/>
    <w:rsid w:val="00DA0F81"/>
    <w:rsid w:val="00DA12F7"/>
    <w:rsid w:val="00DA1AC9"/>
    <w:rsid w:val="00DA1D7F"/>
    <w:rsid w:val="00DA25A9"/>
    <w:rsid w:val="00DA2643"/>
    <w:rsid w:val="00DA285C"/>
    <w:rsid w:val="00DA28CE"/>
    <w:rsid w:val="00DA2EBB"/>
    <w:rsid w:val="00DA3057"/>
    <w:rsid w:val="00DA3483"/>
    <w:rsid w:val="00DA36E8"/>
    <w:rsid w:val="00DA383C"/>
    <w:rsid w:val="00DA3DD5"/>
    <w:rsid w:val="00DA3F8D"/>
    <w:rsid w:val="00DA404C"/>
    <w:rsid w:val="00DA410C"/>
    <w:rsid w:val="00DA47B1"/>
    <w:rsid w:val="00DA5284"/>
    <w:rsid w:val="00DA5372"/>
    <w:rsid w:val="00DA5E8C"/>
    <w:rsid w:val="00DA5F0D"/>
    <w:rsid w:val="00DA6B27"/>
    <w:rsid w:val="00DA6F8F"/>
    <w:rsid w:val="00DA7900"/>
    <w:rsid w:val="00DB060E"/>
    <w:rsid w:val="00DB06AE"/>
    <w:rsid w:val="00DB0BD3"/>
    <w:rsid w:val="00DB0D9B"/>
    <w:rsid w:val="00DB1061"/>
    <w:rsid w:val="00DB1136"/>
    <w:rsid w:val="00DB1384"/>
    <w:rsid w:val="00DB1F38"/>
    <w:rsid w:val="00DB23A4"/>
    <w:rsid w:val="00DB371C"/>
    <w:rsid w:val="00DB3B82"/>
    <w:rsid w:val="00DB3CFA"/>
    <w:rsid w:val="00DB4396"/>
    <w:rsid w:val="00DB483D"/>
    <w:rsid w:val="00DB4D6F"/>
    <w:rsid w:val="00DB4E1F"/>
    <w:rsid w:val="00DB4FFF"/>
    <w:rsid w:val="00DB510D"/>
    <w:rsid w:val="00DB5D01"/>
    <w:rsid w:val="00DB5DD7"/>
    <w:rsid w:val="00DB5E75"/>
    <w:rsid w:val="00DB7274"/>
    <w:rsid w:val="00DB7502"/>
    <w:rsid w:val="00DB7785"/>
    <w:rsid w:val="00DB7D41"/>
    <w:rsid w:val="00DC05B2"/>
    <w:rsid w:val="00DC08C7"/>
    <w:rsid w:val="00DC0B3B"/>
    <w:rsid w:val="00DC0D0A"/>
    <w:rsid w:val="00DC0D76"/>
    <w:rsid w:val="00DC1DB2"/>
    <w:rsid w:val="00DC2EEF"/>
    <w:rsid w:val="00DC2F29"/>
    <w:rsid w:val="00DC317F"/>
    <w:rsid w:val="00DC325C"/>
    <w:rsid w:val="00DC3E42"/>
    <w:rsid w:val="00DC4075"/>
    <w:rsid w:val="00DC43A0"/>
    <w:rsid w:val="00DC499A"/>
    <w:rsid w:val="00DC49FF"/>
    <w:rsid w:val="00DC5806"/>
    <w:rsid w:val="00DC5CA8"/>
    <w:rsid w:val="00DC5E44"/>
    <w:rsid w:val="00DC6486"/>
    <w:rsid w:val="00DC6BE7"/>
    <w:rsid w:val="00DC70F2"/>
    <w:rsid w:val="00DC74EE"/>
    <w:rsid w:val="00DC7D8C"/>
    <w:rsid w:val="00DD05CF"/>
    <w:rsid w:val="00DD0B23"/>
    <w:rsid w:val="00DD111B"/>
    <w:rsid w:val="00DD1269"/>
    <w:rsid w:val="00DD18A5"/>
    <w:rsid w:val="00DD1B00"/>
    <w:rsid w:val="00DD1D80"/>
    <w:rsid w:val="00DD240E"/>
    <w:rsid w:val="00DD304A"/>
    <w:rsid w:val="00DD329A"/>
    <w:rsid w:val="00DD3AD8"/>
    <w:rsid w:val="00DD3FB1"/>
    <w:rsid w:val="00DD3FC6"/>
    <w:rsid w:val="00DD4107"/>
    <w:rsid w:val="00DD483C"/>
    <w:rsid w:val="00DD4D2B"/>
    <w:rsid w:val="00DD5270"/>
    <w:rsid w:val="00DD550C"/>
    <w:rsid w:val="00DD5EEF"/>
    <w:rsid w:val="00DD5EF0"/>
    <w:rsid w:val="00DD5FB1"/>
    <w:rsid w:val="00DD66C0"/>
    <w:rsid w:val="00DD67E2"/>
    <w:rsid w:val="00DD69DC"/>
    <w:rsid w:val="00DD6B15"/>
    <w:rsid w:val="00DD6B73"/>
    <w:rsid w:val="00DD6E51"/>
    <w:rsid w:val="00DD74A7"/>
    <w:rsid w:val="00DD7F34"/>
    <w:rsid w:val="00DE014A"/>
    <w:rsid w:val="00DE01FF"/>
    <w:rsid w:val="00DE058C"/>
    <w:rsid w:val="00DE0895"/>
    <w:rsid w:val="00DE0943"/>
    <w:rsid w:val="00DE132C"/>
    <w:rsid w:val="00DE172D"/>
    <w:rsid w:val="00DE2333"/>
    <w:rsid w:val="00DE26ED"/>
    <w:rsid w:val="00DE2DD0"/>
    <w:rsid w:val="00DE2F29"/>
    <w:rsid w:val="00DE399E"/>
    <w:rsid w:val="00DE3D50"/>
    <w:rsid w:val="00DE3E13"/>
    <w:rsid w:val="00DE3E42"/>
    <w:rsid w:val="00DE48F8"/>
    <w:rsid w:val="00DE5F42"/>
    <w:rsid w:val="00DE653E"/>
    <w:rsid w:val="00DE67DE"/>
    <w:rsid w:val="00DE6E98"/>
    <w:rsid w:val="00DE701A"/>
    <w:rsid w:val="00DE709D"/>
    <w:rsid w:val="00DE754C"/>
    <w:rsid w:val="00DF0295"/>
    <w:rsid w:val="00DF06B0"/>
    <w:rsid w:val="00DF0ED1"/>
    <w:rsid w:val="00DF0F7F"/>
    <w:rsid w:val="00DF1B7A"/>
    <w:rsid w:val="00DF2051"/>
    <w:rsid w:val="00DF24DE"/>
    <w:rsid w:val="00DF30CB"/>
    <w:rsid w:val="00DF3832"/>
    <w:rsid w:val="00DF3A4A"/>
    <w:rsid w:val="00DF3C5C"/>
    <w:rsid w:val="00DF4486"/>
    <w:rsid w:val="00DF4B04"/>
    <w:rsid w:val="00DF54FD"/>
    <w:rsid w:val="00DF5F37"/>
    <w:rsid w:val="00DF6258"/>
    <w:rsid w:val="00DF69AB"/>
    <w:rsid w:val="00DF76FB"/>
    <w:rsid w:val="00DF7D73"/>
    <w:rsid w:val="00E00883"/>
    <w:rsid w:val="00E00B69"/>
    <w:rsid w:val="00E01022"/>
    <w:rsid w:val="00E010E9"/>
    <w:rsid w:val="00E014D3"/>
    <w:rsid w:val="00E014FC"/>
    <w:rsid w:val="00E01E6C"/>
    <w:rsid w:val="00E02539"/>
    <w:rsid w:val="00E0307A"/>
    <w:rsid w:val="00E04681"/>
    <w:rsid w:val="00E046F3"/>
    <w:rsid w:val="00E04DA2"/>
    <w:rsid w:val="00E04F38"/>
    <w:rsid w:val="00E067B6"/>
    <w:rsid w:val="00E06AB1"/>
    <w:rsid w:val="00E06CCD"/>
    <w:rsid w:val="00E06CE6"/>
    <w:rsid w:val="00E0712C"/>
    <w:rsid w:val="00E07412"/>
    <w:rsid w:val="00E07831"/>
    <w:rsid w:val="00E07BB7"/>
    <w:rsid w:val="00E1040F"/>
    <w:rsid w:val="00E1042C"/>
    <w:rsid w:val="00E10820"/>
    <w:rsid w:val="00E110C4"/>
    <w:rsid w:val="00E11522"/>
    <w:rsid w:val="00E11E5C"/>
    <w:rsid w:val="00E124CD"/>
    <w:rsid w:val="00E12A8C"/>
    <w:rsid w:val="00E13267"/>
    <w:rsid w:val="00E132C0"/>
    <w:rsid w:val="00E132F2"/>
    <w:rsid w:val="00E13868"/>
    <w:rsid w:val="00E14DFA"/>
    <w:rsid w:val="00E14F89"/>
    <w:rsid w:val="00E152DF"/>
    <w:rsid w:val="00E15331"/>
    <w:rsid w:val="00E15766"/>
    <w:rsid w:val="00E15A23"/>
    <w:rsid w:val="00E15AE7"/>
    <w:rsid w:val="00E1612E"/>
    <w:rsid w:val="00E16361"/>
    <w:rsid w:val="00E16369"/>
    <w:rsid w:val="00E1772C"/>
    <w:rsid w:val="00E17FF9"/>
    <w:rsid w:val="00E2029F"/>
    <w:rsid w:val="00E206AC"/>
    <w:rsid w:val="00E21745"/>
    <w:rsid w:val="00E219FD"/>
    <w:rsid w:val="00E21A1C"/>
    <w:rsid w:val="00E21D78"/>
    <w:rsid w:val="00E223F6"/>
    <w:rsid w:val="00E228E8"/>
    <w:rsid w:val="00E22E3C"/>
    <w:rsid w:val="00E2380C"/>
    <w:rsid w:val="00E23D18"/>
    <w:rsid w:val="00E24143"/>
    <w:rsid w:val="00E24346"/>
    <w:rsid w:val="00E24417"/>
    <w:rsid w:val="00E24468"/>
    <w:rsid w:val="00E24CA3"/>
    <w:rsid w:val="00E25089"/>
    <w:rsid w:val="00E25B11"/>
    <w:rsid w:val="00E25E3E"/>
    <w:rsid w:val="00E266F8"/>
    <w:rsid w:val="00E26723"/>
    <w:rsid w:val="00E26A38"/>
    <w:rsid w:val="00E278E9"/>
    <w:rsid w:val="00E27C20"/>
    <w:rsid w:val="00E302DB"/>
    <w:rsid w:val="00E30AFF"/>
    <w:rsid w:val="00E3271C"/>
    <w:rsid w:val="00E327D7"/>
    <w:rsid w:val="00E32932"/>
    <w:rsid w:val="00E3305E"/>
    <w:rsid w:val="00E33E12"/>
    <w:rsid w:val="00E344A8"/>
    <w:rsid w:val="00E34E31"/>
    <w:rsid w:val="00E34FC4"/>
    <w:rsid w:val="00E34FF0"/>
    <w:rsid w:val="00E3535E"/>
    <w:rsid w:val="00E3601D"/>
    <w:rsid w:val="00E365DD"/>
    <w:rsid w:val="00E366E3"/>
    <w:rsid w:val="00E37067"/>
    <w:rsid w:val="00E37977"/>
    <w:rsid w:val="00E4041B"/>
    <w:rsid w:val="00E405DD"/>
    <w:rsid w:val="00E407EE"/>
    <w:rsid w:val="00E40E52"/>
    <w:rsid w:val="00E411EF"/>
    <w:rsid w:val="00E41501"/>
    <w:rsid w:val="00E41C5D"/>
    <w:rsid w:val="00E42077"/>
    <w:rsid w:val="00E4249D"/>
    <w:rsid w:val="00E424B1"/>
    <w:rsid w:val="00E42BA0"/>
    <w:rsid w:val="00E42D6D"/>
    <w:rsid w:val="00E43073"/>
    <w:rsid w:val="00E43334"/>
    <w:rsid w:val="00E438B3"/>
    <w:rsid w:val="00E43C46"/>
    <w:rsid w:val="00E43D13"/>
    <w:rsid w:val="00E43DAB"/>
    <w:rsid w:val="00E43DF6"/>
    <w:rsid w:val="00E44024"/>
    <w:rsid w:val="00E44114"/>
    <w:rsid w:val="00E443B1"/>
    <w:rsid w:val="00E443C6"/>
    <w:rsid w:val="00E4484A"/>
    <w:rsid w:val="00E449F6"/>
    <w:rsid w:val="00E44F50"/>
    <w:rsid w:val="00E4594F"/>
    <w:rsid w:val="00E461A3"/>
    <w:rsid w:val="00E46823"/>
    <w:rsid w:val="00E46892"/>
    <w:rsid w:val="00E46D05"/>
    <w:rsid w:val="00E46F95"/>
    <w:rsid w:val="00E4755D"/>
    <w:rsid w:val="00E477A8"/>
    <w:rsid w:val="00E50180"/>
    <w:rsid w:val="00E505CB"/>
    <w:rsid w:val="00E507C8"/>
    <w:rsid w:val="00E524D6"/>
    <w:rsid w:val="00E527FF"/>
    <w:rsid w:val="00E52A6D"/>
    <w:rsid w:val="00E53BCB"/>
    <w:rsid w:val="00E53E9D"/>
    <w:rsid w:val="00E53F2F"/>
    <w:rsid w:val="00E5409C"/>
    <w:rsid w:val="00E54462"/>
    <w:rsid w:val="00E5470E"/>
    <w:rsid w:val="00E54740"/>
    <w:rsid w:val="00E54A6C"/>
    <w:rsid w:val="00E551B7"/>
    <w:rsid w:val="00E5520D"/>
    <w:rsid w:val="00E554D5"/>
    <w:rsid w:val="00E55526"/>
    <w:rsid w:val="00E55EBE"/>
    <w:rsid w:val="00E560C1"/>
    <w:rsid w:val="00E561E4"/>
    <w:rsid w:val="00E566FF"/>
    <w:rsid w:val="00E569EC"/>
    <w:rsid w:val="00E56F49"/>
    <w:rsid w:val="00E56F4D"/>
    <w:rsid w:val="00E603FA"/>
    <w:rsid w:val="00E60983"/>
    <w:rsid w:val="00E61857"/>
    <w:rsid w:val="00E62AD5"/>
    <w:rsid w:val="00E62BEB"/>
    <w:rsid w:val="00E634A7"/>
    <w:rsid w:val="00E6476F"/>
    <w:rsid w:val="00E65B0F"/>
    <w:rsid w:val="00E65B8D"/>
    <w:rsid w:val="00E664AA"/>
    <w:rsid w:val="00E66665"/>
    <w:rsid w:val="00E67EFD"/>
    <w:rsid w:val="00E70D98"/>
    <w:rsid w:val="00E7108F"/>
    <w:rsid w:val="00E71733"/>
    <w:rsid w:val="00E71986"/>
    <w:rsid w:val="00E72186"/>
    <w:rsid w:val="00E72502"/>
    <w:rsid w:val="00E73A4B"/>
    <w:rsid w:val="00E73F0F"/>
    <w:rsid w:val="00E74F25"/>
    <w:rsid w:val="00E76190"/>
    <w:rsid w:val="00E763DB"/>
    <w:rsid w:val="00E76DB6"/>
    <w:rsid w:val="00E76E48"/>
    <w:rsid w:val="00E76F5F"/>
    <w:rsid w:val="00E77392"/>
    <w:rsid w:val="00E77ACB"/>
    <w:rsid w:val="00E80C63"/>
    <w:rsid w:val="00E80D75"/>
    <w:rsid w:val="00E80EF9"/>
    <w:rsid w:val="00E80F13"/>
    <w:rsid w:val="00E819D5"/>
    <w:rsid w:val="00E81D16"/>
    <w:rsid w:val="00E81ECB"/>
    <w:rsid w:val="00E8306D"/>
    <w:rsid w:val="00E83658"/>
    <w:rsid w:val="00E83CAF"/>
    <w:rsid w:val="00E83DD9"/>
    <w:rsid w:val="00E84250"/>
    <w:rsid w:val="00E8444B"/>
    <w:rsid w:val="00E844BE"/>
    <w:rsid w:val="00E84EC1"/>
    <w:rsid w:val="00E86054"/>
    <w:rsid w:val="00E878E5"/>
    <w:rsid w:val="00E907B0"/>
    <w:rsid w:val="00E90810"/>
    <w:rsid w:val="00E90D8E"/>
    <w:rsid w:val="00E913FC"/>
    <w:rsid w:val="00E9172E"/>
    <w:rsid w:val="00E91B22"/>
    <w:rsid w:val="00E91B5F"/>
    <w:rsid w:val="00E92568"/>
    <w:rsid w:val="00E92B0C"/>
    <w:rsid w:val="00E9474E"/>
    <w:rsid w:val="00E94808"/>
    <w:rsid w:val="00E94B0E"/>
    <w:rsid w:val="00E9597C"/>
    <w:rsid w:val="00E961AE"/>
    <w:rsid w:val="00E9625C"/>
    <w:rsid w:val="00E9663F"/>
    <w:rsid w:val="00E96975"/>
    <w:rsid w:val="00E96C55"/>
    <w:rsid w:val="00E97894"/>
    <w:rsid w:val="00E97924"/>
    <w:rsid w:val="00E97A0B"/>
    <w:rsid w:val="00E97A29"/>
    <w:rsid w:val="00EA041A"/>
    <w:rsid w:val="00EA06C9"/>
    <w:rsid w:val="00EA075C"/>
    <w:rsid w:val="00EA09B6"/>
    <w:rsid w:val="00EA0AD5"/>
    <w:rsid w:val="00EA0EFA"/>
    <w:rsid w:val="00EA0FAE"/>
    <w:rsid w:val="00EA1397"/>
    <w:rsid w:val="00EA14AE"/>
    <w:rsid w:val="00EA159C"/>
    <w:rsid w:val="00EA17FE"/>
    <w:rsid w:val="00EA185E"/>
    <w:rsid w:val="00EA1EF3"/>
    <w:rsid w:val="00EA2374"/>
    <w:rsid w:val="00EA252E"/>
    <w:rsid w:val="00EA28FB"/>
    <w:rsid w:val="00EA2BD6"/>
    <w:rsid w:val="00EA2CFD"/>
    <w:rsid w:val="00EA3965"/>
    <w:rsid w:val="00EA3A76"/>
    <w:rsid w:val="00EA3AFB"/>
    <w:rsid w:val="00EA3E0C"/>
    <w:rsid w:val="00EA3E2D"/>
    <w:rsid w:val="00EA4029"/>
    <w:rsid w:val="00EA4143"/>
    <w:rsid w:val="00EA4A57"/>
    <w:rsid w:val="00EA4A9B"/>
    <w:rsid w:val="00EA5215"/>
    <w:rsid w:val="00EA5391"/>
    <w:rsid w:val="00EA545D"/>
    <w:rsid w:val="00EA54E9"/>
    <w:rsid w:val="00EA5CE1"/>
    <w:rsid w:val="00EA6785"/>
    <w:rsid w:val="00EA6A00"/>
    <w:rsid w:val="00EA6E46"/>
    <w:rsid w:val="00EA70FF"/>
    <w:rsid w:val="00EA7A81"/>
    <w:rsid w:val="00EA7A8E"/>
    <w:rsid w:val="00EA7DDE"/>
    <w:rsid w:val="00EB0064"/>
    <w:rsid w:val="00EB0393"/>
    <w:rsid w:val="00EB0814"/>
    <w:rsid w:val="00EB08FA"/>
    <w:rsid w:val="00EB0930"/>
    <w:rsid w:val="00EB0C56"/>
    <w:rsid w:val="00EB0F60"/>
    <w:rsid w:val="00EB1378"/>
    <w:rsid w:val="00EB1D8A"/>
    <w:rsid w:val="00EB20E8"/>
    <w:rsid w:val="00EB2799"/>
    <w:rsid w:val="00EB27C6"/>
    <w:rsid w:val="00EB2960"/>
    <w:rsid w:val="00EB3319"/>
    <w:rsid w:val="00EB35B8"/>
    <w:rsid w:val="00EB3860"/>
    <w:rsid w:val="00EB398D"/>
    <w:rsid w:val="00EB6A10"/>
    <w:rsid w:val="00EB6D23"/>
    <w:rsid w:val="00EB7319"/>
    <w:rsid w:val="00EC03BF"/>
    <w:rsid w:val="00EC04F4"/>
    <w:rsid w:val="00EC077E"/>
    <w:rsid w:val="00EC1487"/>
    <w:rsid w:val="00EC1A6C"/>
    <w:rsid w:val="00EC1ABC"/>
    <w:rsid w:val="00EC1AFE"/>
    <w:rsid w:val="00EC1B4D"/>
    <w:rsid w:val="00EC1D45"/>
    <w:rsid w:val="00EC264C"/>
    <w:rsid w:val="00EC3696"/>
    <w:rsid w:val="00EC373C"/>
    <w:rsid w:val="00EC379D"/>
    <w:rsid w:val="00EC4273"/>
    <w:rsid w:val="00EC430E"/>
    <w:rsid w:val="00EC502B"/>
    <w:rsid w:val="00EC5482"/>
    <w:rsid w:val="00EC56C9"/>
    <w:rsid w:val="00EC56ED"/>
    <w:rsid w:val="00EC60FD"/>
    <w:rsid w:val="00EC69F9"/>
    <w:rsid w:val="00EC6C73"/>
    <w:rsid w:val="00EC72F0"/>
    <w:rsid w:val="00EC75B7"/>
    <w:rsid w:val="00EC7C31"/>
    <w:rsid w:val="00ED0883"/>
    <w:rsid w:val="00ED08A4"/>
    <w:rsid w:val="00ED0C9E"/>
    <w:rsid w:val="00ED0CB6"/>
    <w:rsid w:val="00ED172B"/>
    <w:rsid w:val="00ED1A76"/>
    <w:rsid w:val="00ED202F"/>
    <w:rsid w:val="00ED3A5B"/>
    <w:rsid w:val="00ED3A83"/>
    <w:rsid w:val="00ED3F00"/>
    <w:rsid w:val="00ED3F29"/>
    <w:rsid w:val="00ED414A"/>
    <w:rsid w:val="00ED419B"/>
    <w:rsid w:val="00ED43E2"/>
    <w:rsid w:val="00ED4814"/>
    <w:rsid w:val="00ED6400"/>
    <w:rsid w:val="00ED678A"/>
    <w:rsid w:val="00ED7EE0"/>
    <w:rsid w:val="00ED7F52"/>
    <w:rsid w:val="00EE0296"/>
    <w:rsid w:val="00EE06A5"/>
    <w:rsid w:val="00EE0B56"/>
    <w:rsid w:val="00EE0FEE"/>
    <w:rsid w:val="00EE1532"/>
    <w:rsid w:val="00EE187C"/>
    <w:rsid w:val="00EE345F"/>
    <w:rsid w:val="00EE366C"/>
    <w:rsid w:val="00EE37BB"/>
    <w:rsid w:val="00EE4518"/>
    <w:rsid w:val="00EE4962"/>
    <w:rsid w:val="00EE5D9B"/>
    <w:rsid w:val="00EE626E"/>
    <w:rsid w:val="00EE6633"/>
    <w:rsid w:val="00EE6732"/>
    <w:rsid w:val="00EE6D0C"/>
    <w:rsid w:val="00EE6F56"/>
    <w:rsid w:val="00EE788E"/>
    <w:rsid w:val="00EF0F49"/>
    <w:rsid w:val="00EF18D6"/>
    <w:rsid w:val="00EF1A60"/>
    <w:rsid w:val="00EF2069"/>
    <w:rsid w:val="00EF27D5"/>
    <w:rsid w:val="00EF27E7"/>
    <w:rsid w:val="00EF29C3"/>
    <w:rsid w:val="00EF2A36"/>
    <w:rsid w:val="00EF2C1F"/>
    <w:rsid w:val="00EF31D3"/>
    <w:rsid w:val="00EF3289"/>
    <w:rsid w:val="00EF3B9D"/>
    <w:rsid w:val="00EF3C02"/>
    <w:rsid w:val="00EF40F0"/>
    <w:rsid w:val="00EF4248"/>
    <w:rsid w:val="00EF4304"/>
    <w:rsid w:val="00EF4379"/>
    <w:rsid w:val="00EF4CD8"/>
    <w:rsid w:val="00EF4FAD"/>
    <w:rsid w:val="00EF5D35"/>
    <w:rsid w:val="00EF626C"/>
    <w:rsid w:val="00EF631A"/>
    <w:rsid w:val="00EF6689"/>
    <w:rsid w:val="00EF6B55"/>
    <w:rsid w:val="00EF6DBB"/>
    <w:rsid w:val="00EF7728"/>
    <w:rsid w:val="00F00A73"/>
    <w:rsid w:val="00F00C4C"/>
    <w:rsid w:val="00F02248"/>
    <w:rsid w:val="00F02753"/>
    <w:rsid w:val="00F02D4A"/>
    <w:rsid w:val="00F03AF7"/>
    <w:rsid w:val="00F04857"/>
    <w:rsid w:val="00F05763"/>
    <w:rsid w:val="00F05A60"/>
    <w:rsid w:val="00F0647C"/>
    <w:rsid w:val="00F075AD"/>
    <w:rsid w:val="00F07969"/>
    <w:rsid w:val="00F07C03"/>
    <w:rsid w:val="00F07D51"/>
    <w:rsid w:val="00F1025F"/>
    <w:rsid w:val="00F105A1"/>
    <w:rsid w:val="00F1169F"/>
    <w:rsid w:val="00F11EC1"/>
    <w:rsid w:val="00F120C9"/>
    <w:rsid w:val="00F126FC"/>
    <w:rsid w:val="00F12931"/>
    <w:rsid w:val="00F134F3"/>
    <w:rsid w:val="00F13999"/>
    <w:rsid w:val="00F1417C"/>
    <w:rsid w:val="00F1454A"/>
    <w:rsid w:val="00F147C1"/>
    <w:rsid w:val="00F15115"/>
    <w:rsid w:val="00F15464"/>
    <w:rsid w:val="00F154DA"/>
    <w:rsid w:val="00F15539"/>
    <w:rsid w:val="00F159EB"/>
    <w:rsid w:val="00F15BBB"/>
    <w:rsid w:val="00F1614B"/>
    <w:rsid w:val="00F1638E"/>
    <w:rsid w:val="00F16522"/>
    <w:rsid w:val="00F1755A"/>
    <w:rsid w:val="00F206A1"/>
    <w:rsid w:val="00F20A26"/>
    <w:rsid w:val="00F21117"/>
    <w:rsid w:val="00F21151"/>
    <w:rsid w:val="00F21E80"/>
    <w:rsid w:val="00F221C0"/>
    <w:rsid w:val="00F223FA"/>
    <w:rsid w:val="00F2286C"/>
    <w:rsid w:val="00F22C24"/>
    <w:rsid w:val="00F23456"/>
    <w:rsid w:val="00F23BD4"/>
    <w:rsid w:val="00F25130"/>
    <w:rsid w:val="00F25E1D"/>
    <w:rsid w:val="00F25F7A"/>
    <w:rsid w:val="00F26420"/>
    <w:rsid w:val="00F26BBD"/>
    <w:rsid w:val="00F27EE5"/>
    <w:rsid w:val="00F306BE"/>
    <w:rsid w:val="00F308C2"/>
    <w:rsid w:val="00F30F0F"/>
    <w:rsid w:val="00F31236"/>
    <w:rsid w:val="00F319FF"/>
    <w:rsid w:val="00F31C7B"/>
    <w:rsid w:val="00F32886"/>
    <w:rsid w:val="00F329BC"/>
    <w:rsid w:val="00F33555"/>
    <w:rsid w:val="00F33C31"/>
    <w:rsid w:val="00F34061"/>
    <w:rsid w:val="00F3428B"/>
    <w:rsid w:val="00F34542"/>
    <w:rsid w:val="00F35CF7"/>
    <w:rsid w:val="00F35F60"/>
    <w:rsid w:val="00F360FC"/>
    <w:rsid w:val="00F36135"/>
    <w:rsid w:val="00F364D9"/>
    <w:rsid w:val="00F40ABE"/>
    <w:rsid w:val="00F4147E"/>
    <w:rsid w:val="00F414A2"/>
    <w:rsid w:val="00F43509"/>
    <w:rsid w:val="00F43628"/>
    <w:rsid w:val="00F440C6"/>
    <w:rsid w:val="00F44C31"/>
    <w:rsid w:val="00F45454"/>
    <w:rsid w:val="00F45E3E"/>
    <w:rsid w:val="00F45F8D"/>
    <w:rsid w:val="00F46092"/>
    <w:rsid w:val="00F469AB"/>
    <w:rsid w:val="00F46E80"/>
    <w:rsid w:val="00F47279"/>
    <w:rsid w:val="00F47C26"/>
    <w:rsid w:val="00F47CC2"/>
    <w:rsid w:val="00F51163"/>
    <w:rsid w:val="00F5139B"/>
    <w:rsid w:val="00F513A6"/>
    <w:rsid w:val="00F513EF"/>
    <w:rsid w:val="00F51650"/>
    <w:rsid w:val="00F520E1"/>
    <w:rsid w:val="00F52441"/>
    <w:rsid w:val="00F52E58"/>
    <w:rsid w:val="00F5407B"/>
    <w:rsid w:val="00F5421E"/>
    <w:rsid w:val="00F5497F"/>
    <w:rsid w:val="00F560E0"/>
    <w:rsid w:val="00F56D8D"/>
    <w:rsid w:val="00F6033C"/>
    <w:rsid w:val="00F60676"/>
    <w:rsid w:val="00F607C3"/>
    <w:rsid w:val="00F61103"/>
    <w:rsid w:val="00F611EA"/>
    <w:rsid w:val="00F61378"/>
    <w:rsid w:val="00F6179F"/>
    <w:rsid w:val="00F620E5"/>
    <w:rsid w:val="00F6214C"/>
    <w:rsid w:val="00F628BA"/>
    <w:rsid w:val="00F62CC7"/>
    <w:rsid w:val="00F62DD2"/>
    <w:rsid w:val="00F62E3E"/>
    <w:rsid w:val="00F6306F"/>
    <w:rsid w:val="00F63DC2"/>
    <w:rsid w:val="00F63EED"/>
    <w:rsid w:val="00F6411C"/>
    <w:rsid w:val="00F646AD"/>
    <w:rsid w:val="00F648EC"/>
    <w:rsid w:val="00F64D75"/>
    <w:rsid w:val="00F650B5"/>
    <w:rsid w:val="00F65118"/>
    <w:rsid w:val="00F651BB"/>
    <w:rsid w:val="00F656A5"/>
    <w:rsid w:val="00F65F62"/>
    <w:rsid w:val="00F66102"/>
    <w:rsid w:val="00F666D4"/>
    <w:rsid w:val="00F66797"/>
    <w:rsid w:val="00F667C2"/>
    <w:rsid w:val="00F670AF"/>
    <w:rsid w:val="00F6710C"/>
    <w:rsid w:val="00F671FD"/>
    <w:rsid w:val="00F67216"/>
    <w:rsid w:val="00F6732F"/>
    <w:rsid w:val="00F67CCE"/>
    <w:rsid w:val="00F70665"/>
    <w:rsid w:val="00F709B4"/>
    <w:rsid w:val="00F70DA6"/>
    <w:rsid w:val="00F7154F"/>
    <w:rsid w:val="00F71960"/>
    <w:rsid w:val="00F723D8"/>
    <w:rsid w:val="00F72BCD"/>
    <w:rsid w:val="00F72CC3"/>
    <w:rsid w:val="00F730A5"/>
    <w:rsid w:val="00F7316C"/>
    <w:rsid w:val="00F7321D"/>
    <w:rsid w:val="00F73BE9"/>
    <w:rsid w:val="00F73D22"/>
    <w:rsid w:val="00F740DA"/>
    <w:rsid w:val="00F742EE"/>
    <w:rsid w:val="00F74B79"/>
    <w:rsid w:val="00F74CDE"/>
    <w:rsid w:val="00F74FE6"/>
    <w:rsid w:val="00F75138"/>
    <w:rsid w:val="00F75332"/>
    <w:rsid w:val="00F7591F"/>
    <w:rsid w:val="00F75F12"/>
    <w:rsid w:val="00F76A12"/>
    <w:rsid w:val="00F76E9E"/>
    <w:rsid w:val="00F77544"/>
    <w:rsid w:val="00F7765D"/>
    <w:rsid w:val="00F77830"/>
    <w:rsid w:val="00F7790E"/>
    <w:rsid w:val="00F77A28"/>
    <w:rsid w:val="00F800DD"/>
    <w:rsid w:val="00F802B9"/>
    <w:rsid w:val="00F80706"/>
    <w:rsid w:val="00F8112C"/>
    <w:rsid w:val="00F812C5"/>
    <w:rsid w:val="00F815F7"/>
    <w:rsid w:val="00F816F1"/>
    <w:rsid w:val="00F81CF6"/>
    <w:rsid w:val="00F82391"/>
    <w:rsid w:val="00F827B4"/>
    <w:rsid w:val="00F82CAD"/>
    <w:rsid w:val="00F8364D"/>
    <w:rsid w:val="00F83A93"/>
    <w:rsid w:val="00F83DD7"/>
    <w:rsid w:val="00F841BE"/>
    <w:rsid w:val="00F84818"/>
    <w:rsid w:val="00F84FC2"/>
    <w:rsid w:val="00F860BF"/>
    <w:rsid w:val="00F8670F"/>
    <w:rsid w:val="00F876A3"/>
    <w:rsid w:val="00F87854"/>
    <w:rsid w:val="00F90968"/>
    <w:rsid w:val="00F90C4C"/>
    <w:rsid w:val="00F90DC8"/>
    <w:rsid w:val="00F911F0"/>
    <w:rsid w:val="00F912D9"/>
    <w:rsid w:val="00F922BA"/>
    <w:rsid w:val="00F9249C"/>
    <w:rsid w:val="00F927F5"/>
    <w:rsid w:val="00F929AC"/>
    <w:rsid w:val="00F92A9A"/>
    <w:rsid w:val="00F92D38"/>
    <w:rsid w:val="00F92FB6"/>
    <w:rsid w:val="00F93D97"/>
    <w:rsid w:val="00F93F0F"/>
    <w:rsid w:val="00F947DE"/>
    <w:rsid w:val="00F94A75"/>
    <w:rsid w:val="00F94AFB"/>
    <w:rsid w:val="00F94EF8"/>
    <w:rsid w:val="00F95243"/>
    <w:rsid w:val="00F95258"/>
    <w:rsid w:val="00F9534B"/>
    <w:rsid w:val="00F953E5"/>
    <w:rsid w:val="00F95830"/>
    <w:rsid w:val="00F95967"/>
    <w:rsid w:val="00F95B7C"/>
    <w:rsid w:val="00F970F5"/>
    <w:rsid w:val="00F97D0E"/>
    <w:rsid w:val="00F97D4F"/>
    <w:rsid w:val="00FA0576"/>
    <w:rsid w:val="00FA1CCE"/>
    <w:rsid w:val="00FA24E1"/>
    <w:rsid w:val="00FA27DC"/>
    <w:rsid w:val="00FA2DC3"/>
    <w:rsid w:val="00FA3157"/>
    <w:rsid w:val="00FA3213"/>
    <w:rsid w:val="00FA3504"/>
    <w:rsid w:val="00FA35A8"/>
    <w:rsid w:val="00FA3628"/>
    <w:rsid w:val="00FA3BA7"/>
    <w:rsid w:val="00FA4C18"/>
    <w:rsid w:val="00FA4D0D"/>
    <w:rsid w:val="00FA4E5B"/>
    <w:rsid w:val="00FA4FF4"/>
    <w:rsid w:val="00FA53D8"/>
    <w:rsid w:val="00FA5F03"/>
    <w:rsid w:val="00FA63C9"/>
    <w:rsid w:val="00FA719D"/>
    <w:rsid w:val="00FA7962"/>
    <w:rsid w:val="00FB0198"/>
    <w:rsid w:val="00FB145E"/>
    <w:rsid w:val="00FB17ED"/>
    <w:rsid w:val="00FB1BB1"/>
    <w:rsid w:val="00FB2159"/>
    <w:rsid w:val="00FB2ABE"/>
    <w:rsid w:val="00FB2C94"/>
    <w:rsid w:val="00FB3360"/>
    <w:rsid w:val="00FB398B"/>
    <w:rsid w:val="00FB3A90"/>
    <w:rsid w:val="00FB3B7F"/>
    <w:rsid w:val="00FB3C2F"/>
    <w:rsid w:val="00FB3C37"/>
    <w:rsid w:val="00FB3C86"/>
    <w:rsid w:val="00FB3C98"/>
    <w:rsid w:val="00FB3CEA"/>
    <w:rsid w:val="00FB4116"/>
    <w:rsid w:val="00FB4302"/>
    <w:rsid w:val="00FB43B1"/>
    <w:rsid w:val="00FB4424"/>
    <w:rsid w:val="00FB4586"/>
    <w:rsid w:val="00FB4A77"/>
    <w:rsid w:val="00FB50EA"/>
    <w:rsid w:val="00FB5698"/>
    <w:rsid w:val="00FB5859"/>
    <w:rsid w:val="00FB5B77"/>
    <w:rsid w:val="00FB61BF"/>
    <w:rsid w:val="00FB6DF6"/>
    <w:rsid w:val="00FB7465"/>
    <w:rsid w:val="00FB7CE9"/>
    <w:rsid w:val="00FC0843"/>
    <w:rsid w:val="00FC08C7"/>
    <w:rsid w:val="00FC1064"/>
    <w:rsid w:val="00FC13EB"/>
    <w:rsid w:val="00FC1A80"/>
    <w:rsid w:val="00FC25DF"/>
    <w:rsid w:val="00FC347C"/>
    <w:rsid w:val="00FC35BC"/>
    <w:rsid w:val="00FC3C00"/>
    <w:rsid w:val="00FC3E6A"/>
    <w:rsid w:val="00FC445A"/>
    <w:rsid w:val="00FC44DB"/>
    <w:rsid w:val="00FC45D3"/>
    <w:rsid w:val="00FC4C0F"/>
    <w:rsid w:val="00FC4D72"/>
    <w:rsid w:val="00FC4DBA"/>
    <w:rsid w:val="00FC4DC2"/>
    <w:rsid w:val="00FC4EA5"/>
    <w:rsid w:val="00FC6004"/>
    <w:rsid w:val="00FC6BC4"/>
    <w:rsid w:val="00FC6CE4"/>
    <w:rsid w:val="00FD0DCF"/>
    <w:rsid w:val="00FD13B8"/>
    <w:rsid w:val="00FD1685"/>
    <w:rsid w:val="00FD202B"/>
    <w:rsid w:val="00FD2146"/>
    <w:rsid w:val="00FD2275"/>
    <w:rsid w:val="00FD22C4"/>
    <w:rsid w:val="00FD2442"/>
    <w:rsid w:val="00FD2460"/>
    <w:rsid w:val="00FD2497"/>
    <w:rsid w:val="00FD271F"/>
    <w:rsid w:val="00FD2BBE"/>
    <w:rsid w:val="00FD2F35"/>
    <w:rsid w:val="00FD3617"/>
    <w:rsid w:val="00FD38D7"/>
    <w:rsid w:val="00FD3DB1"/>
    <w:rsid w:val="00FD3DC0"/>
    <w:rsid w:val="00FD3E9D"/>
    <w:rsid w:val="00FD3F81"/>
    <w:rsid w:val="00FD44D4"/>
    <w:rsid w:val="00FD454F"/>
    <w:rsid w:val="00FD526B"/>
    <w:rsid w:val="00FD52A4"/>
    <w:rsid w:val="00FD6377"/>
    <w:rsid w:val="00FD663C"/>
    <w:rsid w:val="00FD79BC"/>
    <w:rsid w:val="00FD7AA2"/>
    <w:rsid w:val="00FE0556"/>
    <w:rsid w:val="00FE0B22"/>
    <w:rsid w:val="00FE0B98"/>
    <w:rsid w:val="00FE17D1"/>
    <w:rsid w:val="00FE1812"/>
    <w:rsid w:val="00FE182B"/>
    <w:rsid w:val="00FE18D7"/>
    <w:rsid w:val="00FE1DB5"/>
    <w:rsid w:val="00FE24C2"/>
    <w:rsid w:val="00FE2868"/>
    <w:rsid w:val="00FE2B53"/>
    <w:rsid w:val="00FE2C36"/>
    <w:rsid w:val="00FE3120"/>
    <w:rsid w:val="00FE35B2"/>
    <w:rsid w:val="00FE3A26"/>
    <w:rsid w:val="00FE3D08"/>
    <w:rsid w:val="00FE429F"/>
    <w:rsid w:val="00FE436A"/>
    <w:rsid w:val="00FE52FE"/>
    <w:rsid w:val="00FE53B4"/>
    <w:rsid w:val="00FE57DE"/>
    <w:rsid w:val="00FE59EF"/>
    <w:rsid w:val="00FE6AD2"/>
    <w:rsid w:val="00FE720B"/>
    <w:rsid w:val="00FE72BF"/>
    <w:rsid w:val="00FE75DA"/>
    <w:rsid w:val="00FE76AE"/>
    <w:rsid w:val="00FE78FC"/>
    <w:rsid w:val="00FE7AD2"/>
    <w:rsid w:val="00FF001C"/>
    <w:rsid w:val="00FF04AC"/>
    <w:rsid w:val="00FF0BFF"/>
    <w:rsid w:val="00FF15FD"/>
    <w:rsid w:val="00FF18B6"/>
    <w:rsid w:val="00FF1F42"/>
    <w:rsid w:val="00FF26B3"/>
    <w:rsid w:val="00FF26F6"/>
    <w:rsid w:val="00FF330D"/>
    <w:rsid w:val="00FF3505"/>
    <w:rsid w:val="00FF43D0"/>
    <w:rsid w:val="00FF53A6"/>
    <w:rsid w:val="00FF5D64"/>
    <w:rsid w:val="00FF5E76"/>
    <w:rsid w:val="00FF6400"/>
    <w:rsid w:val="00FF645E"/>
    <w:rsid w:val="00FF6E0A"/>
    <w:rsid w:val="00FF6EAE"/>
    <w:rsid w:val="00FF7939"/>
    <w:rsid w:val="00FF79C0"/>
    <w:rsid w:val="00FF7BDA"/>
    <w:rsid w:val="00FF7C8B"/>
    <w:rsid w:val="00FF7FBF"/>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5a600,#c3c3c3,#007087"/>
    </o:shapedefaults>
    <o:shapelayout v:ext="edit">
      <o:idmap v:ext="edit" data="1"/>
    </o:shapelayout>
  </w:shapeDefaults>
  <w:decimalSymbol w:val=","/>
  <w:listSeparator w:val=";"/>
  <w14:docId w14:val="48C0A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2F6E28"/>
    <w:pPr>
      <w:jc w:val="both"/>
    </w:pPr>
    <w:rPr>
      <w:rFonts w:ascii="Trebuchet MS" w:hAnsi="Trebuchet MS"/>
      <w:sz w:val="18"/>
      <w:szCs w:val="24"/>
    </w:rPr>
  </w:style>
  <w:style w:type="paragraph" w:styleId="Heading1">
    <w:name w:val="heading 1"/>
    <w:basedOn w:val="Normal"/>
    <w:next w:val="Normal"/>
    <w:link w:val="Heading1Char"/>
    <w:autoRedefine/>
    <w:qFormat/>
    <w:rsid w:val="00515A38"/>
    <w:pPr>
      <w:keepNext/>
      <w:spacing w:after="60"/>
      <w:outlineLvl w:val="0"/>
    </w:pPr>
    <w:rPr>
      <w:bCs/>
      <w:color w:val="007087"/>
      <w:kern w:val="32"/>
      <w:sz w:val="36"/>
      <w:szCs w:val="36"/>
    </w:rPr>
  </w:style>
  <w:style w:type="paragraph" w:styleId="Heading2">
    <w:name w:val="heading 2"/>
    <w:basedOn w:val="Normal"/>
    <w:next w:val="Normal"/>
    <w:link w:val="Heading2Char"/>
    <w:autoRedefine/>
    <w:qFormat/>
    <w:rsid w:val="002F6E28"/>
    <w:pPr>
      <w:keepNext/>
      <w:spacing w:after="60"/>
      <w:outlineLvl w:val="1"/>
    </w:pPr>
    <w:rPr>
      <w:b/>
      <w:bCs/>
      <w:color w:val="007087"/>
      <w:kern w:val="3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27B7"/>
    <w:pPr>
      <w:tabs>
        <w:tab w:val="center" w:pos="4536"/>
        <w:tab w:val="right" w:pos="9072"/>
      </w:tabs>
    </w:pPr>
  </w:style>
  <w:style w:type="paragraph" w:styleId="Footer">
    <w:name w:val="footer"/>
    <w:basedOn w:val="Normal"/>
    <w:link w:val="FooterChar"/>
    <w:uiPriority w:val="99"/>
    <w:rsid w:val="007927B7"/>
    <w:pPr>
      <w:tabs>
        <w:tab w:val="center" w:pos="4536"/>
        <w:tab w:val="right" w:pos="9072"/>
      </w:tabs>
    </w:pPr>
  </w:style>
  <w:style w:type="character" w:styleId="PageNumber">
    <w:name w:val="page number"/>
    <w:basedOn w:val="DefaultParagraphFont"/>
    <w:rsid w:val="007927B7"/>
  </w:style>
  <w:style w:type="paragraph" w:customStyle="1" w:styleId="textbold">
    <w:name w:val="text bold"/>
    <w:basedOn w:val="Normal"/>
    <w:next w:val="Normal"/>
    <w:link w:val="textboldChar"/>
    <w:rsid w:val="007B3A8E"/>
    <w:rPr>
      <w:b/>
    </w:rPr>
  </w:style>
  <w:style w:type="character" w:customStyle="1" w:styleId="textboldChar">
    <w:name w:val="text bold Char"/>
    <w:link w:val="textbold"/>
    <w:rsid w:val="007B3A8E"/>
    <w:rPr>
      <w:rFonts w:ascii="Trebuchet MS" w:hAnsi="Trebuchet MS"/>
      <w:b/>
      <w:sz w:val="18"/>
      <w:szCs w:val="24"/>
      <w:lang w:val="et-EE" w:eastAsia="et-EE" w:bidi="ar-SA"/>
    </w:rPr>
  </w:style>
  <w:style w:type="paragraph" w:customStyle="1" w:styleId="Style1">
    <w:name w:val="Style1"/>
    <w:basedOn w:val="Normal"/>
    <w:autoRedefine/>
    <w:rsid w:val="004B23F6"/>
    <w:pPr>
      <w:numPr>
        <w:numId w:val="14"/>
      </w:numPr>
      <w:tabs>
        <w:tab w:val="left" w:pos="-567"/>
      </w:tabs>
      <w:spacing w:before="120" w:after="120"/>
    </w:pPr>
    <w:rPr>
      <w:color w:val="FFFFFF"/>
    </w:rPr>
  </w:style>
  <w:style w:type="paragraph" w:customStyle="1" w:styleId="tabeliall">
    <w:name w:val="tabeli all"/>
    <w:basedOn w:val="Normal"/>
    <w:autoRedefine/>
    <w:rsid w:val="00373EEF"/>
    <w:pPr>
      <w:ind w:left="284"/>
    </w:pPr>
    <w:rPr>
      <w:i/>
      <w:color w:val="646464"/>
      <w:sz w:val="14"/>
    </w:rPr>
  </w:style>
  <w:style w:type="paragraph" w:customStyle="1" w:styleId="Style2">
    <w:name w:val="Style2"/>
    <w:basedOn w:val="Normal"/>
    <w:next w:val="tabeliall"/>
    <w:rsid w:val="00881947"/>
  </w:style>
  <w:style w:type="paragraph" w:styleId="BalloonText">
    <w:name w:val="Balloon Text"/>
    <w:basedOn w:val="Normal"/>
    <w:link w:val="BalloonTextChar"/>
    <w:rsid w:val="006455AB"/>
    <w:rPr>
      <w:rFonts w:ascii="Tahoma" w:hAnsi="Tahoma" w:cs="Tahoma"/>
      <w:sz w:val="16"/>
      <w:szCs w:val="16"/>
    </w:rPr>
  </w:style>
  <w:style w:type="character" w:customStyle="1" w:styleId="BalloonTextChar">
    <w:name w:val="Balloon Text Char"/>
    <w:link w:val="BalloonText"/>
    <w:rsid w:val="006455AB"/>
    <w:rPr>
      <w:rFonts w:ascii="Tahoma" w:hAnsi="Tahoma" w:cs="Tahoma"/>
      <w:sz w:val="16"/>
      <w:szCs w:val="16"/>
    </w:rPr>
  </w:style>
  <w:style w:type="character" w:styleId="Hyperlink">
    <w:name w:val="Hyperlink"/>
    <w:uiPriority w:val="99"/>
    <w:unhideWhenUsed/>
    <w:rsid w:val="003E4F21"/>
    <w:rPr>
      <w:color w:val="0000FF"/>
      <w:u w:val="single"/>
    </w:rPr>
  </w:style>
  <w:style w:type="paragraph" w:styleId="ListParagraph">
    <w:name w:val="List Paragraph"/>
    <w:basedOn w:val="Normal"/>
    <w:uiPriority w:val="34"/>
    <w:qFormat/>
    <w:rsid w:val="008361D3"/>
    <w:pPr>
      <w:spacing w:after="200" w:line="276" w:lineRule="auto"/>
      <w:ind w:left="720"/>
      <w:contextualSpacing/>
    </w:pPr>
    <w:rPr>
      <w:rFonts w:ascii="Calibri" w:eastAsia="Calibri" w:hAnsi="Calibri" w:cs="Calibri"/>
      <w:noProof/>
      <w:color w:val="000000"/>
      <w:sz w:val="22"/>
      <w:szCs w:val="22"/>
      <w:lang w:val="en-US" w:eastAsia="en-US"/>
    </w:rPr>
  </w:style>
  <w:style w:type="character" w:styleId="Strong">
    <w:name w:val="Strong"/>
    <w:uiPriority w:val="22"/>
    <w:qFormat/>
    <w:rsid w:val="008361D3"/>
    <w:rPr>
      <w:b/>
      <w:bCs/>
    </w:rPr>
  </w:style>
  <w:style w:type="paragraph" w:styleId="Caption">
    <w:name w:val="caption"/>
    <w:basedOn w:val="Normal"/>
    <w:next w:val="Normal"/>
    <w:unhideWhenUsed/>
    <w:qFormat/>
    <w:rsid w:val="00E54A6C"/>
    <w:pPr>
      <w:spacing w:after="200"/>
    </w:pPr>
    <w:rPr>
      <w:bCs/>
      <w:i/>
      <w:color w:val="808080"/>
      <w:sz w:val="14"/>
      <w:szCs w:val="18"/>
    </w:rPr>
  </w:style>
  <w:style w:type="character" w:styleId="CommentReference">
    <w:name w:val="annotation reference"/>
    <w:uiPriority w:val="99"/>
    <w:rsid w:val="0021639A"/>
    <w:rPr>
      <w:sz w:val="16"/>
      <w:szCs w:val="16"/>
    </w:rPr>
  </w:style>
  <w:style w:type="paragraph" w:styleId="CommentText">
    <w:name w:val="annotation text"/>
    <w:basedOn w:val="Normal"/>
    <w:link w:val="CommentTextChar"/>
    <w:uiPriority w:val="99"/>
    <w:rsid w:val="0021639A"/>
    <w:rPr>
      <w:sz w:val="20"/>
      <w:szCs w:val="20"/>
    </w:rPr>
  </w:style>
  <w:style w:type="character" w:customStyle="1" w:styleId="CommentTextChar">
    <w:name w:val="Comment Text Char"/>
    <w:link w:val="CommentText"/>
    <w:uiPriority w:val="99"/>
    <w:rsid w:val="0021639A"/>
    <w:rPr>
      <w:rFonts w:ascii="Trebuchet MS" w:hAnsi="Trebuchet MS"/>
    </w:rPr>
  </w:style>
  <w:style w:type="paragraph" w:styleId="CommentSubject">
    <w:name w:val="annotation subject"/>
    <w:basedOn w:val="CommentText"/>
    <w:next w:val="CommentText"/>
    <w:link w:val="CommentSubjectChar"/>
    <w:rsid w:val="0021639A"/>
    <w:rPr>
      <w:b/>
      <w:bCs/>
    </w:rPr>
  </w:style>
  <w:style w:type="character" w:customStyle="1" w:styleId="CommentSubjectChar">
    <w:name w:val="Comment Subject Char"/>
    <w:link w:val="CommentSubject"/>
    <w:rsid w:val="0021639A"/>
    <w:rPr>
      <w:rFonts w:ascii="Trebuchet MS" w:hAnsi="Trebuchet MS"/>
      <w:b/>
      <w:bCs/>
    </w:rPr>
  </w:style>
  <w:style w:type="paragraph" w:styleId="NormalWeb">
    <w:name w:val="Normal (Web)"/>
    <w:basedOn w:val="Normal"/>
    <w:uiPriority w:val="99"/>
    <w:unhideWhenUsed/>
    <w:rsid w:val="00344AA0"/>
    <w:pPr>
      <w:spacing w:before="100" w:beforeAutospacing="1" w:after="100" w:afterAutospacing="1"/>
    </w:pPr>
    <w:rPr>
      <w:rFonts w:ascii="Times New Roman" w:hAnsi="Times New Roman"/>
      <w:sz w:val="24"/>
      <w:lang w:val="en-US" w:eastAsia="en-US"/>
    </w:rPr>
  </w:style>
  <w:style w:type="paragraph" w:styleId="NoSpacing">
    <w:name w:val="No Spacing"/>
    <w:uiPriority w:val="1"/>
    <w:qFormat/>
    <w:rsid w:val="001F7A21"/>
    <w:pPr>
      <w:jc w:val="both"/>
    </w:pPr>
    <w:rPr>
      <w:rFonts w:ascii="Trebuchet MS" w:hAnsi="Trebuchet MS"/>
      <w:sz w:val="18"/>
      <w:szCs w:val="24"/>
    </w:rPr>
  </w:style>
  <w:style w:type="paragraph" w:styleId="Revision">
    <w:name w:val="Revision"/>
    <w:hidden/>
    <w:uiPriority w:val="99"/>
    <w:semiHidden/>
    <w:rsid w:val="00C71DD6"/>
    <w:rPr>
      <w:rFonts w:ascii="Trebuchet MS" w:hAnsi="Trebuchet MS"/>
      <w:sz w:val="18"/>
      <w:szCs w:val="24"/>
    </w:rPr>
  </w:style>
  <w:style w:type="character" w:customStyle="1" w:styleId="Heading2Char">
    <w:name w:val="Heading 2 Char"/>
    <w:link w:val="Heading2"/>
    <w:rsid w:val="002F6E28"/>
    <w:rPr>
      <w:rFonts w:ascii="Trebuchet MS" w:hAnsi="Trebuchet MS"/>
      <w:b/>
      <w:bCs/>
      <w:color w:val="007087"/>
      <w:kern w:val="32"/>
      <w:sz w:val="24"/>
      <w:szCs w:val="24"/>
    </w:rPr>
  </w:style>
  <w:style w:type="character" w:customStyle="1" w:styleId="Heading1Char">
    <w:name w:val="Heading 1 Char"/>
    <w:link w:val="Heading1"/>
    <w:rsid w:val="00515A38"/>
    <w:rPr>
      <w:rFonts w:ascii="Trebuchet MS" w:hAnsi="Trebuchet MS"/>
      <w:bCs/>
      <w:color w:val="007087"/>
      <w:kern w:val="32"/>
      <w:sz w:val="36"/>
      <w:szCs w:val="36"/>
    </w:rPr>
  </w:style>
  <w:style w:type="character" w:styleId="FollowedHyperlink">
    <w:name w:val="FollowedHyperlink"/>
    <w:rsid w:val="00331137"/>
    <w:rPr>
      <w:color w:val="800080"/>
      <w:u w:val="single"/>
    </w:rPr>
  </w:style>
  <w:style w:type="paragraph" w:styleId="Subtitle">
    <w:name w:val="Subtitle"/>
    <w:basedOn w:val="Heading2"/>
    <w:next w:val="Normal"/>
    <w:link w:val="SubtitleChar"/>
    <w:qFormat/>
    <w:rsid w:val="002F6E28"/>
    <w:pPr>
      <w:spacing w:before="60"/>
      <w:jc w:val="left"/>
    </w:pPr>
    <w:rPr>
      <w:sz w:val="20"/>
    </w:rPr>
  </w:style>
  <w:style w:type="character" w:customStyle="1" w:styleId="SubtitleChar">
    <w:name w:val="Subtitle Char"/>
    <w:link w:val="Subtitle"/>
    <w:rsid w:val="002F6E28"/>
    <w:rPr>
      <w:rFonts w:ascii="Trebuchet MS" w:hAnsi="Trebuchet MS"/>
      <w:b/>
      <w:bCs/>
      <w:color w:val="007087"/>
      <w:kern w:val="32"/>
      <w:szCs w:val="24"/>
    </w:rPr>
  </w:style>
  <w:style w:type="character" w:customStyle="1" w:styleId="FooterChar">
    <w:name w:val="Footer Char"/>
    <w:link w:val="Footer"/>
    <w:uiPriority w:val="99"/>
    <w:rsid w:val="00FB43B1"/>
    <w:rPr>
      <w:rFonts w:ascii="Trebuchet MS" w:hAnsi="Trebuchet MS"/>
      <w:sz w:val="18"/>
      <w:szCs w:val="24"/>
    </w:rPr>
  </w:style>
  <w:style w:type="character" w:styleId="SubtleEmphasis">
    <w:name w:val="Subtle Emphasis"/>
    <w:basedOn w:val="DefaultParagraphFont"/>
    <w:uiPriority w:val="19"/>
    <w:qFormat/>
    <w:rsid w:val="0022344D"/>
    <w:rPr>
      <w:rFonts w:ascii="Trebuchet MS" w:hAnsi="Trebuchet MS"/>
      <w:i/>
      <w:iCs/>
      <w:color w:val="808080" w:themeColor="text1" w:themeTint="7F"/>
      <w:sz w:val="16"/>
    </w:rPr>
  </w:style>
  <w:style w:type="paragraph" w:styleId="FootnoteText">
    <w:name w:val="footnote text"/>
    <w:basedOn w:val="Normal"/>
    <w:link w:val="FootnoteTextChar"/>
    <w:rsid w:val="00A2013C"/>
    <w:rPr>
      <w:sz w:val="20"/>
      <w:szCs w:val="20"/>
    </w:rPr>
  </w:style>
  <w:style w:type="character" w:customStyle="1" w:styleId="FootnoteTextChar">
    <w:name w:val="Footnote Text Char"/>
    <w:basedOn w:val="DefaultParagraphFont"/>
    <w:link w:val="FootnoteText"/>
    <w:rsid w:val="00A2013C"/>
    <w:rPr>
      <w:rFonts w:ascii="Trebuchet MS" w:hAnsi="Trebuchet MS"/>
      <w:shd w:val="clear" w:color="auto" w:fill="FFFFFF" w:themeFill="background1"/>
    </w:rPr>
  </w:style>
  <w:style w:type="character" w:styleId="FootnoteReference">
    <w:name w:val="footnote reference"/>
    <w:basedOn w:val="DefaultParagraphFont"/>
    <w:rsid w:val="00A2013C"/>
    <w:rPr>
      <w:vertAlign w:val="superscript"/>
    </w:rPr>
  </w:style>
  <w:style w:type="character" w:styleId="Emphasis">
    <w:name w:val="Emphasis"/>
    <w:basedOn w:val="DefaultParagraphFont"/>
    <w:qFormat/>
    <w:rsid w:val="009B1474"/>
    <w:rPr>
      <w:i/>
      <w:iCs/>
    </w:rPr>
  </w:style>
  <w:style w:type="paragraph" w:customStyle="1" w:styleId="kop">
    <w:name w:val="kop"/>
    <w:basedOn w:val="Normal"/>
    <w:rsid w:val="00C47686"/>
    <w:pPr>
      <w:spacing w:before="100" w:beforeAutospacing="1" w:after="100" w:afterAutospacing="1"/>
    </w:pPr>
    <w:rPr>
      <w:rFonts w:ascii="Times New Roman" w:hAnsi="Times New Roman"/>
      <w:sz w:val="24"/>
    </w:rPr>
  </w:style>
  <w:style w:type="table" w:styleId="TableGrid">
    <w:name w:val="Table Grid"/>
    <w:basedOn w:val="TableNormal"/>
    <w:rsid w:val="00D23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2F6E28"/>
    <w:pPr>
      <w:jc w:val="both"/>
    </w:pPr>
    <w:rPr>
      <w:rFonts w:ascii="Trebuchet MS" w:hAnsi="Trebuchet MS"/>
      <w:sz w:val="18"/>
      <w:szCs w:val="24"/>
    </w:rPr>
  </w:style>
  <w:style w:type="paragraph" w:styleId="Heading1">
    <w:name w:val="heading 1"/>
    <w:basedOn w:val="Normal"/>
    <w:next w:val="Normal"/>
    <w:link w:val="Heading1Char"/>
    <w:autoRedefine/>
    <w:qFormat/>
    <w:rsid w:val="00515A38"/>
    <w:pPr>
      <w:keepNext/>
      <w:spacing w:after="60"/>
      <w:outlineLvl w:val="0"/>
    </w:pPr>
    <w:rPr>
      <w:bCs/>
      <w:color w:val="007087"/>
      <w:kern w:val="32"/>
      <w:sz w:val="36"/>
      <w:szCs w:val="36"/>
    </w:rPr>
  </w:style>
  <w:style w:type="paragraph" w:styleId="Heading2">
    <w:name w:val="heading 2"/>
    <w:basedOn w:val="Normal"/>
    <w:next w:val="Normal"/>
    <w:link w:val="Heading2Char"/>
    <w:autoRedefine/>
    <w:qFormat/>
    <w:rsid w:val="002F6E28"/>
    <w:pPr>
      <w:keepNext/>
      <w:spacing w:after="60"/>
      <w:outlineLvl w:val="1"/>
    </w:pPr>
    <w:rPr>
      <w:b/>
      <w:bCs/>
      <w:color w:val="007087"/>
      <w:kern w:val="3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27B7"/>
    <w:pPr>
      <w:tabs>
        <w:tab w:val="center" w:pos="4536"/>
        <w:tab w:val="right" w:pos="9072"/>
      </w:tabs>
    </w:pPr>
  </w:style>
  <w:style w:type="paragraph" w:styleId="Footer">
    <w:name w:val="footer"/>
    <w:basedOn w:val="Normal"/>
    <w:link w:val="FooterChar"/>
    <w:uiPriority w:val="99"/>
    <w:rsid w:val="007927B7"/>
    <w:pPr>
      <w:tabs>
        <w:tab w:val="center" w:pos="4536"/>
        <w:tab w:val="right" w:pos="9072"/>
      </w:tabs>
    </w:pPr>
  </w:style>
  <w:style w:type="character" w:styleId="PageNumber">
    <w:name w:val="page number"/>
    <w:basedOn w:val="DefaultParagraphFont"/>
    <w:rsid w:val="007927B7"/>
  </w:style>
  <w:style w:type="paragraph" w:customStyle="1" w:styleId="textbold">
    <w:name w:val="text bold"/>
    <w:basedOn w:val="Normal"/>
    <w:next w:val="Normal"/>
    <w:link w:val="textboldChar"/>
    <w:rsid w:val="007B3A8E"/>
    <w:rPr>
      <w:b/>
    </w:rPr>
  </w:style>
  <w:style w:type="character" w:customStyle="1" w:styleId="textboldChar">
    <w:name w:val="text bold Char"/>
    <w:link w:val="textbold"/>
    <w:rsid w:val="007B3A8E"/>
    <w:rPr>
      <w:rFonts w:ascii="Trebuchet MS" w:hAnsi="Trebuchet MS"/>
      <w:b/>
      <w:sz w:val="18"/>
      <w:szCs w:val="24"/>
      <w:lang w:val="et-EE" w:eastAsia="et-EE" w:bidi="ar-SA"/>
    </w:rPr>
  </w:style>
  <w:style w:type="paragraph" w:customStyle="1" w:styleId="Style1">
    <w:name w:val="Style1"/>
    <w:basedOn w:val="Normal"/>
    <w:autoRedefine/>
    <w:rsid w:val="004B23F6"/>
    <w:pPr>
      <w:numPr>
        <w:numId w:val="14"/>
      </w:numPr>
      <w:tabs>
        <w:tab w:val="left" w:pos="-567"/>
      </w:tabs>
      <w:spacing w:before="120" w:after="120"/>
    </w:pPr>
    <w:rPr>
      <w:color w:val="FFFFFF"/>
    </w:rPr>
  </w:style>
  <w:style w:type="paragraph" w:customStyle="1" w:styleId="tabeliall">
    <w:name w:val="tabeli all"/>
    <w:basedOn w:val="Normal"/>
    <w:autoRedefine/>
    <w:rsid w:val="00373EEF"/>
    <w:pPr>
      <w:ind w:left="284"/>
    </w:pPr>
    <w:rPr>
      <w:i/>
      <w:color w:val="646464"/>
      <w:sz w:val="14"/>
    </w:rPr>
  </w:style>
  <w:style w:type="paragraph" w:customStyle="1" w:styleId="Style2">
    <w:name w:val="Style2"/>
    <w:basedOn w:val="Normal"/>
    <w:next w:val="tabeliall"/>
    <w:rsid w:val="00881947"/>
  </w:style>
  <w:style w:type="paragraph" w:styleId="BalloonText">
    <w:name w:val="Balloon Text"/>
    <w:basedOn w:val="Normal"/>
    <w:link w:val="BalloonTextChar"/>
    <w:rsid w:val="006455AB"/>
    <w:rPr>
      <w:rFonts w:ascii="Tahoma" w:hAnsi="Tahoma" w:cs="Tahoma"/>
      <w:sz w:val="16"/>
      <w:szCs w:val="16"/>
    </w:rPr>
  </w:style>
  <w:style w:type="character" w:customStyle="1" w:styleId="BalloonTextChar">
    <w:name w:val="Balloon Text Char"/>
    <w:link w:val="BalloonText"/>
    <w:rsid w:val="006455AB"/>
    <w:rPr>
      <w:rFonts w:ascii="Tahoma" w:hAnsi="Tahoma" w:cs="Tahoma"/>
      <w:sz w:val="16"/>
      <w:szCs w:val="16"/>
    </w:rPr>
  </w:style>
  <w:style w:type="character" w:styleId="Hyperlink">
    <w:name w:val="Hyperlink"/>
    <w:uiPriority w:val="99"/>
    <w:unhideWhenUsed/>
    <w:rsid w:val="003E4F21"/>
    <w:rPr>
      <w:color w:val="0000FF"/>
      <w:u w:val="single"/>
    </w:rPr>
  </w:style>
  <w:style w:type="paragraph" w:styleId="ListParagraph">
    <w:name w:val="List Paragraph"/>
    <w:basedOn w:val="Normal"/>
    <w:uiPriority w:val="34"/>
    <w:qFormat/>
    <w:rsid w:val="008361D3"/>
    <w:pPr>
      <w:spacing w:after="200" w:line="276" w:lineRule="auto"/>
      <w:ind w:left="720"/>
      <w:contextualSpacing/>
    </w:pPr>
    <w:rPr>
      <w:rFonts w:ascii="Calibri" w:eastAsia="Calibri" w:hAnsi="Calibri" w:cs="Calibri"/>
      <w:noProof/>
      <w:color w:val="000000"/>
      <w:sz w:val="22"/>
      <w:szCs w:val="22"/>
      <w:lang w:val="en-US" w:eastAsia="en-US"/>
    </w:rPr>
  </w:style>
  <w:style w:type="character" w:styleId="Strong">
    <w:name w:val="Strong"/>
    <w:uiPriority w:val="22"/>
    <w:qFormat/>
    <w:rsid w:val="008361D3"/>
    <w:rPr>
      <w:b/>
      <w:bCs/>
    </w:rPr>
  </w:style>
  <w:style w:type="paragraph" w:styleId="Caption">
    <w:name w:val="caption"/>
    <w:basedOn w:val="Normal"/>
    <w:next w:val="Normal"/>
    <w:unhideWhenUsed/>
    <w:qFormat/>
    <w:rsid w:val="00E54A6C"/>
    <w:pPr>
      <w:spacing w:after="200"/>
    </w:pPr>
    <w:rPr>
      <w:bCs/>
      <w:i/>
      <w:color w:val="808080"/>
      <w:sz w:val="14"/>
      <w:szCs w:val="18"/>
    </w:rPr>
  </w:style>
  <w:style w:type="character" w:styleId="CommentReference">
    <w:name w:val="annotation reference"/>
    <w:uiPriority w:val="99"/>
    <w:rsid w:val="0021639A"/>
    <w:rPr>
      <w:sz w:val="16"/>
      <w:szCs w:val="16"/>
    </w:rPr>
  </w:style>
  <w:style w:type="paragraph" w:styleId="CommentText">
    <w:name w:val="annotation text"/>
    <w:basedOn w:val="Normal"/>
    <w:link w:val="CommentTextChar"/>
    <w:uiPriority w:val="99"/>
    <w:rsid w:val="0021639A"/>
    <w:rPr>
      <w:sz w:val="20"/>
      <w:szCs w:val="20"/>
    </w:rPr>
  </w:style>
  <w:style w:type="character" w:customStyle="1" w:styleId="CommentTextChar">
    <w:name w:val="Comment Text Char"/>
    <w:link w:val="CommentText"/>
    <w:uiPriority w:val="99"/>
    <w:rsid w:val="0021639A"/>
    <w:rPr>
      <w:rFonts w:ascii="Trebuchet MS" w:hAnsi="Trebuchet MS"/>
    </w:rPr>
  </w:style>
  <w:style w:type="paragraph" w:styleId="CommentSubject">
    <w:name w:val="annotation subject"/>
    <w:basedOn w:val="CommentText"/>
    <w:next w:val="CommentText"/>
    <w:link w:val="CommentSubjectChar"/>
    <w:rsid w:val="0021639A"/>
    <w:rPr>
      <w:b/>
      <w:bCs/>
    </w:rPr>
  </w:style>
  <w:style w:type="character" w:customStyle="1" w:styleId="CommentSubjectChar">
    <w:name w:val="Comment Subject Char"/>
    <w:link w:val="CommentSubject"/>
    <w:rsid w:val="0021639A"/>
    <w:rPr>
      <w:rFonts w:ascii="Trebuchet MS" w:hAnsi="Trebuchet MS"/>
      <w:b/>
      <w:bCs/>
    </w:rPr>
  </w:style>
  <w:style w:type="paragraph" w:styleId="NormalWeb">
    <w:name w:val="Normal (Web)"/>
    <w:basedOn w:val="Normal"/>
    <w:uiPriority w:val="99"/>
    <w:unhideWhenUsed/>
    <w:rsid w:val="00344AA0"/>
    <w:pPr>
      <w:spacing w:before="100" w:beforeAutospacing="1" w:after="100" w:afterAutospacing="1"/>
    </w:pPr>
    <w:rPr>
      <w:rFonts w:ascii="Times New Roman" w:hAnsi="Times New Roman"/>
      <w:sz w:val="24"/>
      <w:lang w:val="en-US" w:eastAsia="en-US"/>
    </w:rPr>
  </w:style>
  <w:style w:type="paragraph" w:styleId="NoSpacing">
    <w:name w:val="No Spacing"/>
    <w:uiPriority w:val="1"/>
    <w:qFormat/>
    <w:rsid w:val="001F7A21"/>
    <w:pPr>
      <w:jc w:val="both"/>
    </w:pPr>
    <w:rPr>
      <w:rFonts w:ascii="Trebuchet MS" w:hAnsi="Trebuchet MS"/>
      <w:sz w:val="18"/>
      <w:szCs w:val="24"/>
    </w:rPr>
  </w:style>
  <w:style w:type="paragraph" w:styleId="Revision">
    <w:name w:val="Revision"/>
    <w:hidden/>
    <w:uiPriority w:val="99"/>
    <w:semiHidden/>
    <w:rsid w:val="00C71DD6"/>
    <w:rPr>
      <w:rFonts w:ascii="Trebuchet MS" w:hAnsi="Trebuchet MS"/>
      <w:sz w:val="18"/>
      <w:szCs w:val="24"/>
    </w:rPr>
  </w:style>
  <w:style w:type="character" w:customStyle="1" w:styleId="Heading2Char">
    <w:name w:val="Heading 2 Char"/>
    <w:link w:val="Heading2"/>
    <w:rsid w:val="002F6E28"/>
    <w:rPr>
      <w:rFonts w:ascii="Trebuchet MS" w:hAnsi="Trebuchet MS"/>
      <w:b/>
      <w:bCs/>
      <w:color w:val="007087"/>
      <w:kern w:val="32"/>
      <w:sz w:val="24"/>
      <w:szCs w:val="24"/>
    </w:rPr>
  </w:style>
  <w:style w:type="character" w:customStyle="1" w:styleId="Heading1Char">
    <w:name w:val="Heading 1 Char"/>
    <w:link w:val="Heading1"/>
    <w:rsid w:val="00515A38"/>
    <w:rPr>
      <w:rFonts w:ascii="Trebuchet MS" w:hAnsi="Trebuchet MS"/>
      <w:bCs/>
      <w:color w:val="007087"/>
      <w:kern w:val="32"/>
      <w:sz w:val="36"/>
      <w:szCs w:val="36"/>
    </w:rPr>
  </w:style>
  <w:style w:type="character" w:styleId="FollowedHyperlink">
    <w:name w:val="FollowedHyperlink"/>
    <w:rsid w:val="00331137"/>
    <w:rPr>
      <w:color w:val="800080"/>
      <w:u w:val="single"/>
    </w:rPr>
  </w:style>
  <w:style w:type="paragraph" w:styleId="Subtitle">
    <w:name w:val="Subtitle"/>
    <w:basedOn w:val="Heading2"/>
    <w:next w:val="Normal"/>
    <w:link w:val="SubtitleChar"/>
    <w:qFormat/>
    <w:rsid w:val="002F6E28"/>
    <w:pPr>
      <w:spacing w:before="60"/>
      <w:jc w:val="left"/>
    </w:pPr>
    <w:rPr>
      <w:sz w:val="20"/>
    </w:rPr>
  </w:style>
  <w:style w:type="character" w:customStyle="1" w:styleId="SubtitleChar">
    <w:name w:val="Subtitle Char"/>
    <w:link w:val="Subtitle"/>
    <w:rsid w:val="002F6E28"/>
    <w:rPr>
      <w:rFonts w:ascii="Trebuchet MS" w:hAnsi="Trebuchet MS"/>
      <w:b/>
      <w:bCs/>
      <w:color w:val="007087"/>
      <w:kern w:val="32"/>
      <w:szCs w:val="24"/>
    </w:rPr>
  </w:style>
  <w:style w:type="character" w:customStyle="1" w:styleId="FooterChar">
    <w:name w:val="Footer Char"/>
    <w:link w:val="Footer"/>
    <w:uiPriority w:val="99"/>
    <w:rsid w:val="00FB43B1"/>
    <w:rPr>
      <w:rFonts w:ascii="Trebuchet MS" w:hAnsi="Trebuchet MS"/>
      <w:sz w:val="18"/>
      <w:szCs w:val="24"/>
    </w:rPr>
  </w:style>
  <w:style w:type="character" w:styleId="SubtleEmphasis">
    <w:name w:val="Subtle Emphasis"/>
    <w:basedOn w:val="DefaultParagraphFont"/>
    <w:uiPriority w:val="19"/>
    <w:qFormat/>
    <w:rsid w:val="0022344D"/>
    <w:rPr>
      <w:rFonts w:ascii="Trebuchet MS" w:hAnsi="Trebuchet MS"/>
      <w:i/>
      <w:iCs/>
      <w:color w:val="808080" w:themeColor="text1" w:themeTint="7F"/>
      <w:sz w:val="16"/>
    </w:rPr>
  </w:style>
  <w:style w:type="paragraph" w:styleId="FootnoteText">
    <w:name w:val="footnote text"/>
    <w:basedOn w:val="Normal"/>
    <w:link w:val="FootnoteTextChar"/>
    <w:rsid w:val="00A2013C"/>
    <w:rPr>
      <w:sz w:val="20"/>
      <w:szCs w:val="20"/>
    </w:rPr>
  </w:style>
  <w:style w:type="character" w:customStyle="1" w:styleId="FootnoteTextChar">
    <w:name w:val="Footnote Text Char"/>
    <w:basedOn w:val="DefaultParagraphFont"/>
    <w:link w:val="FootnoteText"/>
    <w:rsid w:val="00A2013C"/>
    <w:rPr>
      <w:rFonts w:ascii="Trebuchet MS" w:hAnsi="Trebuchet MS"/>
      <w:shd w:val="clear" w:color="auto" w:fill="FFFFFF" w:themeFill="background1"/>
    </w:rPr>
  </w:style>
  <w:style w:type="character" w:styleId="FootnoteReference">
    <w:name w:val="footnote reference"/>
    <w:basedOn w:val="DefaultParagraphFont"/>
    <w:rsid w:val="00A2013C"/>
    <w:rPr>
      <w:vertAlign w:val="superscript"/>
    </w:rPr>
  </w:style>
  <w:style w:type="character" w:styleId="Emphasis">
    <w:name w:val="Emphasis"/>
    <w:basedOn w:val="DefaultParagraphFont"/>
    <w:qFormat/>
    <w:rsid w:val="009B1474"/>
    <w:rPr>
      <w:i/>
      <w:iCs/>
    </w:rPr>
  </w:style>
  <w:style w:type="paragraph" w:customStyle="1" w:styleId="kop">
    <w:name w:val="kop"/>
    <w:basedOn w:val="Normal"/>
    <w:rsid w:val="00C47686"/>
    <w:pPr>
      <w:spacing w:before="100" w:beforeAutospacing="1" w:after="100" w:afterAutospacing="1"/>
    </w:pPr>
    <w:rPr>
      <w:rFonts w:ascii="Times New Roman" w:hAnsi="Times New Roman"/>
      <w:sz w:val="24"/>
    </w:rPr>
  </w:style>
  <w:style w:type="table" w:styleId="TableGrid">
    <w:name w:val="Table Grid"/>
    <w:basedOn w:val="TableNormal"/>
    <w:rsid w:val="00D23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5263">
      <w:bodyDiv w:val="1"/>
      <w:marLeft w:val="0"/>
      <w:marRight w:val="0"/>
      <w:marTop w:val="0"/>
      <w:marBottom w:val="0"/>
      <w:divBdr>
        <w:top w:val="none" w:sz="0" w:space="0" w:color="auto"/>
        <w:left w:val="none" w:sz="0" w:space="0" w:color="auto"/>
        <w:bottom w:val="none" w:sz="0" w:space="0" w:color="auto"/>
        <w:right w:val="none" w:sz="0" w:space="0" w:color="auto"/>
      </w:divBdr>
    </w:div>
    <w:div w:id="134877905">
      <w:bodyDiv w:val="1"/>
      <w:marLeft w:val="0"/>
      <w:marRight w:val="0"/>
      <w:marTop w:val="0"/>
      <w:marBottom w:val="0"/>
      <w:divBdr>
        <w:top w:val="none" w:sz="0" w:space="0" w:color="auto"/>
        <w:left w:val="none" w:sz="0" w:space="0" w:color="auto"/>
        <w:bottom w:val="none" w:sz="0" w:space="0" w:color="auto"/>
        <w:right w:val="none" w:sz="0" w:space="0" w:color="auto"/>
      </w:divBdr>
    </w:div>
    <w:div w:id="148209047">
      <w:bodyDiv w:val="1"/>
      <w:marLeft w:val="0"/>
      <w:marRight w:val="0"/>
      <w:marTop w:val="0"/>
      <w:marBottom w:val="0"/>
      <w:divBdr>
        <w:top w:val="none" w:sz="0" w:space="0" w:color="auto"/>
        <w:left w:val="none" w:sz="0" w:space="0" w:color="auto"/>
        <w:bottom w:val="none" w:sz="0" w:space="0" w:color="auto"/>
        <w:right w:val="none" w:sz="0" w:space="0" w:color="auto"/>
      </w:divBdr>
    </w:div>
    <w:div w:id="160781803">
      <w:bodyDiv w:val="1"/>
      <w:marLeft w:val="0"/>
      <w:marRight w:val="0"/>
      <w:marTop w:val="0"/>
      <w:marBottom w:val="0"/>
      <w:divBdr>
        <w:top w:val="none" w:sz="0" w:space="0" w:color="auto"/>
        <w:left w:val="none" w:sz="0" w:space="0" w:color="auto"/>
        <w:bottom w:val="none" w:sz="0" w:space="0" w:color="auto"/>
        <w:right w:val="none" w:sz="0" w:space="0" w:color="auto"/>
      </w:divBdr>
    </w:div>
    <w:div w:id="162667569">
      <w:bodyDiv w:val="1"/>
      <w:marLeft w:val="0"/>
      <w:marRight w:val="0"/>
      <w:marTop w:val="0"/>
      <w:marBottom w:val="0"/>
      <w:divBdr>
        <w:top w:val="none" w:sz="0" w:space="0" w:color="auto"/>
        <w:left w:val="none" w:sz="0" w:space="0" w:color="auto"/>
        <w:bottom w:val="none" w:sz="0" w:space="0" w:color="auto"/>
        <w:right w:val="none" w:sz="0" w:space="0" w:color="auto"/>
      </w:divBdr>
    </w:div>
    <w:div w:id="195117746">
      <w:bodyDiv w:val="1"/>
      <w:marLeft w:val="0"/>
      <w:marRight w:val="0"/>
      <w:marTop w:val="0"/>
      <w:marBottom w:val="0"/>
      <w:divBdr>
        <w:top w:val="none" w:sz="0" w:space="0" w:color="auto"/>
        <w:left w:val="none" w:sz="0" w:space="0" w:color="auto"/>
        <w:bottom w:val="none" w:sz="0" w:space="0" w:color="auto"/>
        <w:right w:val="none" w:sz="0" w:space="0" w:color="auto"/>
      </w:divBdr>
    </w:div>
    <w:div w:id="204219211">
      <w:bodyDiv w:val="1"/>
      <w:marLeft w:val="0"/>
      <w:marRight w:val="0"/>
      <w:marTop w:val="0"/>
      <w:marBottom w:val="0"/>
      <w:divBdr>
        <w:top w:val="none" w:sz="0" w:space="0" w:color="auto"/>
        <w:left w:val="none" w:sz="0" w:space="0" w:color="auto"/>
        <w:bottom w:val="none" w:sz="0" w:space="0" w:color="auto"/>
        <w:right w:val="none" w:sz="0" w:space="0" w:color="auto"/>
      </w:divBdr>
    </w:div>
    <w:div w:id="209072617">
      <w:bodyDiv w:val="1"/>
      <w:marLeft w:val="0"/>
      <w:marRight w:val="0"/>
      <w:marTop w:val="0"/>
      <w:marBottom w:val="0"/>
      <w:divBdr>
        <w:top w:val="none" w:sz="0" w:space="0" w:color="auto"/>
        <w:left w:val="none" w:sz="0" w:space="0" w:color="auto"/>
        <w:bottom w:val="none" w:sz="0" w:space="0" w:color="auto"/>
        <w:right w:val="none" w:sz="0" w:space="0" w:color="auto"/>
      </w:divBdr>
    </w:div>
    <w:div w:id="247084455">
      <w:bodyDiv w:val="1"/>
      <w:marLeft w:val="0"/>
      <w:marRight w:val="0"/>
      <w:marTop w:val="0"/>
      <w:marBottom w:val="0"/>
      <w:divBdr>
        <w:top w:val="none" w:sz="0" w:space="0" w:color="auto"/>
        <w:left w:val="none" w:sz="0" w:space="0" w:color="auto"/>
        <w:bottom w:val="none" w:sz="0" w:space="0" w:color="auto"/>
        <w:right w:val="none" w:sz="0" w:space="0" w:color="auto"/>
      </w:divBdr>
    </w:div>
    <w:div w:id="288363106">
      <w:bodyDiv w:val="1"/>
      <w:marLeft w:val="0"/>
      <w:marRight w:val="0"/>
      <w:marTop w:val="0"/>
      <w:marBottom w:val="0"/>
      <w:divBdr>
        <w:top w:val="none" w:sz="0" w:space="0" w:color="auto"/>
        <w:left w:val="none" w:sz="0" w:space="0" w:color="auto"/>
        <w:bottom w:val="none" w:sz="0" w:space="0" w:color="auto"/>
        <w:right w:val="none" w:sz="0" w:space="0" w:color="auto"/>
      </w:divBdr>
    </w:div>
    <w:div w:id="294793113">
      <w:bodyDiv w:val="1"/>
      <w:marLeft w:val="0"/>
      <w:marRight w:val="0"/>
      <w:marTop w:val="0"/>
      <w:marBottom w:val="0"/>
      <w:divBdr>
        <w:top w:val="none" w:sz="0" w:space="0" w:color="auto"/>
        <w:left w:val="none" w:sz="0" w:space="0" w:color="auto"/>
        <w:bottom w:val="none" w:sz="0" w:space="0" w:color="auto"/>
        <w:right w:val="none" w:sz="0" w:space="0" w:color="auto"/>
      </w:divBdr>
    </w:div>
    <w:div w:id="304774531">
      <w:bodyDiv w:val="1"/>
      <w:marLeft w:val="0"/>
      <w:marRight w:val="0"/>
      <w:marTop w:val="0"/>
      <w:marBottom w:val="0"/>
      <w:divBdr>
        <w:top w:val="none" w:sz="0" w:space="0" w:color="auto"/>
        <w:left w:val="none" w:sz="0" w:space="0" w:color="auto"/>
        <w:bottom w:val="none" w:sz="0" w:space="0" w:color="auto"/>
        <w:right w:val="none" w:sz="0" w:space="0" w:color="auto"/>
      </w:divBdr>
    </w:div>
    <w:div w:id="386731979">
      <w:bodyDiv w:val="1"/>
      <w:marLeft w:val="0"/>
      <w:marRight w:val="0"/>
      <w:marTop w:val="0"/>
      <w:marBottom w:val="0"/>
      <w:divBdr>
        <w:top w:val="none" w:sz="0" w:space="0" w:color="auto"/>
        <w:left w:val="none" w:sz="0" w:space="0" w:color="auto"/>
        <w:bottom w:val="none" w:sz="0" w:space="0" w:color="auto"/>
        <w:right w:val="none" w:sz="0" w:space="0" w:color="auto"/>
      </w:divBdr>
    </w:div>
    <w:div w:id="402410706">
      <w:bodyDiv w:val="1"/>
      <w:marLeft w:val="0"/>
      <w:marRight w:val="0"/>
      <w:marTop w:val="0"/>
      <w:marBottom w:val="0"/>
      <w:divBdr>
        <w:top w:val="none" w:sz="0" w:space="0" w:color="auto"/>
        <w:left w:val="none" w:sz="0" w:space="0" w:color="auto"/>
        <w:bottom w:val="none" w:sz="0" w:space="0" w:color="auto"/>
        <w:right w:val="none" w:sz="0" w:space="0" w:color="auto"/>
      </w:divBdr>
    </w:div>
    <w:div w:id="420567384">
      <w:bodyDiv w:val="1"/>
      <w:marLeft w:val="0"/>
      <w:marRight w:val="0"/>
      <w:marTop w:val="0"/>
      <w:marBottom w:val="0"/>
      <w:divBdr>
        <w:top w:val="none" w:sz="0" w:space="0" w:color="auto"/>
        <w:left w:val="none" w:sz="0" w:space="0" w:color="auto"/>
        <w:bottom w:val="none" w:sz="0" w:space="0" w:color="auto"/>
        <w:right w:val="none" w:sz="0" w:space="0" w:color="auto"/>
      </w:divBdr>
    </w:div>
    <w:div w:id="612521160">
      <w:bodyDiv w:val="1"/>
      <w:marLeft w:val="0"/>
      <w:marRight w:val="0"/>
      <w:marTop w:val="0"/>
      <w:marBottom w:val="0"/>
      <w:divBdr>
        <w:top w:val="none" w:sz="0" w:space="0" w:color="auto"/>
        <w:left w:val="none" w:sz="0" w:space="0" w:color="auto"/>
        <w:bottom w:val="none" w:sz="0" w:space="0" w:color="auto"/>
        <w:right w:val="none" w:sz="0" w:space="0" w:color="auto"/>
      </w:divBdr>
    </w:div>
    <w:div w:id="623468973">
      <w:bodyDiv w:val="1"/>
      <w:marLeft w:val="0"/>
      <w:marRight w:val="0"/>
      <w:marTop w:val="0"/>
      <w:marBottom w:val="0"/>
      <w:divBdr>
        <w:top w:val="none" w:sz="0" w:space="0" w:color="auto"/>
        <w:left w:val="none" w:sz="0" w:space="0" w:color="auto"/>
        <w:bottom w:val="none" w:sz="0" w:space="0" w:color="auto"/>
        <w:right w:val="none" w:sz="0" w:space="0" w:color="auto"/>
      </w:divBdr>
    </w:div>
    <w:div w:id="681669482">
      <w:bodyDiv w:val="1"/>
      <w:marLeft w:val="0"/>
      <w:marRight w:val="0"/>
      <w:marTop w:val="0"/>
      <w:marBottom w:val="0"/>
      <w:divBdr>
        <w:top w:val="none" w:sz="0" w:space="0" w:color="auto"/>
        <w:left w:val="none" w:sz="0" w:space="0" w:color="auto"/>
        <w:bottom w:val="none" w:sz="0" w:space="0" w:color="auto"/>
        <w:right w:val="none" w:sz="0" w:space="0" w:color="auto"/>
      </w:divBdr>
    </w:div>
    <w:div w:id="684213687">
      <w:bodyDiv w:val="1"/>
      <w:marLeft w:val="0"/>
      <w:marRight w:val="0"/>
      <w:marTop w:val="0"/>
      <w:marBottom w:val="0"/>
      <w:divBdr>
        <w:top w:val="none" w:sz="0" w:space="0" w:color="auto"/>
        <w:left w:val="none" w:sz="0" w:space="0" w:color="auto"/>
        <w:bottom w:val="none" w:sz="0" w:space="0" w:color="auto"/>
        <w:right w:val="none" w:sz="0" w:space="0" w:color="auto"/>
      </w:divBdr>
    </w:div>
    <w:div w:id="692655743">
      <w:bodyDiv w:val="1"/>
      <w:marLeft w:val="0"/>
      <w:marRight w:val="0"/>
      <w:marTop w:val="0"/>
      <w:marBottom w:val="0"/>
      <w:divBdr>
        <w:top w:val="none" w:sz="0" w:space="0" w:color="auto"/>
        <w:left w:val="none" w:sz="0" w:space="0" w:color="auto"/>
        <w:bottom w:val="none" w:sz="0" w:space="0" w:color="auto"/>
        <w:right w:val="none" w:sz="0" w:space="0" w:color="auto"/>
      </w:divBdr>
    </w:div>
    <w:div w:id="817264303">
      <w:bodyDiv w:val="1"/>
      <w:marLeft w:val="0"/>
      <w:marRight w:val="0"/>
      <w:marTop w:val="0"/>
      <w:marBottom w:val="0"/>
      <w:divBdr>
        <w:top w:val="none" w:sz="0" w:space="0" w:color="auto"/>
        <w:left w:val="none" w:sz="0" w:space="0" w:color="auto"/>
        <w:bottom w:val="none" w:sz="0" w:space="0" w:color="auto"/>
        <w:right w:val="none" w:sz="0" w:space="0" w:color="auto"/>
      </w:divBdr>
    </w:div>
    <w:div w:id="836116333">
      <w:bodyDiv w:val="1"/>
      <w:marLeft w:val="0"/>
      <w:marRight w:val="0"/>
      <w:marTop w:val="0"/>
      <w:marBottom w:val="0"/>
      <w:divBdr>
        <w:top w:val="none" w:sz="0" w:space="0" w:color="auto"/>
        <w:left w:val="none" w:sz="0" w:space="0" w:color="auto"/>
        <w:bottom w:val="none" w:sz="0" w:space="0" w:color="auto"/>
        <w:right w:val="none" w:sz="0" w:space="0" w:color="auto"/>
      </w:divBdr>
    </w:div>
    <w:div w:id="844902561">
      <w:bodyDiv w:val="1"/>
      <w:marLeft w:val="0"/>
      <w:marRight w:val="0"/>
      <w:marTop w:val="0"/>
      <w:marBottom w:val="0"/>
      <w:divBdr>
        <w:top w:val="none" w:sz="0" w:space="0" w:color="auto"/>
        <w:left w:val="none" w:sz="0" w:space="0" w:color="auto"/>
        <w:bottom w:val="none" w:sz="0" w:space="0" w:color="auto"/>
        <w:right w:val="none" w:sz="0" w:space="0" w:color="auto"/>
      </w:divBdr>
    </w:div>
    <w:div w:id="867714671">
      <w:bodyDiv w:val="1"/>
      <w:marLeft w:val="0"/>
      <w:marRight w:val="0"/>
      <w:marTop w:val="0"/>
      <w:marBottom w:val="0"/>
      <w:divBdr>
        <w:top w:val="none" w:sz="0" w:space="0" w:color="auto"/>
        <w:left w:val="none" w:sz="0" w:space="0" w:color="auto"/>
        <w:bottom w:val="none" w:sz="0" w:space="0" w:color="auto"/>
        <w:right w:val="none" w:sz="0" w:space="0" w:color="auto"/>
      </w:divBdr>
    </w:div>
    <w:div w:id="872110408">
      <w:bodyDiv w:val="1"/>
      <w:marLeft w:val="0"/>
      <w:marRight w:val="0"/>
      <w:marTop w:val="0"/>
      <w:marBottom w:val="0"/>
      <w:divBdr>
        <w:top w:val="none" w:sz="0" w:space="0" w:color="auto"/>
        <w:left w:val="none" w:sz="0" w:space="0" w:color="auto"/>
        <w:bottom w:val="none" w:sz="0" w:space="0" w:color="auto"/>
        <w:right w:val="none" w:sz="0" w:space="0" w:color="auto"/>
      </w:divBdr>
    </w:div>
    <w:div w:id="925504763">
      <w:bodyDiv w:val="1"/>
      <w:marLeft w:val="0"/>
      <w:marRight w:val="0"/>
      <w:marTop w:val="0"/>
      <w:marBottom w:val="0"/>
      <w:divBdr>
        <w:top w:val="none" w:sz="0" w:space="0" w:color="auto"/>
        <w:left w:val="none" w:sz="0" w:space="0" w:color="auto"/>
        <w:bottom w:val="none" w:sz="0" w:space="0" w:color="auto"/>
        <w:right w:val="none" w:sz="0" w:space="0" w:color="auto"/>
      </w:divBdr>
    </w:div>
    <w:div w:id="926421181">
      <w:bodyDiv w:val="1"/>
      <w:marLeft w:val="0"/>
      <w:marRight w:val="0"/>
      <w:marTop w:val="0"/>
      <w:marBottom w:val="0"/>
      <w:divBdr>
        <w:top w:val="none" w:sz="0" w:space="0" w:color="auto"/>
        <w:left w:val="none" w:sz="0" w:space="0" w:color="auto"/>
        <w:bottom w:val="none" w:sz="0" w:space="0" w:color="auto"/>
        <w:right w:val="none" w:sz="0" w:space="0" w:color="auto"/>
      </w:divBdr>
    </w:div>
    <w:div w:id="967970311">
      <w:bodyDiv w:val="1"/>
      <w:marLeft w:val="0"/>
      <w:marRight w:val="0"/>
      <w:marTop w:val="0"/>
      <w:marBottom w:val="0"/>
      <w:divBdr>
        <w:top w:val="none" w:sz="0" w:space="0" w:color="auto"/>
        <w:left w:val="none" w:sz="0" w:space="0" w:color="auto"/>
        <w:bottom w:val="none" w:sz="0" w:space="0" w:color="auto"/>
        <w:right w:val="none" w:sz="0" w:space="0" w:color="auto"/>
      </w:divBdr>
    </w:div>
    <w:div w:id="990057571">
      <w:bodyDiv w:val="1"/>
      <w:marLeft w:val="0"/>
      <w:marRight w:val="0"/>
      <w:marTop w:val="0"/>
      <w:marBottom w:val="0"/>
      <w:divBdr>
        <w:top w:val="none" w:sz="0" w:space="0" w:color="auto"/>
        <w:left w:val="none" w:sz="0" w:space="0" w:color="auto"/>
        <w:bottom w:val="none" w:sz="0" w:space="0" w:color="auto"/>
        <w:right w:val="none" w:sz="0" w:space="0" w:color="auto"/>
      </w:divBdr>
    </w:div>
    <w:div w:id="1011684183">
      <w:bodyDiv w:val="1"/>
      <w:marLeft w:val="0"/>
      <w:marRight w:val="0"/>
      <w:marTop w:val="0"/>
      <w:marBottom w:val="0"/>
      <w:divBdr>
        <w:top w:val="none" w:sz="0" w:space="0" w:color="auto"/>
        <w:left w:val="none" w:sz="0" w:space="0" w:color="auto"/>
        <w:bottom w:val="none" w:sz="0" w:space="0" w:color="auto"/>
        <w:right w:val="none" w:sz="0" w:space="0" w:color="auto"/>
      </w:divBdr>
    </w:div>
    <w:div w:id="1055155374">
      <w:bodyDiv w:val="1"/>
      <w:marLeft w:val="0"/>
      <w:marRight w:val="0"/>
      <w:marTop w:val="0"/>
      <w:marBottom w:val="0"/>
      <w:divBdr>
        <w:top w:val="none" w:sz="0" w:space="0" w:color="auto"/>
        <w:left w:val="none" w:sz="0" w:space="0" w:color="auto"/>
        <w:bottom w:val="none" w:sz="0" w:space="0" w:color="auto"/>
        <w:right w:val="none" w:sz="0" w:space="0" w:color="auto"/>
      </w:divBdr>
    </w:div>
    <w:div w:id="1080978175">
      <w:bodyDiv w:val="1"/>
      <w:marLeft w:val="0"/>
      <w:marRight w:val="0"/>
      <w:marTop w:val="0"/>
      <w:marBottom w:val="0"/>
      <w:divBdr>
        <w:top w:val="none" w:sz="0" w:space="0" w:color="auto"/>
        <w:left w:val="none" w:sz="0" w:space="0" w:color="auto"/>
        <w:bottom w:val="none" w:sz="0" w:space="0" w:color="auto"/>
        <w:right w:val="none" w:sz="0" w:space="0" w:color="auto"/>
      </w:divBdr>
    </w:div>
    <w:div w:id="1105809060">
      <w:bodyDiv w:val="1"/>
      <w:marLeft w:val="0"/>
      <w:marRight w:val="0"/>
      <w:marTop w:val="0"/>
      <w:marBottom w:val="0"/>
      <w:divBdr>
        <w:top w:val="none" w:sz="0" w:space="0" w:color="auto"/>
        <w:left w:val="none" w:sz="0" w:space="0" w:color="auto"/>
        <w:bottom w:val="none" w:sz="0" w:space="0" w:color="auto"/>
        <w:right w:val="none" w:sz="0" w:space="0" w:color="auto"/>
      </w:divBdr>
    </w:div>
    <w:div w:id="1109933671">
      <w:bodyDiv w:val="1"/>
      <w:marLeft w:val="0"/>
      <w:marRight w:val="0"/>
      <w:marTop w:val="0"/>
      <w:marBottom w:val="0"/>
      <w:divBdr>
        <w:top w:val="none" w:sz="0" w:space="0" w:color="auto"/>
        <w:left w:val="none" w:sz="0" w:space="0" w:color="auto"/>
        <w:bottom w:val="none" w:sz="0" w:space="0" w:color="auto"/>
        <w:right w:val="none" w:sz="0" w:space="0" w:color="auto"/>
      </w:divBdr>
    </w:div>
    <w:div w:id="1127044397">
      <w:bodyDiv w:val="1"/>
      <w:marLeft w:val="0"/>
      <w:marRight w:val="0"/>
      <w:marTop w:val="0"/>
      <w:marBottom w:val="0"/>
      <w:divBdr>
        <w:top w:val="none" w:sz="0" w:space="0" w:color="auto"/>
        <w:left w:val="none" w:sz="0" w:space="0" w:color="auto"/>
        <w:bottom w:val="none" w:sz="0" w:space="0" w:color="auto"/>
        <w:right w:val="none" w:sz="0" w:space="0" w:color="auto"/>
      </w:divBdr>
    </w:div>
    <w:div w:id="1130586726">
      <w:bodyDiv w:val="1"/>
      <w:marLeft w:val="0"/>
      <w:marRight w:val="0"/>
      <w:marTop w:val="0"/>
      <w:marBottom w:val="0"/>
      <w:divBdr>
        <w:top w:val="none" w:sz="0" w:space="0" w:color="auto"/>
        <w:left w:val="none" w:sz="0" w:space="0" w:color="auto"/>
        <w:bottom w:val="none" w:sz="0" w:space="0" w:color="auto"/>
        <w:right w:val="none" w:sz="0" w:space="0" w:color="auto"/>
      </w:divBdr>
    </w:div>
    <w:div w:id="1169447863">
      <w:bodyDiv w:val="1"/>
      <w:marLeft w:val="0"/>
      <w:marRight w:val="0"/>
      <w:marTop w:val="0"/>
      <w:marBottom w:val="0"/>
      <w:divBdr>
        <w:top w:val="none" w:sz="0" w:space="0" w:color="auto"/>
        <w:left w:val="none" w:sz="0" w:space="0" w:color="auto"/>
        <w:bottom w:val="none" w:sz="0" w:space="0" w:color="auto"/>
        <w:right w:val="none" w:sz="0" w:space="0" w:color="auto"/>
      </w:divBdr>
    </w:div>
    <w:div w:id="1195581030">
      <w:bodyDiv w:val="1"/>
      <w:marLeft w:val="0"/>
      <w:marRight w:val="0"/>
      <w:marTop w:val="0"/>
      <w:marBottom w:val="0"/>
      <w:divBdr>
        <w:top w:val="none" w:sz="0" w:space="0" w:color="auto"/>
        <w:left w:val="none" w:sz="0" w:space="0" w:color="auto"/>
        <w:bottom w:val="none" w:sz="0" w:space="0" w:color="auto"/>
        <w:right w:val="none" w:sz="0" w:space="0" w:color="auto"/>
      </w:divBdr>
    </w:div>
    <w:div w:id="1243753675">
      <w:bodyDiv w:val="1"/>
      <w:marLeft w:val="0"/>
      <w:marRight w:val="0"/>
      <w:marTop w:val="0"/>
      <w:marBottom w:val="0"/>
      <w:divBdr>
        <w:top w:val="none" w:sz="0" w:space="0" w:color="auto"/>
        <w:left w:val="none" w:sz="0" w:space="0" w:color="auto"/>
        <w:bottom w:val="none" w:sz="0" w:space="0" w:color="auto"/>
        <w:right w:val="none" w:sz="0" w:space="0" w:color="auto"/>
      </w:divBdr>
    </w:div>
    <w:div w:id="1313873582">
      <w:bodyDiv w:val="1"/>
      <w:marLeft w:val="0"/>
      <w:marRight w:val="0"/>
      <w:marTop w:val="0"/>
      <w:marBottom w:val="0"/>
      <w:divBdr>
        <w:top w:val="none" w:sz="0" w:space="0" w:color="auto"/>
        <w:left w:val="none" w:sz="0" w:space="0" w:color="auto"/>
        <w:bottom w:val="none" w:sz="0" w:space="0" w:color="auto"/>
        <w:right w:val="none" w:sz="0" w:space="0" w:color="auto"/>
      </w:divBdr>
    </w:div>
    <w:div w:id="1351250527">
      <w:bodyDiv w:val="1"/>
      <w:marLeft w:val="0"/>
      <w:marRight w:val="0"/>
      <w:marTop w:val="0"/>
      <w:marBottom w:val="0"/>
      <w:divBdr>
        <w:top w:val="none" w:sz="0" w:space="0" w:color="auto"/>
        <w:left w:val="none" w:sz="0" w:space="0" w:color="auto"/>
        <w:bottom w:val="none" w:sz="0" w:space="0" w:color="auto"/>
        <w:right w:val="none" w:sz="0" w:space="0" w:color="auto"/>
      </w:divBdr>
    </w:div>
    <w:div w:id="1394424914">
      <w:bodyDiv w:val="1"/>
      <w:marLeft w:val="0"/>
      <w:marRight w:val="0"/>
      <w:marTop w:val="0"/>
      <w:marBottom w:val="0"/>
      <w:divBdr>
        <w:top w:val="none" w:sz="0" w:space="0" w:color="auto"/>
        <w:left w:val="none" w:sz="0" w:space="0" w:color="auto"/>
        <w:bottom w:val="none" w:sz="0" w:space="0" w:color="auto"/>
        <w:right w:val="none" w:sz="0" w:space="0" w:color="auto"/>
      </w:divBdr>
    </w:div>
    <w:div w:id="1427845708">
      <w:bodyDiv w:val="1"/>
      <w:marLeft w:val="0"/>
      <w:marRight w:val="0"/>
      <w:marTop w:val="0"/>
      <w:marBottom w:val="0"/>
      <w:divBdr>
        <w:top w:val="none" w:sz="0" w:space="0" w:color="auto"/>
        <w:left w:val="none" w:sz="0" w:space="0" w:color="auto"/>
        <w:bottom w:val="none" w:sz="0" w:space="0" w:color="auto"/>
        <w:right w:val="none" w:sz="0" w:space="0" w:color="auto"/>
      </w:divBdr>
    </w:div>
    <w:div w:id="1442338270">
      <w:bodyDiv w:val="1"/>
      <w:marLeft w:val="0"/>
      <w:marRight w:val="0"/>
      <w:marTop w:val="0"/>
      <w:marBottom w:val="0"/>
      <w:divBdr>
        <w:top w:val="none" w:sz="0" w:space="0" w:color="auto"/>
        <w:left w:val="none" w:sz="0" w:space="0" w:color="auto"/>
        <w:bottom w:val="none" w:sz="0" w:space="0" w:color="auto"/>
        <w:right w:val="none" w:sz="0" w:space="0" w:color="auto"/>
      </w:divBdr>
      <w:divsChild>
        <w:div w:id="134567360">
          <w:marLeft w:val="0"/>
          <w:marRight w:val="0"/>
          <w:marTop w:val="0"/>
          <w:marBottom w:val="0"/>
          <w:divBdr>
            <w:top w:val="none" w:sz="0" w:space="0" w:color="auto"/>
            <w:left w:val="none" w:sz="0" w:space="0" w:color="auto"/>
            <w:bottom w:val="none" w:sz="0" w:space="0" w:color="auto"/>
            <w:right w:val="none" w:sz="0" w:space="0" w:color="auto"/>
          </w:divBdr>
        </w:div>
        <w:div w:id="1722747948">
          <w:marLeft w:val="0"/>
          <w:marRight w:val="0"/>
          <w:marTop w:val="0"/>
          <w:marBottom w:val="0"/>
          <w:divBdr>
            <w:top w:val="none" w:sz="0" w:space="0" w:color="auto"/>
            <w:left w:val="none" w:sz="0" w:space="0" w:color="auto"/>
            <w:bottom w:val="none" w:sz="0" w:space="0" w:color="auto"/>
            <w:right w:val="none" w:sz="0" w:space="0" w:color="auto"/>
          </w:divBdr>
        </w:div>
      </w:divsChild>
    </w:div>
    <w:div w:id="1498618761">
      <w:bodyDiv w:val="1"/>
      <w:marLeft w:val="0"/>
      <w:marRight w:val="0"/>
      <w:marTop w:val="0"/>
      <w:marBottom w:val="0"/>
      <w:divBdr>
        <w:top w:val="none" w:sz="0" w:space="0" w:color="auto"/>
        <w:left w:val="none" w:sz="0" w:space="0" w:color="auto"/>
        <w:bottom w:val="none" w:sz="0" w:space="0" w:color="auto"/>
        <w:right w:val="none" w:sz="0" w:space="0" w:color="auto"/>
      </w:divBdr>
    </w:div>
    <w:div w:id="1534149641">
      <w:bodyDiv w:val="1"/>
      <w:marLeft w:val="0"/>
      <w:marRight w:val="0"/>
      <w:marTop w:val="0"/>
      <w:marBottom w:val="0"/>
      <w:divBdr>
        <w:top w:val="none" w:sz="0" w:space="0" w:color="auto"/>
        <w:left w:val="none" w:sz="0" w:space="0" w:color="auto"/>
        <w:bottom w:val="none" w:sz="0" w:space="0" w:color="auto"/>
        <w:right w:val="none" w:sz="0" w:space="0" w:color="auto"/>
      </w:divBdr>
    </w:div>
    <w:div w:id="1543399608">
      <w:bodyDiv w:val="1"/>
      <w:marLeft w:val="0"/>
      <w:marRight w:val="0"/>
      <w:marTop w:val="0"/>
      <w:marBottom w:val="0"/>
      <w:divBdr>
        <w:top w:val="none" w:sz="0" w:space="0" w:color="auto"/>
        <w:left w:val="none" w:sz="0" w:space="0" w:color="auto"/>
        <w:bottom w:val="none" w:sz="0" w:space="0" w:color="auto"/>
        <w:right w:val="none" w:sz="0" w:space="0" w:color="auto"/>
      </w:divBdr>
    </w:div>
    <w:div w:id="1579291259">
      <w:bodyDiv w:val="1"/>
      <w:marLeft w:val="0"/>
      <w:marRight w:val="0"/>
      <w:marTop w:val="0"/>
      <w:marBottom w:val="0"/>
      <w:divBdr>
        <w:top w:val="none" w:sz="0" w:space="0" w:color="auto"/>
        <w:left w:val="none" w:sz="0" w:space="0" w:color="auto"/>
        <w:bottom w:val="none" w:sz="0" w:space="0" w:color="auto"/>
        <w:right w:val="none" w:sz="0" w:space="0" w:color="auto"/>
      </w:divBdr>
    </w:div>
    <w:div w:id="1647200912">
      <w:bodyDiv w:val="1"/>
      <w:marLeft w:val="0"/>
      <w:marRight w:val="0"/>
      <w:marTop w:val="0"/>
      <w:marBottom w:val="0"/>
      <w:divBdr>
        <w:top w:val="none" w:sz="0" w:space="0" w:color="auto"/>
        <w:left w:val="none" w:sz="0" w:space="0" w:color="auto"/>
        <w:bottom w:val="none" w:sz="0" w:space="0" w:color="auto"/>
        <w:right w:val="none" w:sz="0" w:space="0" w:color="auto"/>
      </w:divBdr>
    </w:div>
    <w:div w:id="1677882550">
      <w:bodyDiv w:val="1"/>
      <w:marLeft w:val="0"/>
      <w:marRight w:val="0"/>
      <w:marTop w:val="0"/>
      <w:marBottom w:val="0"/>
      <w:divBdr>
        <w:top w:val="none" w:sz="0" w:space="0" w:color="auto"/>
        <w:left w:val="none" w:sz="0" w:space="0" w:color="auto"/>
        <w:bottom w:val="none" w:sz="0" w:space="0" w:color="auto"/>
        <w:right w:val="none" w:sz="0" w:space="0" w:color="auto"/>
      </w:divBdr>
    </w:div>
    <w:div w:id="1820459662">
      <w:bodyDiv w:val="1"/>
      <w:marLeft w:val="0"/>
      <w:marRight w:val="0"/>
      <w:marTop w:val="0"/>
      <w:marBottom w:val="0"/>
      <w:divBdr>
        <w:top w:val="none" w:sz="0" w:space="0" w:color="auto"/>
        <w:left w:val="none" w:sz="0" w:space="0" w:color="auto"/>
        <w:bottom w:val="none" w:sz="0" w:space="0" w:color="auto"/>
        <w:right w:val="none" w:sz="0" w:space="0" w:color="auto"/>
      </w:divBdr>
    </w:div>
    <w:div w:id="1823500916">
      <w:bodyDiv w:val="1"/>
      <w:marLeft w:val="0"/>
      <w:marRight w:val="0"/>
      <w:marTop w:val="0"/>
      <w:marBottom w:val="0"/>
      <w:divBdr>
        <w:top w:val="none" w:sz="0" w:space="0" w:color="auto"/>
        <w:left w:val="none" w:sz="0" w:space="0" w:color="auto"/>
        <w:bottom w:val="none" w:sz="0" w:space="0" w:color="auto"/>
        <w:right w:val="none" w:sz="0" w:space="0" w:color="auto"/>
      </w:divBdr>
    </w:div>
    <w:div w:id="1839728105">
      <w:bodyDiv w:val="1"/>
      <w:marLeft w:val="0"/>
      <w:marRight w:val="0"/>
      <w:marTop w:val="0"/>
      <w:marBottom w:val="0"/>
      <w:divBdr>
        <w:top w:val="none" w:sz="0" w:space="0" w:color="auto"/>
        <w:left w:val="none" w:sz="0" w:space="0" w:color="auto"/>
        <w:bottom w:val="none" w:sz="0" w:space="0" w:color="auto"/>
        <w:right w:val="none" w:sz="0" w:space="0" w:color="auto"/>
      </w:divBdr>
    </w:div>
    <w:div w:id="1843736261">
      <w:bodyDiv w:val="1"/>
      <w:marLeft w:val="0"/>
      <w:marRight w:val="0"/>
      <w:marTop w:val="0"/>
      <w:marBottom w:val="0"/>
      <w:divBdr>
        <w:top w:val="none" w:sz="0" w:space="0" w:color="auto"/>
        <w:left w:val="none" w:sz="0" w:space="0" w:color="auto"/>
        <w:bottom w:val="none" w:sz="0" w:space="0" w:color="auto"/>
        <w:right w:val="none" w:sz="0" w:space="0" w:color="auto"/>
      </w:divBdr>
    </w:div>
    <w:div w:id="1844273506">
      <w:bodyDiv w:val="1"/>
      <w:marLeft w:val="0"/>
      <w:marRight w:val="0"/>
      <w:marTop w:val="0"/>
      <w:marBottom w:val="0"/>
      <w:divBdr>
        <w:top w:val="none" w:sz="0" w:space="0" w:color="auto"/>
        <w:left w:val="none" w:sz="0" w:space="0" w:color="auto"/>
        <w:bottom w:val="none" w:sz="0" w:space="0" w:color="auto"/>
        <w:right w:val="none" w:sz="0" w:space="0" w:color="auto"/>
      </w:divBdr>
    </w:div>
    <w:div w:id="1850487418">
      <w:bodyDiv w:val="1"/>
      <w:marLeft w:val="0"/>
      <w:marRight w:val="0"/>
      <w:marTop w:val="0"/>
      <w:marBottom w:val="0"/>
      <w:divBdr>
        <w:top w:val="none" w:sz="0" w:space="0" w:color="auto"/>
        <w:left w:val="none" w:sz="0" w:space="0" w:color="auto"/>
        <w:bottom w:val="none" w:sz="0" w:space="0" w:color="auto"/>
        <w:right w:val="none" w:sz="0" w:space="0" w:color="auto"/>
      </w:divBdr>
    </w:div>
    <w:div w:id="1866363442">
      <w:bodyDiv w:val="1"/>
      <w:marLeft w:val="0"/>
      <w:marRight w:val="0"/>
      <w:marTop w:val="0"/>
      <w:marBottom w:val="0"/>
      <w:divBdr>
        <w:top w:val="none" w:sz="0" w:space="0" w:color="auto"/>
        <w:left w:val="none" w:sz="0" w:space="0" w:color="auto"/>
        <w:bottom w:val="none" w:sz="0" w:space="0" w:color="auto"/>
        <w:right w:val="none" w:sz="0" w:space="0" w:color="auto"/>
      </w:divBdr>
    </w:div>
    <w:div w:id="1874465543">
      <w:bodyDiv w:val="1"/>
      <w:marLeft w:val="0"/>
      <w:marRight w:val="0"/>
      <w:marTop w:val="0"/>
      <w:marBottom w:val="0"/>
      <w:divBdr>
        <w:top w:val="none" w:sz="0" w:space="0" w:color="auto"/>
        <w:left w:val="none" w:sz="0" w:space="0" w:color="auto"/>
        <w:bottom w:val="none" w:sz="0" w:space="0" w:color="auto"/>
        <w:right w:val="none" w:sz="0" w:space="0" w:color="auto"/>
      </w:divBdr>
    </w:div>
    <w:div w:id="1904635943">
      <w:bodyDiv w:val="1"/>
      <w:marLeft w:val="0"/>
      <w:marRight w:val="0"/>
      <w:marTop w:val="0"/>
      <w:marBottom w:val="0"/>
      <w:divBdr>
        <w:top w:val="none" w:sz="0" w:space="0" w:color="auto"/>
        <w:left w:val="none" w:sz="0" w:space="0" w:color="auto"/>
        <w:bottom w:val="none" w:sz="0" w:space="0" w:color="auto"/>
        <w:right w:val="none" w:sz="0" w:space="0" w:color="auto"/>
      </w:divBdr>
    </w:div>
    <w:div w:id="1915621085">
      <w:bodyDiv w:val="1"/>
      <w:marLeft w:val="0"/>
      <w:marRight w:val="0"/>
      <w:marTop w:val="0"/>
      <w:marBottom w:val="0"/>
      <w:divBdr>
        <w:top w:val="none" w:sz="0" w:space="0" w:color="auto"/>
        <w:left w:val="none" w:sz="0" w:space="0" w:color="auto"/>
        <w:bottom w:val="none" w:sz="0" w:space="0" w:color="auto"/>
        <w:right w:val="none" w:sz="0" w:space="0" w:color="auto"/>
      </w:divBdr>
    </w:div>
    <w:div w:id="1945569567">
      <w:bodyDiv w:val="1"/>
      <w:marLeft w:val="0"/>
      <w:marRight w:val="0"/>
      <w:marTop w:val="0"/>
      <w:marBottom w:val="0"/>
      <w:divBdr>
        <w:top w:val="none" w:sz="0" w:space="0" w:color="auto"/>
        <w:left w:val="none" w:sz="0" w:space="0" w:color="auto"/>
        <w:bottom w:val="none" w:sz="0" w:space="0" w:color="auto"/>
        <w:right w:val="none" w:sz="0" w:space="0" w:color="auto"/>
      </w:divBdr>
    </w:div>
    <w:div w:id="1954746753">
      <w:bodyDiv w:val="1"/>
      <w:marLeft w:val="0"/>
      <w:marRight w:val="0"/>
      <w:marTop w:val="0"/>
      <w:marBottom w:val="0"/>
      <w:divBdr>
        <w:top w:val="none" w:sz="0" w:space="0" w:color="auto"/>
        <w:left w:val="none" w:sz="0" w:space="0" w:color="auto"/>
        <w:bottom w:val="none" w:sz="0" w:space="0" w:color="auto"/>
        <w:right w:val="none" w:sz="0" w:space="0" w:color="auto"/>
      </w:divBdr>
    </w:div>
    <w:div w:id="1955206053">
      <w:bodyDiv w:val="1"/>
      <w:marLeft w:val="0"/>
      <w:marRight w:val="0"/>
      <w:marTop w:val="0"/>
      <w:marBottom w:val="0"/>
      <w:divBdr>
        <w:top w:val="none" w:sz="0" w:space="0" w:color="auto"/>
        <w:left w:val="none" w:sz="0" w:space="0" w:color="auto"/>
        <w:bottom w:val="none" w:sz="0" w:space="0" w:color="auto"/>
        <w:right w:val="none" w:sz="0" w:space="0" w:color="auto"/>
      </w:divBdr>
    </w:div>
    <w:div w:id="2005471050">
      <w:bodyDiv w:val="1"/>
      <w:marLeft w:val="0"/>
      <w:marRight w:val="0"/>
      <w:marTop w:val="0"/>
      <w:marBottom w:val="0"/>
      <w:divBdr>
        <w:top w:val="none" w:sz="0" w:space="0" w:color="auto"/>
        <w:left w:val="none" w:sz="0" w:space="0" w:color="auto"/>
        <w:bottom w:val="none" w:sz="0" w:space="0" w:color="auto"/>
        <w:right w:val="none" w:sz="0" w:space="0" w:color="auto"/>
      </w:divBdr>
    </w:div>
    <w:div w:id="2073232607">
      <w:bodyDiv w:val="1"/>
      <w:marLeft w:val="0"/>
      <w:marRight w:val="0"/>
      <w:marTop w:val="0"/>
      <w:marBottom w:val="0"/>
      <w:divBdr>
        <w:top w:val="none" w:sz="0" w:space="0" w:color="auto"/>
        <w:left w:val="none" w:sz="0" w:space="0" w:color="auto"/>
        <w:bottom w:val="none" w:sz="0" w:space="0" w:color="auto"/>
        <w:right w:val="none" w:sz="0" w:space="0" w:color="auto"/>
      </w:divBdr>
    </w:div>
    <w:div w:id="210175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7.png"/><Relationship Id="rId26" Type="http://schemas.openxmlformats.org/officeDocument/2006/relationships/hyperlink" Target="http://elering.ee/limiteeritud-ptr-ide-oksjon-2/" TargetMode="External"/><Relationship Id="rId3" Type="http://schemas.openxmlformats.org/officeDocument/2006/relationships/customXml" Target="../customXml/item3.xml"/><Relationship Id="rId21" Type="http://schemas.openxmlformats.org/officeDocument/2006/relationships/image" Target="media/image10.png"/><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ABAF5573C33EE4FB6786A3241CA8789" ma:contentTypeVersion="0" ma:contentTypeDescription="Loo uus dokument" ma:contentTypeScope="" ma:versionID="af37c160b9b2f0b72e9f721d54a7eeea">
  <xsd:schema xmlns:xsd="http://www.w3.org/2001/XMLSchema" xmlns:xs="http://www.w3.org/2001/XMLSchema" xmlns:p="http://schemas.microsoft.com/office/2006/metadata/properties" targetNamespace="http://schemas.microsoft.com/office/2006/metadata/properties" ma:root="true" ma:fieldsID="14a46fc3e594b771f5d822278c70fe8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8C3FA-1924-4857-8D6F-202F7D0D7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F3947E4-3257-4991-AC45-80C5E19B33A8}">
  <ds:schemaRefs>
    <ds:schemaRef ds:uri="http://schemas.microsoft.com/sharepoint/v3/contenttype/forms"/>
  </ds:schemaRefs>
</ds:datastoreItem>
</file>

<file path=customXml/itemProps3.xml><?xml version="1.0" encoding="utf-8"?>
<ds:datastoreItem xmlns:ds="http://schemas.openxmlformats.org/officeDocument/2006/customXml" ds:itemID="{E6B315F2-4805-4DD6-ACA1-9A7D5968D5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1273B3-25A3-4638-A0AB-A3DA1EB5A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1951</Words>
  <Characters>11317</Characters>
  <Application>Microsoft Office Word</Application>
  <DocSecurity>0</DocSecurity>
  <Lines>94</Lines>
  <Paragraphs>26</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Elektrituru kokkuvõte</vt:lpstr>
      <vt:lpstr>Pellentesque habitant morbi tristique senectus et netus et malesuada fames ac turpis egestas</vt:lpstr>
    </vt:vector>
  </TitlesOfParts>
  <Company>Velvet</Company>
  <LinksUpToDate>false</LinksUpToDate>
  <CharactersWithSpaces>13242</CharactersWithSpaces>
  <SharedDoc>false</SharedDoc>
  <HLinks>
    <vt:vector size="6" baseType="variant">
      <vt:variant>
        <vt:i4>7274603</vt:i4>
      </vt:variant>
      <vt:variant>
        <vt:i4>3</vt:i4>
      </vt:variant>
      <vt:variant>
        <vt:i4>0</vt:i4>
      </vt:variant>
      <vt:variant>
        <vt:i4>5</vt:i4>
      </vt:variant>
      <vt:variant>
        <vt:lpwstr>http://www.elering.ee/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Elektrituru kokkuvõte</dc:title>
  <dc:creator>Elering AS</dc:creator>
  <cp:lastModifiedBy>Kätlin Klemmer</cp:lastModifiedBy>
  <cp:revision>2</cp:revision>
  <cp:lastPrinted>2016-03-03T07:19:00Z</cp:lastPrinted>
  <dcterms:created xsi:type="dcterms:W3CDTF">2016-03-03T13:30:00Z</dcterms:created>
  <dcterms:modified xsi:type="dcterms:W3CDTF">2016-03-03T13:30:00Z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0x0101007ABAF5573C33EE4FB6786A3241CA8789</vt:lpwstr>
  </property>
</Properties>
</file>