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02C30" w14:textId="77777777" w:rsidR="00DF06B0" w:rsidRDefault="00DF06B0" w:rsidP="0022344D">
      <w:pPr>
        <w:sectPr w:rsidR="00DF06B0" w:rsidSect="00586362">
          <w:headerReference w:type="default" r:id="rId11"/>
          <w:footerReference w:type="default" r:id="rId12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736D8D39" w:rsidR="000710D4" w:rsidRPr="000710D4" w:rsidRDefault="008452A0" w:rsidP="0022344D">
      <w:pPr>
        <w:pStyle w:val="Heading1"/>
      </w:pPr>
      <w:r>
        <w:lastRenderedPageBreak/>
        <w:t>Elektriturg – 2015 detsember</w:t>
      </w:r>
    </w:p>
    <w:p w14:paraId="3786B4E0" w14:textId="21B9FEFC" w:rsidR="008452A0" w:rsidRDefault="00A333FE" w:rsidP="0022344D">
      <w:r>
        <w:t>2</w:t>
      </w:r>
      <w:r w:rsidR="001235C7">
        <w:t>1</w:t>
      </w:r>
      <w:r w:rsidR="008452A0">
        <w:t>.01.2016</w:t>
      </w:r>
    </w:p>
    <w:p w14:paraId="6EEF1A85" w14:textId="301FBBDC" w:rsidR="008452A0" w:rsidRDefault="008452A0" w:rsidP="008452A0">
      <w:pPr>
        <w:pStyle w:val="NoSpacing"/>
        <w:numPr>
          <w:ilvl w:val="0"/>
          <w:numId w:val="28"/>
        </w:numPr>
      </w:pPr>
      <w:r>
        <w:t>NPS Eesti hinnapiirkonna keskmine hind oli detsembris 26,72 €/MWh ehk kuises võrdluses ligi 19% madalam;</w:t>
      </w:r>
    </w:p>
    <w:p w14:paraId="7354F697" w14:textId="4AFCF378" w:rsidR="008452A0" w:rsidRDefault="008452A0" w:rsidP="008452A0">
      <w:pPr>
        <w:pStyle w:val="NoSpacing"/>
        <w:numPr>
          <w:ilvl w:val="0"/>
          <w:numId w:val="28"/>
        </w:numPr>
      </w:pPr>
      <w:r>
        <w:t xml:space="preserve">Põhjamaade elektribörsi Nord Pool </w:t>
      </w:r>
      <w:proofErr w:type="spellStart"/>
      <w:r>
        <w:t>Spot</w:t>
      </w:r>
      <w:proofErr w:type="spellEnd"/>
      <w:r>
        <w:t xml:space="preserve"> süsteemi-hind langes pea neljandiku võrra tasemele 18,85 €/MWh;</w:t>
      </w:r>
    </w:p>
    <w:p w14:paraId="7FC50852" w14:textId="7D49889E" w:rsidR="008452A0" w:rsidRDefault="008452A0" w:rsidP="008452A0">
      <w:pPr>
        <w:pStyle w:val="NoSpacing"/>
        <w:numPr>
          <w:ilvl w:val="0"/>
          <w:numId w:val="28"/>
        </w:numPr>
      </w:pPr>
      <w:r>
        <w:t>NPS Eesti ja NPS Läti hinnapiirkondade hinnad ühtisid D-1 ehk päev-ette turul 1</w:t>
      </w:r>
      <w:r w:rsidR="004D3B95">
        <w:t>52</w:t>
      </w:r>
      <w:r>
        <w:t xml:space="preserve"> tunnil ehk </w:t>
      </w:r>
      <w:r w:rsidR="004D3B95">
        <w:t>20</w:t>
      </w:r>
      <w:r>
        <w:t xml:space="preserve">% </w:t>
      </w:r>
      <w:r w:rsidR="004D3B95">
        <w:t>dets</w:t>
      </w:r>
      <w:r>
        <w:t>embri tundidest;</w:t>
      </w:r>
    </w:p>
    <w:p w14:paraId="311F4999" w14:textId="2B2557F6" w:rsidR="008452A0" w:rsidRDefault="008452A0" w:rsidP="0009431F">
      <w:pPr>
        <w:pStyle w:val="NoSpacing"/>
        <w:numPr>
          <w:ilvl w:val="0"/>
          <w:numId w:val="28"/>
        </w:numPr>
      </w:pPr>
      <w:r>
        <w:t xml:space="preserve">NPS Eesti ja NPS Soome päev-ette hinnad ühtisid </w:t>
      </w:r>
      <w:r w:rsidR="004D3B95">
        <w:t>detsembris 725</w:t>
      </w:r>
      <w:r>
        <w:t xml:space="preserve"> tunnil ehk </w:t>
      </w:r>
      <w:r w:rsidR="004D3B95">
        <w:t>97</w:t>
      </w:r>
      <w:r>
        <w:t>% ajast;</w:t>
      </w:r>
    </w:p>
    <w:p w14:paraId="7F997A47" w14:textId="04FDA090" w:rsidR="008452A0" w:rsidRPr="008452A0" w:rsidRDefault="004D3B95" w:rsidP="0009431F">
      <w:pPr>
        <w:pStyle w:val="NoSpacing"/>
        <w:numPr>
          <w:ilvl w:val="0"/>
          <w:numId w:val="28"/>
        </w:numPr>
      </w:pPr>
      <w:r>
        <w:t>Detsembri</w:t>
      </w:r>
      <w:r w:rsidR="008452A0">
        <w:t xml:space="preserve"> börsihindade erinevuse alusel maksid süsteemihaldurid limiteeritud PTR-e ostnud turu</w:t>
      </w:r>
      <w:r w:rsidR="002E69A8">
        <w:softHyphen/>
      </w:r>
      <w:r w:rsidR="008452A0">
        <w:t>osalistele kokku 2 miljonit eurot.</w:t>
      </w:r>
    </w:p>
    <w:p w14:paraId="4CCFC003" w14:textId="77777777" w:rsidR="008452A0" w:rsidRPr="008452A0" w:rsidRDefault="008452A0" w:rsidP="0022344D"/>
    <w:p w14:paraId="568AE7A7" w14:textId="21699167" w:rsidR="00052F09" w:rsidRDefault="002E69A8" w:rsidP="0022344D">
      <w:pPr>
        <w:pStyle w:val="Heading2"/>
      </w:pPr>
      <w:r>
        <w:t>Elektribörside hinnad</w:t>
      </w:r>
    </w:p>
    <w:p w14:paraId="6643ECEC" w14:textId="6FCA81B9" w:rsidR="00B82C56" w:rsidRDefault="002E69A8" w:rsidP="0022344D">
      <w:r>
        <w:t xml:space="preserve">Põhjamaade elektribörsil Nord Pool </w:t>
      </w:r>
      <w:proofErr w:type="spellStart"/>
      <w:r>
        <w:t>Spot</w:t>
      </w:r>
      <w:proofErr w:type="spellEnd"/>
      <w:r>
        <w:t xml:space="preserve"> (NPS) </w:t>
      </w:r>
      <w:r w:rsidR="00AA1B2E">
        <w:t xml:space="preserve">detsembris hinnad langesid kõikides hinnapiirkondades </w:t>
      </w:r>
      <w:r w:rsidR="00C63E2F">
        <w:t xml:space="preserve">5-7 eurot megavatt-tunni kohta ehk </w:t>
      </w:r>
      <w:r w:rsidR="00AA1B2E">
        <w:t>vähemalt 16%.</w:t>
      </w:r>
      <w:r>
        <w:t xml:space="preserve"> Taanis esines soodsate tuuleolude tõttu </w:t>
      </w:r>
      <w:r w:rsidR="00AA1B2E">
        <w:t>ka tunde, mil elektri hind oli negatiivne</w:t>
      </w:r>
      <w:r>
        <w:t xml:space="preserve"> </w:t>
      </w:r>
      <w:r w:rsidR="00AA1B2E">
        <w:t xml:space="preserve">ehk </w:t>
      </w:r>
      <w:r>
        <w:t>tarbimise eest</w:t>
      </w:r>
      <w:r w:rsidR="00AA1B2E">
        <w:t xml:space="preserve"> maksti peale (kuni 13,31 €/MWh)</w:t>
      </w:r>
      <w:r>
        <w:t xml:space="preserve">. Süsteemihind oli </w:t>
      </w:r>
      <w:r w:rsidR="00AA1B2E">
        <w:t>novembriga</w:t>
      </w:r>
      <w:r>
        <w:t xml:space="preserve"> võrrel</w:t>
      </w:r>
      <w:r w:rsidR="0022344D">
        <w:softHyphen/>
      </w:r>
      <w:r>
        <w:t xml:space="preserve">des </w:t>
      </w:r>
      <w:r w:rsidR="00AA1B2E">
        <w:t>24,2%</w:t>
      </w:r>
      <w:r>
        <w:t xml:space="preserve"> </w:t>
      </w:r>
      <w:r w:rsidR="00AA1B2E">
        <w:t>madalam (18,85 €/MWh)</w:t>
      </w:r>
      <w:r>
        <w:t>.</w:t>
      </w:r>
      <w:r w:rsidR="00C623E7">
        <w:t xml:space="preserve"> </w:t>
      </w:r>
      <w:r>
        <w:t xml:space="preserve">Madala hinna taga on </w:t>
      </w:r>
      <w:r w:rsidR="0022344D">
        <w:t>hea</w:t>
      </w:r>
      <w:r w:rsidR="00C623E7">
        <w:t>d veeolud elektri tootmiseks</w:t>
      </w:r>
      <w:r w:rsidR="0022344D">
        <w:t xml:space="preserve"> –</w:t>
      </w:r>
      <w:r>
        <w:t xml:space="preserve"> Norra, Rootsi ja</w:t>
      </w:r>
      <w:r w:rsidR="0022344D">
        <w:t xml:space="preserve"> Soome </w:t>
      </w:r>
      <w:proofErr w:type="spellStart"/>
      <w:r w:rsidR="0022344D">
        <w:t>hüdro</w:t>
      </w:r>
      <w:r w:rsidR="00C623E7">
        <w:softHyphen/>
      </w:r>
      <w:r w:rsidR="0022344D">
        <w:t>reservuaaride</w:t>
      </w:r>
      <w:proofErr w:type="spellEnd"/>
      <w:r w:rsidR="0022344D">
        <w:t xml:space="preserve"> täitu</w:t>
      </w:r>
      <w:r>
        <w:t>vus on eelnevate aast</w:t>
      </w:r>
      <w:r w:rsidR="0022344D">
        <w:t>atega võrreldes jätkuvalt ca 10 protsendi</w:t>
      </w:r>
      <w:r>
        <w:t xml:space="preserve">punkti võrra suurem olles </w:t>
      </w:r>
      <w:r w:rsidR="0022344D">
        <w:t>aasta</w:t>
      </w:r>
      <w:r>
        <w:t xml:space="preserve"> lõpus ~</w:t>
      </w:r>
      <w:r w:rsidR="0022344D">
        <w:t>79</w:t>
      </w:r>
      <w:r>
        <w:t>%</w:t>
      </w:r>
      <w:r w:rsidR="0022344D">
        <w:t xml:space="preserve"> tasemel</w:t>
      </w:r>
      <w:r>
        <w:t xml:space="preserve"> maksimaalsest (100% 02.01.2012 121 429 </w:t>
      </w:r>
      <w:proofErr w:type="spellStart"/>
      <w:r>
        <w:t>GWh</w:t>
      </w:r>
      <w:proofErr w:type="spellEnd"/>
      <w:r>
        <w:t>).</w:t>
      </w:r>
    </w:p>
    <w:p w14:paraId="29ABB134" w14:textId="77777777" w:rsidR="00B82C56" w:rsidRDefault="00B82C56" w:rsidP="0022344D"/>
    <w:p w14:paraId="3AB9E3B8" w14:textId="539E7FFF" w:rsidR="00B82C56" w:rsidRDefault="0022344D" w:rsidP="00C85D7A">
      <w:pPr>
        <w:spacing w:after="40"/>
      </w:pPr>
      <w:r>
        <w:rPr>
          <w:noProof/>
        </w:rPr>
        <w:drawing>
          <wp:inline distT="0" distB="0" distL="0" distR="0" wp14:anchorId="69F4C9C7" wp14:editId="12294090">
            <wp:extent cx="297180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12F82" w14:textId="2104C141" w:rsidR="0022344D" w:rsidRPr="0022344D" w:rsidRDefault="0022344D" w:rsidP="0022344D">
      <w:pPr>
        <w:rPr>
          <w:rStyle w:val="SubtleEmphasis"/>
        </w:rPr>
      </w:pPr>
      <w:proofErr w:type="spellStart"/>
      <w:r w:rsidRPr="0022344D">
        <w:rPr>
          <w:rStyle w:val="SubtleEmphasis"/>
        </w:rPr>
        <w:t>Hüdroreservuaaride</w:t>
      </w:r>
      <w:proofErr w:type="spellEnd"/>
      <w:r w:rsidRPr="0022344D">
        <w:rPr>
          <w:rStyle w:val="SubtleEmphasis"/>
        </w:rPr>
        <w:t xml:space="preserve"> täituvus Põhjamaades</w:t>
      </w:r>
      <w:r>
        <w:rPr>
          <w:rStyle w:val="SubtleEmphasis"/>
        </w:rPr>
        <w:t xml:space="preserve"> 2011-2015</w:t>
      </w:r>
    </w:p>
    <w:p w14:paraId="0861DCCB" w14:textId="77777777" w:rsidR="00B82C56" w:rsidRDefault="00B82C56" w:rsidP="0022344D"/>
    <w:p w14:paraId="2D600E25" w14:textId="0471DA2B" w:rsidR="00B82C56" w:rsidRDefault="0022344D" w:rsidP="0022344D">
      <w:r>
        <w:t xml:space="preserve">Elektri tootmine kasvas </w:t>
      </w:r>
      <w:r w:rsidR="00C63E2F">
        <w:t>kõigis Põhjamaades: Norras 6%, Rootsis 8%, Soomes 9% ja Taanis 23%.</w:t>
      </w:r>
      <w:r w:rsidR="00C623E7">
        <w:t xml:space="preserve"> Tarbimine kasvas samuti:</w:t>
      </w:r>
      <w:r w:rsidR="00C623E7" w:rsidRPr="00C623E7">
        <w:t xml:space="preserve"> </w:t>
      </w:r>
      <w:r w:rsidR="00C623E7">
        <w:t>Norras 10%, Rootsis 8%, Soomes 5% ja Taanis 3%. Kokkuvõttes tähendas see seda, et Norra sisemaine toot</w:t>
      </w:r>
      <w:r w:rsidR="00C25E0A">
        <w:softHyphen/>
      </w:r>
      <w:r w:rsidR="00C623E7">
        <w:t>mine ületas tarbimist 7% ning Rootsis 10%. Soome kattis oma toodanguga 82% tarbimisest. Taani suutis talve</w:t>
      </w:r>
      <w:r w:rsidR="00C25E0A">
        <w:softHyphen/>
      </w:r>
      <w:r w:rsidR="00C623E7">
        <w:t>kuudele omaselt katta kogu tarbimise oma toodanguga – tootmine ületas 3% võrra tarbimist.</w:t>
      </w:r>
    </w:p>
    <w:p w14:paraId="590B7655" w14:textId="77777777" w:rsidR="00B82C56" w:rsidRDefault="00B82C56" w:rsidP="0022344D"/>
    <w:p w14:paraId="27C7935E" w14:textId="6E13C954" w:rsidR="00B82C56" w:rsidRDefault="00AF5480" w:rsidP="0022344D">
      <w:r>
        <w:t>Lätis langes elektri hind 16,2 ja Leedus 16,4%, olles kõiki</w:t>
      </w:r>
      <w:r w:rsidR="00C25E0A">
        <w:softHyphen/>
      </w:r>
      <w:r>
        <w:t xml:space="preserve">del detsembrikuu tundidel </w:t>
      </w:r>
      <w:r w:rsidR="00354CE0">
        <w:t>võrdne</w:t>
      </w:r>
      <w:r>
        <w:t>. Eelmise aasta det</w:t>
      </w:r>
      <w:r w:rsidR="00354CE0">
        <w:softHyphen/>
      </w:r>
      <w:r>
        <w:t xml:space="preserve">sembriga võrreldes on hind </w:t>
      </w:r>
      <w:r w:rsidR="008D6ED6">
        <w:t xml:space="preserve">megavatt-tunni kohta </w:t>
      </w:r>
      <w:r>
        <w:t xml:space="preserve">ca 10 € võrra madalam, </w:t>
      </w:r>
      <w:r w:rsidR="008D6ED6">
        <w:t xml:space="preserve">kuid </w:t>
      </w:r>
      <w:r>
        <w:t xml:space="preserve">samas on </w:t>
      </w:r>
      <w:r w:rsidR="008D6ED6">
        <w:t xml:space="preserve">siiski </w:t>
      </w:r>
      <w:r>
        <w:t>tegemist Nord</w:t>
      </w:r>
      <w:r w:rsidR="00354CE0">
        <w:t xml:space="preserve"> </w:t>
      </w:r>
      <w:r>
        <w:t>Pool</w:t>
      </w:r>
      <w:r w:rsidR="00507EF3">
        <w:t xml:space="preserve"> </w:t>
      </w:r>
      <w:proofErr w:type="spellStart"/>
      <w:r>
        <w:t>Spot</w:t>
      </w:r>
      <w:proofErr w:type="spellEnd"/>
      <w:r>
        <w:t xml:space="preserve"> börsi kõrgeimate hindadega</w:t>
      </w:r>
      <w:r w:rsidR="008D6ED6">
        <w:t>.</w:t>
      </w:r>
      <w:r>
        <w:t xml:space="preserve"> </w:t>
      </w:r>
      <w:r w:rsidR="008D6ED6">
        <w:t>K</w:t>
      </w:r>
      <w:r>
        <w:t xml:space="preserve">eskmine hind </w:t>
      </w:r>
      <w:r w:rsidR="008D6ED6">
        <w:t xml:space="preserve">Läti ja Leedu hinnapiirkondades </w:t>
      </w:r>
      <w:r>
        <w:t xml:space="preserve">on üle 40% kallim kui </w:t>
      </w:r>
      <w:r w:rsidR="00D231C5">
        <w:t>Eestis ja Soomes ning kahekordne võrreldes teiste Põhjamaadega</w:t>
      </w:r>
      <w:r>
        <w:t>.</w:t>
      </w:r>
    </w:p>
    <w:p w14:paraId="2E6D339F" w14:textId="77777777" w:rsidR="00B82C56" w:rsidRDefault="00B82C56" w:rsidP="0022344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554"/>
      </w:tblGrid>
      <w:tr w:rsidR="00D231C5" w:rsidRPr="00D231C5" w14:paraId="765CEC47" w14:textId="77777777" w:rsidTr="00C85D7A">
        <w:tc>
          <w:tcPr>
            <w:tcW w:w="1560" w:type="dxa"/>
            <w:vMerge w:val="restart"/>
            <w:shd w:val="clear" w:color="auto" w:fill="007087"/>
            <w:vAlign w:val="center"/>
          </w:tcPr>
          <w:p w14:paraId="45A222A0" w14:textId="20267F09" w:rsidR="00D231C5" w:rsidRPr="00D231C5" w:rsidRDefault="00D231C5" w:rsidP="00D231C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lastRenderedPageBreak/>
              <w:t>Hinnapiirkond</w:t>
            </w:r>
          </w:p>
        </w:tc>
        <w:tc>
          <w:tcPr>
            <w:tcW w:w="3113" w:type="dxa"/>
            <w:gridSpan w:val="2"/>
            <w:shd w:val="clear" w:color="auto" w:fill="007087"/>
            <w:vAlign w:val="center"/>
          </w:tcPr>
          <w:p w14:paraId="2F088ED9" w14:textId="2C845D3A" w:rsidR="00D231C5" w:rsidRPr="00D231C5" w:rsidRDefault="00D231C5" w:rsidP="00D231C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D231C5" w:rsidRPr="00D231C5" w14:paraId="2A57DD93" w14:textId="77777777" w:rsidTr="00C85D7A">
        <w:tc>
          <w:tcPr>
            <w:tcW w:w="1560" w:type="dxa"/>
            <w:vMerge/>
            <w:shd w:val="clear" w:color="auto" w:fill="007087"/>
            <w:vAlign w:val="center"/>
          </w:tcPr>
          <w:p w14:paraId="65E14AA4" w14:textId="77777777" w:rsidR="00D231C5" w:rsidRPr="00D231C5" w:rsidRDefault="00D231C5" w:rsidP="00D231C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7087"/>
            <w:vAlign w:val="center"/>
          </w:tcPr>
          <w:p w14:paraId="0EF95052" w14:textId="6DECA3C9" w:rsidR="00D231C5" w:rsidRPr="00D231C5" w:rsidRDefault="00D231C5" w:rsidP="00D231C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2015 detsember</w:t>
            </w:r>
          </w:p>
        </w:tc>
        <w:tc>
          <w:tcPr>
            <w:tcW w:w="1554" w:type="dxa"/>
            <w:shd w:val="clear" w:color="auto" w:fill="007087"/>
            <w:vAlign w:val="center"/>
          </w:tcPr>
          <w:p w14:paraId="0D8B0BFF" w14:textId="5B668D48" w:rsidR="00D231C5" w:rsidRPr="00D231C5" w:rsidRDefault="00D231C5" w:rsidP="00D231C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 xml:space="preserve">2015 </w:t>
            </w:r>
            <w:r>
              <w:rPr>
                <w:b/>
                <w:color w:val="FFFFFF" w:themeColor="background1"/>
                <w:sz w:val="16"/>
                <w:szCs w:val="16"/>
              </w:rPr>
              <w:t>november</w:t>
            </w:r>
          </w:p>
        </w:tc>
      </w:tr>
      <w:tr w:rsidR="00D231C5" w:rsidRPr="00D231C5" w14:paraId="7E42BB8B" w14:textId="77777777" w:rsidTr="00C85D7A">
        <w:tc>
          <w:tcPr>
            <w:tcW w:w="1560" w:type="dxa"/>
            <w:vAlign w:val="center"/>
          </w:tcPr>
          <w:p w14:paraId="07DC2320" w14:textId="7DAE48F6" w:rsidR="00D231C5" w:rsidRPr="00D231C5" w:rsidRDefault="00D231C5" w:rsidP="00D231C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NPS Eesti</w:t>
            </w:r>
          </w:p>
        </w:tc>
        <w:tc>
          <w:tcPr>
            <w:tcW w:w="1559" w:type="dxa"/>
            <w:vAlign w:val="center"/>
          </w:tcPr>
          <w:p w14:paraId="233C4A7C" w14:textId="0E48657D" w:rsidR="00D231C5" w:rsidRPr="00D231C5" w:rsidRDefault="00D231C5" w:rsidP="00D231C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26,72</w:t>
            </w:r>
          </w:p>
        </w:tc>
        <w:tc>
          <w:tcPr>
            <w:tcW w:w="1554" w:type="dxa"/>
            <w:vAlign w:val="center"/>
          </w:tcPr>
          <w:p w14:paraId="5B0231F0" w14:textId="2A544284" w:rsidR="00D231C5" w:rsidRPr="00D231C5" w:rsidRDefault="00D231C5" w:rsidP="00D231C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32,88</w:t>
            </w:r>
          </w:p>
        </w:tc>
      </w:tr>
      <w:tr w:rsidR="00D231C5" w:rsidRPr="00D231C5" w14:paraId="22379ACD" w14:textId="77777777" w:rsidTr="00C85D7A">
        <w:tc>
          <w:tcPr>
            <w:tcW w:w="1560" w:type="dxa"/>
            <w:vAlign w:val="center"/>
          </w:tcPr>
          <w:p w14:paraId="6121D142" w14:textId="6630EBCA" w:rsidR="00D231C5" w:rsidRPr="00D231C5" w:rsidRDefault="00D231C5" w:rsidP="00D231C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NPS Läti</w:t>
            </w:r>
          </w:p>
        </w:tc>
        <w:tc>
          <w:tcPr>
            <w:tcW w:w="1559" w:type="dxa"/>
            <w:vAlign w:val="center"/>
          </w:tcPr>
          <w:p w14:paraId="6965C44A" w14:textId="0A482002" w:rsidR="00D231C5" w:rsidRPr="00D231C5" w:rsidRDefault="00D231C5" w:rsidP="00D231C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38,34</w:t>
            </w:r>
          </w:p>
        </w:tc>
        <w:tc>
          <w:tcPr>
            <w:tcW w:w="1554" w:type="dxa"/>
            <w:vAlign w:val="center"/>
          </w:tcPr>
          <w:p w14:paraId="002839A2" w14:textId="7D889C63" w:rsidR="00D231C5" w:rsidRPr="00D231C5" w:rsidRDefault="00D231C5" w:rsidP="00D231C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45,76</w:t>
            </w:r>
          </w:p>
        </w:tc>
      </w:tr>
      <w:tr w:rsidR="00D231C5" w:rsidRPr="00D231C5" w14:paraId="087E262F" w14:textId="77777777" w:rsidTr="00C85D7A">
        <w:tc>
          <w:tcPr>
            <w:tcW w:w="1560" w:type="dxa"/>
            <w:vAlign w:val="center"/>
          </w:tcPr>
          <w:p w14:paraId="4A3A5EA0" w14:textId="7DD29D63" w:rsidR="00D231C5" w:rsidRPr="00D231C5" w:rsidRDefault="00D231C5" w:rsidP="00D231C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NPS Leedu</w:t>
            </w:r>
          </w:p>
        </w:tc>
        <w:tc>
          <w:tcPr>
            <w:tcW w:w="1559" w:type="dxa"/>
            <w:vAlign w:val="center"/>
          </w:tcPr>
          <w:p w14:paraId="3C4CF22C" w14:textId="0C009B09" w:rsidR="00D231C5" w:rsidRPr="00D231C5" w:rsidRDefault="00D231C5" w:rsidP="00D231C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38,34</w:t>
            </w:r>
          </w:p>
        </w:tc>
        <w:tc>
          <w:tcPr>
            <w:tcW w:w="1554" w:type="dxa"/>
            <w:vAlign w:val="center"/>
          </w:tcPr>
          <w:p w14:paraId="6EF357DA" w14:textId="7CE48B61" w:rsidR="00D231C5" w:rsidRPr="00D231C5" w:rsidRDefault="00D231C5" w:rsidP="00D231C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45,84</w:t>
            </w:r>
          </w:p>
        </w:tc>
      </w:tr>
      <w:tr w:rsidR="00D231C5" w:rsidRPr="00D231C5" w14:paraId="275EA157" w14:textId="77777777" w:rsidTr="00C85D7A">
        <w:tc>
          <w:tcPr>
            <w:tcW w:w="1560" w:type="dxa"/>
            <w:vAlign w:val="center"/>
          </w:tcPr>
          <w:p w14:paraId="67811784" w14:textId="746058B9" w:rsidR="00D231C5" w:rsidRDefault="00D231C5" w:rsidP="00D231C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NPS Soome</w:t>
            </w:r>
          </w:p>
        </w:tc>
        <w:tc>
          <w:tcPr>
            <w:tcW w:w="1559" w:type="dxa"/>
            <w:vAlign w:val="center"/>
          </w:tcPr>
          <w:p w14:paraId="5E701C43" w14:textId="0A6A2F40" w:rsidR="00D231C5" w:rsidRPr="00D231C5" w:rsidRDefault="00D231C5" w:rsidP="00D231C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26,56</w:t>
            </w:r>
          </w:p>
        </w:tc>
        <w:tc>
          <w:tcPr>
            <w:tcW w:w="1554" w:type="dxa"/>
            <w:vAlign w:val="center"/>
          </w:tcPr>
          <w:p w14:paraId="0DF9131B" w14:textId="66C40D89" w:rsidR="00D231C5" w:rsidRPr="00D231C5" w:rsidRDefault="00D231C5" w:rsidP="00D231C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31,74</w:t>
            </w:r>
          </w:p>
        </w:tc>
      </w:tr>
    </w:tbl>
    <w:p w14:paraId="035D492C" w14:textId="77777777" w:rsidR="00C50744" w:rsidRDefault="00C50744" w:rsidP="00C50744">
      <w:pPr>
        <w:pStyle w:val="NoSpacing"/>
      </w:pPr>
    </w:p>
    <w:p w14:paraId="26A35EA0" w14:textId="5F2E25D2" w:rsidR="00D231C5" w:rsidRDefault="00F1755A" w:rsidP="00C50744">
      <w:pPr>
        <w:pStyle w:val="NoSpacing"/>
      </w:pPr>
      <w:proofErr w:type="spellStart"/>
      <w:r w:rsidRPr="00F1755A">
        <w:t>European</w:t>
      </w:r>
      <w:proofErr w:type="spellEnd"/>
      <w:r w:rsidRPr="00F1755A">
        <w:t xml:space="preserve"> </w:t>
      </w:r>
      <w:proofErr w:type="spellStart"/>
      <w:r w:rsidRPr="00F1755A">
        <w:t>Power</w:t>
      </w:r>
      <w:proofErr w:type="spellEnd"/>
      <w:r w:rsidRPr="00F1755A">
        <w:t xml:space="preserve"> Exchange’i (EPEX SPOT) ELIX (</w:t>
      </w:r>
      <w:proofErr w:type="spellStart"/>
      <w:r w:rsidRPr="00F1755A">
        <w:t>European</w:t>
      </w:r>
      <w:proofErr w:type="spellEnd"/>
      <w:r w:rsidRPr="00F1755A">
        <w:t xml:space="preserve"> </w:t>
      </w:r>
      <w:proofErr w:type="spellStart"/>
      <w:r w:rsidRPr="00F1755A">
        <w:t>Electricity</w:t>
      </w:r>
      <w:proofErr w:type="spellEnd"/>
      <w:r w:rsidRPr="00F1755A">
        <w:t xml:space="preserve"> </w:t>
      </w:r>
      <w:proofErr w:type="spellStart"/>
      <w:r w:rsidRPr="00F1755A">
        <w:t>Index</w:t>
      </w:r>
      <w:proofErr w:type="spellEnd"/>
      <w:r w:rsidRPr="00F1755A">
        <w:t>) baaskoormuse ja tipukoormuse keskmi</w:t>
      </w:r>
      <w:r w:rsidR="00620473">
        <w:softHyphen/>
      </w:r>
      <w:r w:rsidRPr="00F1755A">
        <w:t xml:space="preserve">sed hinnad langesid </w:t>
      </w:r>
      <w:r w:rsidR="00620473">
        <w:t>ka detsembris</w:t>
      </w:r>
      <w:r w:rsidRPr="00F1755A">
        <w:t xml:space="preserve"> vastavalt 1</w:t>
      </w:r>
      <w:r w:rsidR="00620473">
        <w:t>7</w:t>
      </w:r>
      <w:r w:rsidRPr="00F1755A">
        <w:t>,</w:t>
      </w:r>
      <w:r w:rsidR="00620473">
        <w:t>7</w:t>
      </w:r>
      <w:r w:rsidRPr="00F1755A">
        <w:t>% (</w:t>
      </w:r>
      <w:r w:rsidR="00620473">
        <w:t>28,30</w:t>
      </w:r>
      <w:r w:rsidRPr="00F1755A">
        <w:t xml:space="preserve"> €/MWh) ja 1</w:t>
      </w:r>
      <w:r w:rsidR="00620473">
        <w:t>6</w:t>
      </w:r>
      <w:r w:rsidRPr="00F1755A">
        <w:t>,</w:t>
      </w:r>
      <w:r w:rsidR="00620473">
        <w:t>3</w:t>
      </w:r>
      <w:r w:rsidRPr="00F1755A">
        <w:t>% (</w:t>
      </w:r>
      <w:r w:rsidR="00620473">
        <w:t>34,19</w:t>
      </w:r>
      <w:r w:rsidRPr="00F1755A">
        <w:t xml:space="preserve"> €/MWh). Saksamaa PHELIX piir</w:t>
      </w:r>
      <w:r w:rsidR="00620473">
        <w:softHyphen/>
      </w:r>
      <w:r w:rsidRPr="00F1755A">
        <w:t xml:space="preserve">konna baaskoormuse keskmiseks hinnaks kujunes </w:t>
      </w:r>
      <w:r w:rsidR="00620473">
        <w:t>novemb</w:t>
      </w:r>
      <w:r w:rsidR="00620473">
        <w:softHyphen/>
        <w:t xml:space="preserve">riga võrreldes 2,2% võrra kõrgem </w:t>
      </w:r>
      <w:r w:rsidRPr="00F1755A">
        <w:t>3</w:t>
      </w:r>
      <w:r w:rsidR="00620473">
        <w:t>5</w:t>
      </w:r>
      <w:r w:rsidRPr="00F1755A">
        <w:t>,</w:t>
      </w:r>
      <w:r w:rsidR="00620473">
        <w:t>13</w:t>
      </w:r>
      <w:r w:rsidRPr="00F1755A">
        <w:t xml:space="preserve"> €/MWh ja tipukoor</w:t>
      </w:r>
      <w:r w:rsidR="00620473">
        <w:softHyphen/>
      </w:r>
      <w:r w:rsidRPr="00F1755A">
        <w:t>muse hinnaks 40,</w:t>
      </w:r>
      <w:r w:rsidR="00620473">
        <w:t>43</w:t>
      </w:r>
      <w:r w:rsidRPr="00F1755A">
        <w:t xml:space="preserve"> €/MWh (-</w:t>
      </w:r>
      <w:r w:rsidR="00620473">
        <w:t>0,9</w:t>
      </w:r>
      <w:r w:rsidRPr="00F1755A">
        <w:t>%); EPEX SPOT Prantsus</w:t>
      </w:r>
      <w:r w:rsidR="00620473">
        <w:softHyphen/>
      </w:r>
      <w:r w:rsidRPr="00F1755A">
        <w:t xml:space="preserve">maa piirkonna </w:t>
      </w:r>
      <w:r w:rsidR="00620473">
        <w:t xml:space="preserve">hinnad langesid kuises võrdluses tugevalt: </w:t>
      </w:r>
      <w:r w:rsidRPr="00F1755A">
        <w:t xml:space="preserve">baaskoormuse keskmine hind oli </w:t>
      </w:r>
      <w:r w:rsidR="00620473">
        <w:t>27,78</w:t>
      </w:r>
      <w:r w:rsidRPr="00F1755A">
        <w:t xml:space="preserve"> €/MWh (-2</w:t>
      </w:r>
      <w:r w:rsidR="00620473">
        <w:t>9</w:t>
      </w:r>
      <w:r w:rsidRPr="00F1755A">
        <w:t>,</w:t>
      </w:r>
      <w:r w:rsidR="00620473">
        <w:t>7</w:t>
      </w:r>
      <w:r w:rsidRPr="00F1755A">
        <w:t xml:space="preserve">%) ja tipukoormuse keskmine hind </w:t>
      </w:r>
      <w:r w:rsidR="00620473">
        <w:t>33,82</w:t>
      </w:r>
      <w:r w:rsidRPr="00F1755A">
        <w:t xml:space="preserve"> €/MWh (-</w:t>
      </w:r>
      <w:r w:rsidR="00620473">
        <w:t>25</w:t>
      </w:r>
      <w:r w:rsidRPr="00F1755A">
        <w:t>,</w:t>
      </w:r>
      <w:r w:rsidR="00620473">
        <w:t>8</w:t>
      </w:r>
      <w:r w:rsidRPr="00F1755A">
        <w:t>%).</w:t>
      </w:r>
    </w:p>
    <w:p w14:paraId="7DB789B8" w14:textId="77777777" w:rsidR="00620473" w:rsidRDefault="00620473" w:rsidP="00C50744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81"/>
        <w:gridCol w:w="1134"/>
        <w:gridCol w:w="1158"/>
      </w:tblGrid>
      <w:tr w:rsidR="00620473" w:rsidRPr="00D231C5" w14:paraId="02B6DAEE" w14:textId="77777777" w:rsidTr="00CE2007">
        <w:tc>
          <w:tcPr>
            <w:tcW w:w="2381" w:type="dxa"/>
            <w:vMerge w:val="restart"/>
            <w:shd w:val="clear" w:color="auto" w:fill="007087"/>
            <w:vAlign w:val="center"/>
          </w:tcPr>
          <w:p w14:paraId="3D114F17" w14:textId="5C7A87FF" w:rsidR="00620473" w:rsidRPr="00D231C5" w:rsidRDefault="00274AFC" w:rsidP="003620F0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Elektribörs</w:t>
            </w:r>
          </w:p>
        </w:tc>
        <w:tc>
          <w:tcPr>
            <w:tcW w:w="2292" w:type="dxa"/>
            <w:gridSpan w:val="2"/>
            <w:shd w:val="clear" w:color="auto" w:fill="007087"/>
            <w:vAlign w:val="center"/>
          </w:tcPr>
          <w:p w14:paraId="5C13E7F7" w14:textId="77777777" w:rsidR="00620473" w:rsidRPr="00D231C5" w:rsidRDefault="00620473" w:rsidP="003620F0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620473" w:rsidRPr="00D231C5" w14:paraId="48E16198" w14:textId="77777777" w:rsidTr="00CE2007">
        <w:tc>
          <w:tcPr>
            <w:tcW w:w="2381" w:type="dxa"/>
            <w:vMerge/>
            <w:shd w:val="clear" w:color="auto" w:fill="007087"/>
            <w:vAlign w:val="center"/>
          </w:tcPr>
          <w:p w14:paraId="3BF99B07" w14:textId="77777777" w:rsidR="00620473" w:rsidRPr="00D231C5" w:rsidRDefault="00620473" w:rsidP="003620F0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7087"/>
            <w:vAlign w:val="center"/>
          </w:tcPr>
          <w:p w14:paraId="71BD28B8" w14:textId="77777777" w:rsidR="00620473" w:rsidRPr="00D231C5" w:rsidRDefault="00620473" w:rsidP="003620F0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2015 detsember</w:t>
            </w:r>
          </w:p>
        </w:tc>
        <w:tc>
          <w:tcPr>
            <w:tcW w:w="1158" w:type="dxa"/>
            <w:shd w:val="clear" w:color="auto" w:fill="007087"/>
            <w:vAlign w:val="center"/>
          </w:tcPr>
          <w:p w14:paraId="00D00F23" w14:textId="77777777" w:rsidR="00620473" w:rsidRPr="00D231C5" w:rsidRDefault="00620473" w:rsidP="003620F0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 xml:space="preserve">2015 </w:t>
            </w:r>
            <w:r>
              <w:rPr>
                <w:b/>
                <w:color w:val="FFFFFF" w:themeColor="background1"/>
                <w:sz w:val="16"/>
                <w:szCs w:val="16"/>
              </w:rPr>
              <w:t>november</w:t>
            </w:r>
          </w:p>
        </w:tc>
      </w:tr>
      <w:tr w:rsidR="00620473" w:rsidRPr="00D231C5" w14:paraId="509B8A43" w14:textId="77777777" w:rsidTr="00CE2007">
        <w:tc>
          <w:tcPr>
            <w:tcW w:w="2381" w:type="dxa"/>
            <w:vAlign w:val="center"/>
          </w:tcPr>
          <w:p w14:paraId="0969E0AF" w14:textId="7BA70CCD" w:rsidR="00620473" w:rsidRPr="005D3A6D" w:rsidRDefault="00620473" w:rsidP="00620473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5D3A6D">
              <w:rPr>
                <w:sz w:val="16"/>
                <w:szCs w:val="16"/>
                <w:lang w:val="en-GB"/>
              </w:rPr>
              <w:t>Nord Pool Spot (SYS)</w:t>
            </w:r>
          </w:p>
        </w:tc>
        <w:tc>
          <w:tcPr>
            <w:tcW w:w="1134" w:type="dxa"/>
            <w:vAlign w:val="center"/>
          </w:tcPr>
          <w:p w14:paraId="3DDD5E0F" w14:textId="566A7262" w:rsidR="00620473" w:rsidRPr="00D231C5" w:rsidRDefault="00620473" w:rsidP="003620F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18,85</w:t>
            </w:r>
          </w:p>
        </w:tc>
        <w:tc>
          <w:tcPr>
            <w:tcW w:w="1158" w:type="dxa"/>
            <w:vAlign w:val="center"/>
          </w:tcPr>
          <w:p w14:paraId="706E4009" w14:textId="01591144" w:rsidR="00620473" w:rsidRPr="00D231C5" w:rsidRDefault="00620473" w:rsidP="0062047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24,87</w:t>
            </w:r>
          </w:p>
        </w:tc>
      </w:tr>
      <w:tr w:rsidR="00620473" w:rsidRPr="00D231C5" w14:paraId="0C374166" w14:textId="77777777" w:rsidTr="00CE2007">
        <w:tc>
          <w:tcPr>
            <w:tcW w:w="2381" w:type="dxa"/>
            <w:vAlign w:val="center"/>
          </w:tcPr>
          <w:p w14:paraId="7A1402E1" w14:textId="768FAFD2" w:rsidR="00620473" w:rsidRPr="005D3A6D" w:rsidRDefault="00620473" w:rsidP="003620F0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5D3A6D">
              <w:rPr>
                <w:sz w:val="16"/>
                <w:szCs w:val="16"/>
                <w:lang w:val="en-GB"/>
              </w:rPr>
              <w:t>European Power Exchange (ELIX Base/Peak)</w:t>
            </w:r>
          </w:p>
        </w:tc>
        <w:tc>
          <w:tcPr>
            <w:tcW w:w="1134" w:type="dxa"/>
            <w:vAlign w:val="center"/>
          </w:tcPr>
          <w:p w14:paraId="6CBF6A12" w14:textId="0C7EF632" w:rsidR="00620473" w:rsidRPr="00D231C5" w:rsidRDefault="00620473" w:rsidP="003620F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28,30/34,19</w:t>
            </w:r>
          </w:p>
        </w:tc>
        <w:tc>
          <w:tcPr>
            <w:tcW w:w="1158" w:type="dxa"/>
            <w:vAlign w:val="center"/>
          </w:tcPr>
          <w:p w14:paraId="065529F5" w14:textId="50F8087D" w:rsidR="00620473" w:rsidRPr="00D231C5" w:rsidRDefault="00620473" w:rsidP="003620F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34,40/40,87</w:t>
            </w:r>
          </w:p>
        </w:tc>
      </w:tr>
    </w:tbl>
    <w:p w14:paraId="18CE4A9E" w14:textId="77777777" w:rsidR="00620473" w:rsidRDefault="00620473" w:rsidP="00C50744">
      <w:pPr>
        <w:pStyle w:val="NoSpacing"/>
      </w:pPr>
    </w:p>
    <w:p w14:paraId="63C02A3C" w14:textId="42CDE201" w:rsidR="00274AFC" w:rsidRDefault="00274AFC" w:rsidP="00C50744">
      <w:pPr>
        <w:pStyle w:val="NoSpacing"/>
      </w:pPr>
      <w:r w:rsidRPr="00274AFC">
        <w:t>Elektri tootmishinna</w:t>
      </w:r>
      <w:r>
        <w:t xml:space="preserve">le otsest mõju </w:t>
      </w:r>
      <w:r w:rsidR="00B24CB9">
        <w:t>avaldavad</w:t>
      </w:r>
      <w:r>
        <w:t xml:space="preserve"> süsinikdi</w:t>
      </w:r>
      <w:r w:rsidR="00B24CB9">
        <w:softHyphen/>
      </w:r>
      <w:r w:rsidRPr="00274AFC">
        <w:t>o</w:t>
      </w:r>
      <w:r>
        <w:t xml:space="preserve">ksiidi emissioonikvootide hinnatase </w:t>
      </w:r>
      <w:r w:rsidR="00B24CB9">
        <w:t>võrreldes novemb</w:t>
      </w:r>
      <w:r w:rsidR="00354CE0">
        <w:softHyphen/>
      </w:r>
      <w:r w:rsidR="00B24CB9">
        <w:t xml:space="preserve">riga </w:t>
      </w:r>
      <w:r>
        <w:t>stabiliseerus -</w:t>
      </w:r>
      <w:r w:rsidRPr="00274AFC">
        <w:t xml:space="preserve"> </w:t>
      </w:r>
      <w:r>
        <w:t>detse</w:t>
      </w:r>
      <w:r w:rsidRPr="00274AFC">
        <w:t>mbri madalaim sulgemishind oli 8,</w:t>
      </w:r>
      <w:r w:rsidR="00B24CB9">
        <w:t>06</w:t>
      </w:r>
      <w:r w:rsidRPr="00274AFC">
        <w:t>, kõrgeim 8,</w:t>
      </w:r>
      <w:r w:rsidR="00B24CB9">
        <w:t>59</w:t>
      </w:r>
      <w:r w:rsidRPr="00274AFC">
        <w:t xml:space="preserve"> ning kuu keskmine 8,</w:t>
      </w:r>
      <w:r w:rsidR="00B24CB9">
        <w:t>28</w:t>
      </w:r>
      <w:r w:rsidRPr="00274AFC">
        <w:t xml:space="preserve"> eurot ühe tonni CO</w:t>
      </w:r>
      <w:r w:rsidRPr="00B24CB9">
        <w:rPr>
          <w:vertAlign w:val="subscript"/>
        </w:rPr>
        <w:t>2</w:t>
      </w:r>
      <w:r w:rsidRPr="00274AFC">
        <w:t xml:space="preserve"> kohta. Aasta tagasi liikusid CO</w:t>
      </w:r>
      <w:r w:rsidRPr="00B24CB9">
        <w:rPr>
          <w:vertAlign w:val="subscript"/>
        </w:rPr>
        <w:t>2</w:t>
      </w:r>
      <w:r w:rsidRPr="00274AFC">
        <w:t xml:space="preserve"> hinnad </w:t>
      </w:r>
      <w:bookmarkStart w:id="0" w:name="_GoBack"/>
      <w:bookmarkEnd w:id="0"/>
      <w:r w:rsidRPr="00274AFC">
        <w:t>tasemel 6-7 €/t.</w:t>
      </w:r>
    </w:p>
    <w:p w14:paraId="1F7F689A" w14:textId="77777777" w:rsidR="008D6ED6" w:rsidRDefault="008D6ED6" w:rsidP="00C50744">
      <w:pPr>
        <w:pStyle w:val="NoSpacing"/>
      </w:pPr>
    </w:p>
    <w:p w14:paraId="75DC9CAE" w14:textId="6D9336F7" w:rsidR="008D6ED6" w:rsidRDefault="008D6ED6" w:rsidP="00C50744">
      <w:pPr>
        <w:pStyle w:val="NoSpacing"/>
      </w:pPr>
      <w:r>
        <w:t>Lisaks mõjutab elektrihinda oluliselt ka nafta maailma</w:t>
      </w:r>
      <w:r w:rsidR="00354CE0">
        <w:softHyphen/>
      </w:r>
      <w:r>
        <w:t>turu hin</w:t>
      </w:r>
      <w:r w:rsidR="00E37B27">
        <w:t>na langus</w:t>
      </w:r>
      <w:r>
        <w:t>, mis on otseselt seotud nii kütteõlide kui ka gaasi hinnaga, millest elektrit toodetakse. Nafta hind saavutas oma tipu 2014.</w:t>
      </w:r>
      <w:r w:rsidR="00354CE0">
        <w:t xml:space="preserve"> </w:t>
      </w:r>
      <w:r>
        <w:t xml:space="preserve">aasta suvel, millele järgnes järsk langus. </w:t>
      </w:r>
      <w:proofErr w:type="spellStart"/>
      <w:r>
        <w:t>Ületootmine</w:t>
      </w:r>
      <w:proofErr w:type="spellEnd"/>
      <w:r>
        <w:t xml:space="preserve"> langetas 2015. aasta lõpuks nafta hindu 70%</w:t>
      </w:r>
      <w:r w:rsidR="00354CE0">
        <w:t>,</w:t>
      </w:r>
      <w:r>
        <w:t xml:space="preserve"> olles detsembri lõpuks 37 USD/</w:t>
      </w:r>
      <w:proofErr w:type="spellStart"/>
      <w:r>
        <w:t>bbl</w:t>
      </w:r>
      <w:proofErr w:type="spellEnd"/>
      <w:r w:rsidR="00E37B27">
        <w:t xml:space="preserve"> ning langus jätkus ka 2016. aasta jaanuaris.</w:t>
      </w:r>
    </w:p>
    <w:p w14:paraId="6471F8B0" w14:textId="77777777" w:rsidR="00D231C5" w:rsidRPr="00210FCC" w:rsidRDefault="00D231C5" w:rsidP="00C50744">
      <w:pPr>
        <w:pStyle w:val="NoSpacing"/>
      </w:pPr>
    </w:p>
    <w:p w14:paraId="2CCCCDEA" w14:textId="392AE9E5" w:rsidR="00C50744" w:rsidRDefault="00E44114" w:rsidP="0022344D">
      <w:pPr>
        <w:pStyle w:val="Heading2"/>
      </w:pPr>
      <w:r>
        <w:t>NPS Baltikumi ja Soome hinnad</w:t>
      </w:r>
    </w:p>
    <w:p w14:paraId="53C95704" w14:textId="1E308E31" w:rsidR="009215A9" w:rsidRDefault="009215A9" w:rsidP="009215A9">
      <w:r w:rsidRPr="00652279">
        <w:t xml:space="preserve">Eesti elektribilanss oli </w:t>
      </w:r>
      <w:r w:rsidR="00C25E0A">
        <w:t>detsembris</w:t>
      </w:r>
      <w:r w:rsidRPr="00652279">
        <w:t xml:space="preserve"> </w:t>
      </w:r>
      <w:r w:rsidR="00652279" w:rsidRPr="00652279">
        <w:t>45</w:t>
      </w:r>
      <w:r w:rsidRPr="00652279">
        <w:t xml:space="preserve"> </w:t>
      </w:r>
      <w:proofErr w:type="spellStart"/>
      <w:r w:rsidRPr="00652279">
        <w:t>GWh-ga</w:t>
      </w:r>
      <w:proofErr w:type="spellEnd"/>
      <w:r w:rsidRPr="00652279">
        <w:t xml:space="preserve"> ülejäägis: </w:t>
      </w:r>
      <w:r w:rsidRPr="00F34542">
        <w:t xml:space="preserve">elektri toodangu ja tarbimise </w:t>
      </w:r>
      <w:r w:rsidR="00F34542" w:rsidRPr="00F34542">
        <w:t>kasv oli</w:t>
      </w:r>
      <w:r w:rsidRPr="00F34542">
        <w:t xml:space="preserve"> </w:t>
      </w:r>
      <w:r w:rsidR="00652279" w:rsidRPr="00F34542">
        <w:t>novembriga</w:t>
      </w:r>
      <w:r w:rsidRPr="00F34542">
        <w:t xml:space="preserve"> võrreldes </w:t>
      </w:r>
      <w:r w:rsidR="00F34542" w:rsidRPr="00F34542">
        <w:t>tagasihoidlik (vastavalt 0,5 ja 2,8%)</w:t>
      </w:r>
      <w:r w:rsidRPr="00F34542">
        <w:t>. Läti elektritoodang</w:t>
      </w:r>
      <w:r w:rsidRPr="00652279">
        <w:t xml:space="preserve"> </w:t>
      </w:r>
      <w:r w:rsidR="00F34542">
        <w:t>kahanes</w:t>
      </w:r>
      <w:r w:rsidRPr="00652279">
        <w:t xml:space="preserve"> eelmise kuuga võrreldes ca </w:t>
      </w:r>
      <w:r w:rsidR="00F34542">
        <w:t>7,4</w:t>
      </w:r>
      <w:r w:rsidRPr="00652279">
        <w:t xml:space="preserve">%, tarbimine </w:t>
      </w:r>
      <w:r w:rsidR="00F34542">
        <w:t>kasvas 5%</w:t>
      </w:r>
      <w:r w:rsidRPr="00652279">
        <w:t xml:space="preserve">, mis tähendab, et </w:t>
      </w:r>
      <w:r w:rsidR="00A418B2" w:rsidRPr="00652279">
        <w:t xml:space="preserve">Läti elektribilansi puudujääk </w:t>
      </w:r>
      <w:r w:rsidR="00A418B2">
        <w:t>oli 118</w:t>
      </w:r>
      <w:r w:rsidR="00A418B2" w:rsidRPr="00652279">
        <w:t xml:space="preserve"> </w:t>
      </w:r>
      <w:proofErr w:type="spellStart"/>
      <w:r w:rsidR="00A418B2" w:rsidRPr="00652279">
        <w:t>GWh</w:t>
      </w:r>
      <w:proofErr w:type="spellEnd"/>
      <w:r w:rsidR="00F34542">
        <w:t>, kusjuures</w:t>
      </w:r>
      <w:r w:rsidR="00A418B2">
        <w:t xml:space="preserve"> </w:t>
      </w:r>
      <w:r w:rsidRPr="00652279">
        <w:t xml:space="preserve">Läti tootjate panus sisemaise tarbimise katmisel oli </w:t>
      </w:r>
      <w:r w:rsidR="00A418B2">
        <w:t>82</w:t>
      </w:r>
      <w:r w:rsidRPr="00652279">
        <w:t xml:space="preserve">%. Leedus </w:t>
      </w:r>
      <w:r w:rsidR="00F34542">
        <w:t xml:space="preserve">suurenes </w:t>
      </w:r>
      <w:r w:rsidRPr="00652279">
        <w:t xml:space="preserve">tootmine </w:t>
      </w:r>
      <w:r w:rsidR="00A418B2">
        <w:t>novembriga</w:t>
      </w:r>
      <w:r w:rsidRPr="00652279">
        <w:t xml:space="preserve"> võrreldes </w:t>
      </w:r>
      <w:r w:rsidR="00DD240E">
        <w:t>38,7</w:t>
      </w:r>
      <w:r w:rsidRPr="00652279">
        <w:t xml:space="preserve">%. Koos tarbimise </w:t>
      </w:r>
      <w:r w:rsidR="00DD240E">
        <w:t>langusega 1,4</w:t>
      </w:r>
      <w:r w:rsidRPr="00652279">
        <w:t>%, tähendab see defitsii</w:t>
      </w:r>
      <w:r w:rsidR="00DD240E">
        <w:t>d</w:t>
      </w:r>
      <w:r w:rsidRPr="00652279">
        <w:t xml:space="preserve">i </w:t>
      </w:r>
      <w:r w:rsidR="00DD240E">
        <w:t xml:space="preserve">kahanemist </w:t>
      </w:r>
      <w:r w:rsidR="00A418B2">
        <w:t>581</w:t>
      </w:r>
      <w:r w:rsidRPr="00652279">
        <w:t xml:space="preserve"> </w:t>
      </w:r>
      <w:proofErr w:type="spellStart"/>
      <w:r w:rsidRPr="00652279">
        <w:t>GWh</w:t>
      </w:r>
      <w:proofErr w:type="spellEnd"/>
      <w:r w:rsidR="00DD240E">
        <w:t xml:space="preserve"> (36% tarbitud elektrist toodeti Leedus)</w:t>
      </w:r>
      <w:r w:rsidRPr="00652279">
        <w:t xml:space="preserve">. Baltikum tervikuna oli </w:t>
      </w:r>
      <w:r w:rsidR="00DD240E">
        <w:t xml:space="preserve">detsembris </w:t>
      </w:r>
      <w:r w:rsidR="00A418B2">
        <w:t>653</w:t>
      </w:r>
      <w:r w:rsidRPr="00652279">
        <w:t xml:space="preserve"> </w:t>
      </w:r>
      <w:proofErr w:type="spellStart"/>
      <w:r w:rsidRPr="00652279">
        <w:t>GWh-ga</w:t>
      </w:r>
      <w:proofErr w:type="spellEnd"/>
      <w:r w:rsidRPr="00652279">
        <w:t xml:space="preserve"> defitsiidis (</w:t>
      </w:r>
      <w:r w:rsidR="00A418B2">
        <w:t>29</w:t>
      </w:r>
      <w:r w:rsidRPr="00652279">
        <w:t xml:space="preserve">% kogutarbimisest), millest hinnanguliselt </w:t>
      </w:r>
      <w:r w:rsidR="00000901">
        <w:t>54</w:t>
      </w:r>
      <w:r w:rsidRPr="00652279">
        <w:t xml:space="preserve">% imporditi Põhjamaadest ning </w:t>
      </w:r>
      <w:r w:rsidR="00000901">
        <w:t>46</w:t>
      </w:r>
      <w:r w:rsidRPr="00652279">
        <w:t>% kolmandatest riikidest.</w:t>
      </w:r>
    </w:p>
    <w:p w14:paraId="46AD75C9" w14:textId="77777777" w:rsidR="009215A9" w:rsidRDefault="009215A9" w:rsidP="009215A9"/>
    <w:p w14:paraId="0A20029D" w14:textId="7EBE5F4C" w:rsidR="00B82C56" w:rsidRDefault="00F513EF" w:rsidP="00BA7A51">
      <w:pPr>
        <w:spacing w:after="40"/>
      </w:pPr>
      <w:r>
        <w:rPr>
          <w:noProof/>
        </w:rPr>
        <w:lastRenderedPageBreak/>
        <w:drawing>
          <wp:inline distT="0" distB="0" distL="0" distR="0" wp14:anchorId="13A9AAB3" wp14:editId="692D024E">
            <wp:extent cx="297180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9E29" w14:textId="49A495BD" w:rsidR="00F513EF" w:rsidRPr="0022344D" w:rsidRDefault="00F513EF" w:rsidP="00F513EF">
      <w:pPr>
        <w:rPr>
          <w:rStyle w:val="SubtleEmphasis"/>
        </w:rPr>
      </w:pPr>
      <w:r>
        <w:rPr>
          <w:rStyle w:val="SubtleEmphasis"/>
        </w:rPr>
        <w:t>Kuu keskmised hinnad 2015. aastal</w:t>
      </w:r>
    </w:p>
    <w:p w14:paraId="081F823F" w14:textId="77777777" w:rsidR="00354CE0" w:rsidRDefault="00354CE0" w:rsidP="0022344D"/>
    <w:p w14:paraId="0910FFE7" w14:textId="3606EB25" w:rsidR="00B82C56" w:rsidRDefault="00F513EF" w:rsidP="0022344D">
      <w:r>
        <w:t xml:space="preserve">Eesti hinnapiirkonnas oli detsembris hind 26,72 </w:t>
      </w:r>
      <w:r w:rsidR="0060228C">
        <w:t>€</w:t>
      </w:r>
      <w:r>
        <w:t>/MWh</w:t>
      </w:r>
      <w:r w:rsidR="0060228C">
        <w:t>, mis on eelmise kuuga võrreldes enam kui 6 eurot mega</w:t>
      </w:r>
      <w:r w:rsidR="0055665C">
        <w:softHyphen/>
      </w:r>
      <w:r w:rsidR="0060228C">
        <w:t>vatt-tunni kohta madalam (-18,7%). Vahe süsteemihinna</w:t>
      </w:r>
      <w:r w:rsidR="00354CE0">
        <w:softHyphen/>
      </w:r>
      <w:r w:rsidR="0060228C">
        <w:t xml:space="preserve">ga vähenes, olles 7,87 €/MWh. Erinevus Soome keskmise hinnaga oli </w:t>
      </w:r>
      <w:r w:rsidR="009215A9">
        <w:t>vaid 0,16 €/MWh ning Lätis ja Leedus oli elekter 11,62 €/MWh kallim kui Eestis.</w:t>
      </w:r>
    </w:p>
    <w:p w14:paraId="164CA85D" w14:textId="77777777" w:rsidR="00F513EF" w:rsidRDefault="00F513EF" w:rsidP="0022344D"/>
    <w:p w14:paraId="370C068F" w14:textId="2476B61B" w:rsidR="00B82C56" w:rsidRDefault="009215A9" w:rsidP="00BA7A51">
      <w:pPr>
        <w:spacing w:after="40"/>
      </w:pPr>
      <w:r>
        <w:rPr>
          <w:noProof/>
        </w:rPr>
        <w:drawing>
          <wp:inline distT="0" distB="0" distL="0" distR="0" wp14:anchorId="2B15B536" wp14:editId="7FBD83D0">
            <wp:extent cx="2971800" cy="180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5F93" w14:textId="38A5E8E0" w:rsidR="009215A9" w:rsidRPr="0022344D" w:rsidRDefault="00176304" w:rsidP="009215A9">
      <w:pPr>
        <w:rPr>
          <w:rStyle w:val="SubtleEmphasis"/>
        </w:rPr>
      </w:pPr>
      <w:r>
        <w:rPr>
          <w:rStyle w:val="SubtleEmphasis"/>
        </w:rPr>
        <w:t xml:space="preserve">Päeva </w:t>
      </w:r>
      <w:r w:rsidR="009215A9">
        <w:rPr>
          <w:rStyle w:val="SubtleEmphasis"/>
        </w:rPr>
        <w:t>keskmised hinnad 2015. aasta</w:t>
      </w:r>
      <w:r>
        <w:rPr>
          <w:rStyle w:val="SubtleEmphasis"/>
        </w:rPr>
        <w:t xml:space="preserve"> detsembris</w:t>
      </w:r>
    </w:p>
    <w:p w14:paraId="7165D8AC" w14:textId="77777777" w:rsidR="00176304" w:rsidRDefault="00176304" w:rsidP="00176304"/>
    <w:p w14:paraId="31B7C0A2" w14:textId="466A6398" w:rsidR="00176304" w:rsidRDefault="00176304" w:rsidP="00176304">
      <w:r w:rsidRPr="009215A9">
        <w:t xml:space="preserve">NPS Eesti ja NPS Läti piirkondade hinnad erinesid </w:t>
      </w:r>
      <w:r>
        <w:t>det</w:t>
      </w:r>
      <w:r w:rsidR="0055665C">
        <w:softHyphen/>
      </w:r>
      <w:r>
        <w:t>s</w:t>
      </w:r>
      <w:r w:rsidRPr="009215A9">
        <w:t xml:space="preserve">embris päev-ette turul </w:t>
      </w:r>
      <w:r w:rsidR="00AC7ECF">
        <w:t>592</w:t>
      </w:r>
      <w:r w:rsidRPr="009215A9">
        <w:t xml:space="preserve"> tunnil ehk </w:t>
      </w:r>
      <w:r w:rsidR="00AC7ECF">
        <w:t>79,6</w:t>
      </w:r>
      <w:r w:rsidRPr="009215A9">
        <w:t>% tundidest (</w:t>
      </w:r>
      <w:r w:rsidR="00AC7ECF">
        <w:t>novem</w:t>
      </w:r>
      <w:r w:rsidRPr="009215A9">
        <w:t>bris 6</w:t>
      </w:r>
      <w:r w:rsidR="00AC7ECF">
        <w:t>07</w:t>
      </w:r>
      <w:r w:rsidRPr="009215A9">
        <w:t xml:space="preserve"> tunnil ehk 8</w:t>
      </w:r>
      <w:r w:rsidR="00AC7ECF">
        <w:t>4</w:t>
      </w:r>
      <w:r w:rsidRPr="009215A9">
        <w:t xml:space="preserve">%). NPS Eesti ja Soome hinnad </w:t>
      </w:r>
      <w:r>
        <w:t xml:space="preserve">erinesid päev-ette turul </w:t>
      </w:r>
      <w:r w:rsidR="00AC7ECF">
        <w:t xml:space="preserve">19 </w:t>
      </w:r>
      <w:r>
        <w:t>tun</w:t>
      </w:r>
      <w:r w:rsidRPr="009215A9">
        <w:t xml:space="preserve">nil ehk </w:t>
      </w:r>
      <w:r w:rsidR="00AC7ECF">
        <w:t>2,6</w:t>
      </w:r>
      <w:r w:rsidRPr="009215A9">
        <w:t>% ajast (</w:t>
      </w:r>
      <w:r w:rsidR="00AC7ECF">
        <w:t>novem</w:t>
      </w:r>
      <w:r w:rsidRPr="009215A9">
        <w:t>b</w:t>
      </w:r>
      <w:r w:rsidR="0055665C">
        <w:softHyphen/>
      </w:r>
      <w:r w:rsidRPr="009215A9">
        <w:t xml:space="preserve">ris </w:t>
      </w:r>
      <w:r w:rsidR="00AC7ECF">
        <w:t>67</w:t>
      </w:r>
      <w:r w:rsidRPr="009215A9">
        <w:t xml:space="preserve"> tunnil ehk </w:t>
      </w:r>
      <w:r w:rsidR="00AC7ECF">
        <w:t>9,3</w:t>
      </w:r>
      <w:r w:rsidRPr="009215A9">
        <w:t>% t</w:t>
      </w:r>
      <w:r>
        <w:t>un</w:t>
      </w:r>
      <w:r w:rsidRPr="009215A9">
        <w:t>didest).</w:t>
      </w:r>
    </w:p>
    <w:p w14:paraId="366FD077" w14:textId="77777777" w:rsidR="009215A9" w:rsidRDefault="009215A9" w:rsidP="0022344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990"/>
        <w:gridCol w:w="991"/>
        <w:gridCol w:w="991"/>
      </w:tblGrid>
      <w:tr w:rsidR="00176304" w:rsidRPr="00D231C5" w14:paraId="14914B7A" w14:textId="596562F6" w:rsidTr="00CE2007">
        <w:tc>
          <w:tcPr>
            <w:tcW w:w="1701" w:type="dxa"/>
            <w:shd w:val="clear" w:color="auto" w:fill="007087"/>
            <w:vAlign w:val="center"/>
          </w:tcPr>
          <w:p w14:paraId="18BE6999" w14:textId="18B03ABC" w:rsidR="00176304" w:rsidRPr="00D231C5" w:rsidRDefault="00176304" w:rsidP="00176304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Detsember 2015 (€/MWh)</w:t>
            </w:r>
          </w:p>
        </w:tc>
        <w:tc>
          <w:tcPr>
            <w:tcW w:w="990" w:type="dxa"/>
            <w:shd w:val="clear" w:color="auto" w:fill="007087"/>
            <w:vAlign w:val="center"/>
          </w:tcPr>
          <w:p w14:paraId="5BE5DABD" w14:textId="293AEA05" w:rsidR="00176304" w:rsidRPr="00D231C5" w:rsidRDefault="00176304" w:rsidP="003620F0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Keskmine hind</w:t>
            </w:r>
          </w:p>
        </w:tc>
        <w:tc>
          <w:tcPr>
            <w:tcW w:w="991" w:type="dxa"/>
            <w:shd w:val="clear" w:color="auto" w:fill="007087"/>
            <w:vAlign w:val="center"/>
          </w:tcPr>
          <w:p w14:paraId="1C055B6E" w14:textId="6715761B" w:rsidR="00176304" w:rsidRPr="00D231C5" w:rsidRDefault="00176304" w:rsidP="003620F0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tunnihind</w:t>
            </w:r>
          </w:p>
        </w:tc>
        <w:tc>
          <w:tcPr>
            <w:tcW w:w="991" w:type="dxa"/>
            <w:shd w:val="clear" w:color="auto" w:fill="007087"/>
          </w:tcPr>
          <w:p w14:paraId="21925E05" w14:textId="3D60E8E3" w:rsidR="00176304" w:rsidRPr="00D231C5" w:rsidRDefault="00176304" w:rsidP="003620F0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Min tunnihind</w:t>
            </w:r>
          </w:p>
        </w:tc>
      </w:tr>
      <w:tr w:rsidR="00176304" w:rsidRPr="00D231C5" w14:paraId="6259BA7D" w14:textId="072DB9D1" w:rsidTr="00CE2007">
        <w:tc>
          <w:tcPr>
            <w:tcW w:w="1701" w:type="dxa"/>
            <w:vAlign w:val="center"/>
          </w:tcPr>
          <w:p w14:paraId="250949DC" w14:textId="5832AB6D" w:rsidR="00176304" w:rsidRPr="00D231C5" w:rsidRDefault="00176304" w:rsidP="00176304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NPS Süsteem</w:t>
            </w:r>
          </w:p>
        </w:tc>
        <w:tc>
          <w:tcPr>
            <w:tcW w:w="990" w:type="dxa"/>
            <w:vAlign w:val="center"/>
          </w:tcPr>
          <w:p w14:paraId="70633BC9" w14:textId="36B2E620" w:rsidR="00176304" w:rsidRPr="00D231C5" w:rsidRDefault="00176304" w:rsidP="0017630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18,85</w:t>
            </w:r>
          </w:p>
        </w:tc>
        <w:tc>
          <w:tcPr>
            <w:tcW w:w="991" w:type="dxa"/>
            <w:vAlign w:val="center"/>
          </w:tcPr>
          <w:p w14:paraId="29F97712" w14:textId="127B1A3A" w:rsidR="00176304" w:rsidRPr="00D231C5" w:rsidRDefault="00AC7ECF" w:rsidP="003620F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51,49</w:t>
            </w:r>
          </w:p>
        </w:tc>
        <w:tc>
          <w:tcPr>
            <w:tcW w:w="991" w:type="dxa"/>
          </w:tcPr>
          <w:p w14:paraId="003E2BCB" w14:textId="17A9DDBE" w:rsidR="00176304" w:rsidRDefault="00AC7ECF" w:rsidP="003620F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</w:tr>
      <w:tr w:rsidR="00176304" w:rsidRPr="00D231C5" w14:paraId="4B67686C" w14:textId="6C22CC4E" w:rsidTr="00CE2007">
        <w:tc>
          <w:tcPr>
            <w:tcW w:w="1701" w:type="dxa"/>
            <w:vAlign w:val="center"/>
          </w:tcPr>
          <w:p w14:paraId="27543C28" w14:textId="2424E6B1" w:rsidR="00176304" w:rsidRPr="00D231C5" w:rsidRDefault="00176304" w:rsidP="00176304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NPS Soome</w:t>
            </w:r>
          </w:p>
        </w:tc>
        <w:tc>
          <w:tcPr>
            <w:tcW w:w="990" w:type="dxa"/>
            <w:vAlign w:val="center"/>
          </w:tcPr>
          <w:p w14:paraId="65948FD7" w14:textId="08331A97" w:rsidR="00176304" w:rsidRPr="00D231C5" w:rsidRDefault="00176304" w:rsidP="003620F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26,56</w:t>
            </w:r>
          </w:p>
        </w:tc>
        <w:tc>
          <w:tcPr>
            <w:tcW w:w="991" w:type="dxa"/>
            <w:vAlign w:val="center"/>
          </w:tcPr>
          <w:p w14:paraId="0F5F059F" w14:textId="6AAC7E1D" w:rsidR="00176304" w:rsidRPr="00D231C5" w:rsidRDefault="00AC7ECF" w:rsidP="003620F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64,97</w:t>
            </w:r>
          </w:p>
        </w:tc>
        <w:tc>
          <w:tcPr>
            <w:tcW w:w="991" w:type="dxa"/>
          </w:tcPr>
          <w:p w14:paraId="0E04CA12" w14:textId="766F124C" w:rsidR="00176304" w:rsidRDefault="00AC7ECF" w:rsidP="003620F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</w:tr>
      <w:tr w:rsidR="00176304" w:rsidRPr="00D231C5" w14:paraId="3A099B34" w14:textId="68C8CE75" w:rsidTr="00CE2007">
        <w:tc>
          <w:tcPr>
            <w:tcW w:w="1701" w:type="dxa"/>
            <w:vAlign w:val="center"/>
          </w:tcPr>
          <w:p w14:paraId="591DD1E5" w14:textId="7D0E4707" w:rsidR="00176304" w:rsidRPr="00D231C5" w:rsidRDefault="00176304" w:rsidP="00176304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NPS Eesti</w:t>
            </w:r>
          </w:p>
        </w:tc>
        <w:tc>
          <w:tcPr>
            <w:tcW w:w="990" w:type="dxa"/>
            <w:vAlign w:val="center"/>
          </w:tcPr>
          <w:p w14:paraId="680A3626" w14:textId="4ACE16ED" w:rsidR="00176304" w:rsidRPr="00D231C5" w:rsidRDefault="00176304" w:rsidP="0017630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76304">
              <w:rPr>
                <w:sz w:val="16"/>
                <w:szCs w:val="16"/>
              </w:rPr>
              <w:t>26,72</w:t>
            </w:r>
          </w:p>
        </w:tc>
        <w:tc>
          <w:tcPr>
            <w:tcW w:w="991" w:type="dxa"/>
            <w:vAlign w:val="center"/>
          </w:tcPr>
          <w:p w14:paraId="6ACC4896" w14:textId="1E1DDFCD" w:rsidR="00176304" w:rsidRPr="00D231C5" w:rsidRDefault="00AC7ECF" w:rsidP="003620F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64,97</w:t>
            </w:r>
          </w:p>
        </w:tc>
        <w:tc>
          <w:tcPr>
            <w:tcW w:w="991" w:type="dxa"/>
          </w:tcPr>
          <w:p w14:paraId="7AA54800" w14:textId="0BFA9341" w:rsidR="00AC7ECF" w:rsidRDefault="00AC7ECF" w:rsidP="00AC7EC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</w:tr>
      <w:tr w:rsidR="00176304" w:rsidRPr="00D231C5" w14:paraId="2E5FEF53" w14:textId="31C81E9D" w:rsidTr="00CE2007">
        <w:tc>
          <w:tcPr>
            <w:tcW w:w="1701" w:type="dxa"/>
            <w:vAlign w:val="center"/>
          </w:tcPr>
          <w:p w14:paraId="1D93E559" w14:textId="04A77BA3" w:rsidR="00176304" w:rsidRDefault="00176304" w:rsidP="00176304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NPS Läti</w:t>
            </w:r>
          </w:p>
        </w:tc>
        <w:tc>
          <w:tcPr>
            <w:tcW w:w="990" w:type="dxa"/>
            <w:vAlign w:val="center"/>
          </w:tcPr>
          <w:p w14:paraId="4DD2376F" w14:textId="2C12081D" w:rsidR="00176304" w:rsidRPr="00D231C5" w:rsidRDefault="00176304" w:rsidP="0017630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76304">
              <w:rPr>
                <w:sz w:val="16"/>
                <w:szCs w:val="16"/>
              </w:rPr>
              <w:t>38,34</w:t>
            </w:r>
          </w:p>
        </w:tc>
        <w:tc>
          <w:tcPr>
            <w:tcW w:w="991" w:type="dxa"/>
            <w:vAlign w:val="center"/>
          </w:tcPr>
          <w:p w14:paraId="14A58EB2" w14:textId="26EFD2D9" w:rsidR="00176304" w:rsidRPr="00D231C5" w:rsidRDefault="00AC7ECF" w:rsidP="003620F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64,97</w:t>
            </w:r>
          </w:p>
        </w:tc>
        <w:tc>
          <w:tcPr>
            <w:tcW w:w="991" w:type="dxa"/>
          </w:tcPr>
          <w:p w14:paraId="654B3530" w14:textId="7F963D95" w:rsidR="00176304" w:rsidRDefault="00AC7ECF" w:rsidP="003620F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4,10</w:t>
            </w:r>
          </w:p>
        </w:tc>
      </w:tr>
      <w:tr w:rsidR="00176304" w:rsidRPr="00D231C5" w14:paraId="7D96D652" w14:textId="77777777" w:rsidTr="00CE2007">
        <w:tc>
          <w:tcPr>
            <w:tcW w:w="1701" w:type="dxa"/>
            <w:vAlign w:val="center"/>
          </w:tcPr>
          <w:p w14:paraId="515903AB" w14:textId="1EA8F38A" w:rsidR="00176304" w:rsidRDefault="00176304" w:rsidP="00176304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NPS Leedu</w:t>
            </w:r>
          </w:p>
        </w:tc>
        <w:tc>
          <w:tcPr>
            <w:tcW w:w="990" w:type="dxa"/>
            <w:vAlign w:val="center"/>
          </w:tcPr>
          <w:p w14:paraId="5EEE9EF8" w14:textId="1D824411" w:rsidR="00176304" w:rsidRDefault="00176304" w:rsidP="003620F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76304">
              <w:rPr>
                <w:sz w:val="16"/>
                <w:szCs w:val="16"/>
              </w:rPr>
              <w:t>38,34</w:t>
            </w:r>
          </w:p>
        </w:tc>
        <w:tc>
          <w:tcPr>
            <w:tcW w:w="991" w:type="dxa"/>
            <w:vAlign w:val="center"/>
          </w:tcPr>
          <w:p w14:paraId="035586DC" w14:textId="59788514" w:rsidR="00176304" w:rsidRDefault="00AC7ECF" w:rsidP="003620F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64,97</w:t>
            </w:r>
          </w:p>
        </w:tc>
        <w:tc>
          <w:tcPr>
            <w:tcW w:w="991" w:type="dxa"/>
          </w:tcPr>
          <w:p w14:paraId="03235595" w14:textId="41C57DDB" w:rsidR="00176304" w:rsidRDefault="00AC7ECF" w:rsidP="003620F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4,10</w:t>
            </w:r>
          </w:p>
        </w:tc>
      </w:tr>
    </w:tbl>
    <w:p w14:paraId="4FE3B46A" w14:textId="77777777" w:rsidR="00176304" w:rsidRDefault="00176304" w:rsidP="0022344D"/>
    <w:p w14:paraId="6D8D1495" w14:textId="0FF56CE2" w:rsidR="00176304" w:rsidRDefault="00AC7ECF" w:rsidP="0022344D">
      <w:r>
        <w:t>Detsembri</w:t>
      </w:r>
      <w:r w:rsidR="00176304" w:rsidRPr="00176304">
        <w:t xml:space="preserve"> NPS Eesti hinnapiirkonna tunnihinnad </w:t>
      </w:r>
      <w:r>
        <w:t xml:space="preserve">olid </w:t>
      </w:r>
      <w:r w:rsidR="006024ED">
        <w:t>üsna stabiilsed: 54</w:t>
      </w:r>
      <w:r w:rsidR="00176304" w:rsidRPr="00176304">
        <w:t>% ajast</w:t>
      </w:r>
      <w:r w:rsidR="006024ED">
        <w:t xml:space="preserve"> jäid hinnad</w:t>
      </w:r>
      <w:r w:rsidR="00176304" w:rsidRPr="00176304">
        <w:t xml:space="preserve"> alla 25 €/MWh</w:t>
      </w:r>
      <w:r w:rsidR="006024ED">
        <w:t>, s</w:t>
      </w:r>
      <w:r w:rsidR="00176304" w:rsidRPr="00176304">
        <w:t>uurim päevasisene hindade erinevus esines 2</w:t>
      </w:r>
      <w:r w:rsidR="006024ED">
        <w:t>1</w:t>
      </w:r>
      <w:r w:rsidR="00176304" w:rsidRPr="00176304">
        <w:t xml:space="preserve">. </w:t>
      </w:r>
      <w:r w:rsidR="006024ED">
        <w:t>dets</w:t>
      </w:r>
      <w:r w:rsidR="00176304" w:rsidRPr="00176304">
        <w:t xml:space="preserve">embril, mil päeva miinimum- ja maksimumhind erinesid </w:t>
      </w:r>
      <w:r w:rsidR="006024ED">
        <w:t>46,04</w:t>
      </w:r>
      <w:r w:rsidR="00176304" w:rsidRPr="00176304">
        <w:t xml:space="preserve"> euro võrra MWh kohta (</w:t>
      </w:r>
      <w:r w:rsidR="006024ED">
        <w:t>novem</w:t>
      </w:r>
      <w:r w:rsidR="00176304" w:rsidRPr="00176304">
        <w:t xml:space="preserve">bris </w:t>
      </w:r>
      <w:r w:rsidR="00176304">
        <w:t>oli suurim tunni</w:t>
      </w:r>
      <w:r w:rsidR="00176304" w:rsidRPr="00176304">
        <w:t xml:space="preserve">hindade erinevus </w:t>
      </w:r>
      <w:r w:rsidR="006024ED">
        <w:t xml:space="preserve">126,06 </w:t>
      </w:r>
      <w:r w:rsidR="00176304" w:rsidRPr="00176304">
        <w:t>€/MWh).</w:t>
      </w:r>
      <w:r w:rsidR="006024ED">
        <w:t xml:space="preserve"> Esimese jõulupüha ööl esine</w:t>
      </w:r>
      <w:r w:rsidR="0055665C">
        <w:softHyphen/>
      </w:r>
      <w:r w:rsidR="006024ED">
        <w:t>sid kõigi aegade madalaimad elektrihinnad NPS Eesti hinna</w:t>
      </w:r>
      <w:r w:rsidR="00354CE0">
        <w:softHyphen/>
      </w:r>
      <w:r w:rsidR="006024ED">
        <w:t xml:space="preserve">piirkonnas – </w:t>
      </w:r>
      <w:r w:rsidR="00826746">
        <w:t>kell</w:t>
      </w:r>
      <w:r w:rsidR="006024ED">
        <w:t xml:space="preserve"> 2-3 maksis elektrienergia 1,83 €/MWh, </w:t>
      </w:r>
      <w:r w:rsidR="00826746">
        <w:t>kell</w:t>
      </w:r>
      <w:r w:rsidR="006024ED">
        <w:t xml:space="preserve"> 3-4 0,46 €/MWh ja kõigi aegade miinimum</w:t>
      </w:r>
      <w:r w:rsidR="0055665C">
        <w:softHyphen/>
      </w:r>
      <w:r w:rsidR="006024ED">
        <w:t xml:space="preserve">hind 0,32 €/MWh </w:t>
      </w:r>
      <w:r w:rsidR="00826746">
        <w:t>oli kell</w:t>
      </w:r>
      <w:r w:rsidR="006024ED">
        <w:t xml:space="preserve"> 4-5.</w:t>
      </w:r>
    </w:p>
    <w:p w14:paraId="37570B6D" w14:textId="77777777" w:rsidR="00176304" w:rsidRDefault="00176304" w:rsidP="0022344D"/>
    <w:p w14:paraId="585B7C4F" w14:textId="2E100330" w:rsidR="00176304" w:rsidRDefault="00176304" w:rsidP="00BA7A51">
      <w:pPr>
        <w:spacing w:after="40"/>
      </w:pPr>
      <w:r>
        <w:rPr>
          <w:noProof/>
        </w:rPr>
        <w:drawing>
          <wp:inline distT="0" distB="0" distL="0" distR="0" wp14:anchorId="6A133A79" wp14:editId="32D4F036">
            <wp:extent cx="2971800" cy="1781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D3D1E" w14:textId="487BF63E" w:rsidR="009215A9" w:rsidRPr="0055665C" w:rsidRDefault="0055665C" w:rsidP="0022344D">
      <w:pPr>
        <w:rPr>
          <w:rStyle w:val="SubtleEmphasis"/>
        </w:rPr>
      </w:pPr>
      <w:r w:rsidRPr="0055665C">
        <w:rPr>
          <w:rStyle w:val="SubtleEmphasis"/>
        </w:rPr>
        <w:t>NPS Eesti hinnapiirk</w:t>
      </w:r>
      <w:r>
        <w:rPr>
          <w:rStyle w:val="SubtleEmphasis"/>
        </w:rPr>
        <w:t>onna hindade volatiilsus dets</w:t>
      </w:r>
      <w:r w:rsidRPr="0055665C">
        <w:rPr>
          <w:rStyle w:val="SubtleEmphasis"/>
        </w:rPr>
        <w:t>embris</w:t>
      </w:r>
      <w:r>
        <w:rPr>
          <w:rStyle w:val="SubtleEmphasis"/>
        </w:rPr>
        <w:t xml:space="preserve"> 2015</w:t>
      </w:r>
    </w:p>
    <w:p w14:paraId="274231E3" w14:textId="77777777" w:rsidR="0055665C" w:rsidRDefault="0055665C" w:rsidP="0022344D"/>
    <w:p w14:paraId="279F1E46" w14:textId="2E4FD197" w:rsidR="00176304" w:rsidRDefault="0055665C" w:rsidP="00176304">
      <w:pPr>
        <w:pStyle w:val="Heading2"/>
      </w:pPr>
      <w:r>
        <w:t>Võimsusvoog</w:t>
      </w:r>
    </w:p>
    <w:p w14:paraId="63085F82" w14:textId="78482847" w:rsidR="00F607C3" w:rsidRDefault="00F51163" w:rsidP="00176304">
      <w:r w:rsidRPr="00F51163">
        <w:t>Päev-ette Eesti ja Soome vaheline võimsusvoog oli 7</w:t>
      </w:r>
      <w:r>
        <w:t>2</w:t>
      </w:r>
      <w:r w:rsidRPr="00F51163">
        <w:t xml:space="preserve">4 tunnil suunatud Soomest Eestisse ja  </w:t>
      </w:r>
      <w:r>
        <w:t>20</w:t>
      </w:r>
      <w:r w:rsidRPr="00F51163">
        <w:t xml:space="preserve"> tunnil suunaga Eestist Soome (</w:t>
      </w:r>
      <w:r>
        <w:t>novembris</w:t>
      </w:r>
      <w:r w:rsidRPr="00F51163">
        <w:t xml:space="preserve"> vastavalt 7</w:t>
      </w:r>
      <w:r>
        <w:t>0</w:t>
      </w:r>
      <w:r w:rsidRPr="00F51163">
        <w:t>4 ja 1</w:t>
      </w:r>
      <w:r>
        <w:t>6</w:t>
      </w:r>
      <w:r w:rsidRPr="00F51163">
        <w:t xml:space="preserve"> tunnil). Üle</w:t>
      </w:r>
      <w:r w:rsidR="006F5F2B">
        <w:softHyphen/>
      </w:r>
      <w:r w:rsidRPr="00F51163">
        <w:t xml:space="preserve">kandevõimsus </w:t>
      </w:r>
      <w:r w:rsidR="00F607C3">
        <w:t xml:space="preserve">suunal Soome-Eesti </w:t>
      </w:r>
      <w:r w:rsidRPr="00F51163">
        <w:t xml:space="preserve">oli maksimaalses ulatuses koormatud </w:t>
      </w:r>
      <w:r>
        <w:t>17</w:t>
      </w:r>
      <w:r w:rsidRPr="00F51163">
        <w:t xml:space="preserve"> tunnil (</w:t>
      </w:r>
      <w:r>
        <w:t>novem</w:t>
      </w:r>
      <w:r w:rsidRPr="00F51163">
        <w:t xml:space="preserve">bris </w:t>
      </w:r>
      <w:r>
        <w:t>65</w:t>
      </w:r>
      <w:r w:rsidR="00F607C3">
        <w:t xml:space="preserve"> tunnil). Päevasiseste tehingute tulemusena suurenes pudelikael: suunal Soome-Eesti </w:t>
      </w:r>
      <w:r w:rsidR="00F607C3" w:rsidRPr="00354CE0">
        <w:t>kasutati</w:t>
      </w:r>
      <w:r w:rsidR="00F607C3">
        <w:t xml:space="preserve"> kogu ülekandevõimus ära 23 tunnil ja suunal Eesti-Soome kahel tunnil. Kõik need  üle</w:t>
      </w:r>
      <w:r w:rsidR="006F5F2B">
        <w:softHyphen/>
      </w:r>
      <w:r w:rsidR="00F607C3">
        <w:t>kandevõimsuse puudujäägid esinesid ajal</w:t>
      </w:r>
      <w:r w:rsidR="00F607C3" w:rsidRPr="00F51163">
        <w:t>, mil ühendustel ei olnud piiranguid (</w:t>
      </w:r>
      <w:r w:rsidR="00F607C3">
        <w:t>novembris esines ülekandevõimsuse puudujääk normaalrežiimil ühel tunnil</w:t>
      </w:r>
      <w:r w:rsidR="00F607C3" w:rsidRPr="00F51163">
        <w:t>).</w:t>
      </w:r>
    </w:p>
    <w:p w14:paraId="1421AA57" w14:textId="77777777" w:rsidR="00F607C3" w:rsidRDefault="00F607C3" w:rsidP="00176304"/>
    <w:p w14:paraId="404D6AEE" w14:textId="712667EA" w:rsidR="00F51163" w:rsidRDefault="00F51163" w:rsidP="00176304">
      <w:r w:rsidRPr="00F51163">
        <w:t xml:space="preserve">Ühel tunnil esines ka nn. alalisvooluühenduste </w:t>
      </w:r>
      <w:proofErr w:type="spellStart"/>
      <w:r w:rsidRPr="00F51163">
        <w:t>rampimise</w:t>
      </w:r>
      <w:proofErr w:type="spellEnd"/>
      <w:r w:rsidRPr="00F51163">
        <w:t xml:space="preserve"> p</w:t>
      </w:r>
      <w:r>
        <w:t>iirang</w:t>
      </w:r>
      <w:r w:rsidRPr="00F51163">
        <w:t xml:space="preserve"> (</w:t>
      </w:r>
      <w:r>
        <w:t xml:space="preserve">novembris </w:t>
      </w:r>
      <w:proofErr w:type="spellStart"/>
      <w:r>
        <w:t>rampimise</w:t>
      </w:r>
      <w:proofErr w:type="spellEnd"/>
      <w:r>
        <w:t xml:space="preserve"> piirangut ei esinenud</w:t>
      </w:r>
      <w:r w:rsidRPr="00F51163">
        <w:t xml:space="preserve">). </w:t>
      </w:r>
      <w:proofErr w:type="spellStart"/>
      <w:r w:rsidRPr="00F51163">
        <w:t>Ram</w:t>
      </w:r>
      <w:r w:rsidR="006F5F2B">
        <w:softHyphen/>
      </w:r>
      <w:r w:rsidRPr="00F51163">
        <w:t>pimise</w:t>
      </w:r>
      <w:proofErr w:type="spellEnd"/>
      <w:r w:rsidRPr="00F51163">
        <w:t xml:space="preserve"> piirang tähendab, et kõiki turutehinguid ei olnud võimalik täita, sest võimsusvoog </w:t>
      </w:r>
      <w:proofErr w:type="spellStart"/>
      <w:r w:rsidRPr="00F51163">
        <w:t>EstLinkidel</w:t>
      </w:r>
      <w:proofErr w:type="spellEnd"/>
      <w:r w:rsidRPr="00F51163">
        <w:t xml:space="preserve"> ei tohi muutu</w:t>
      </w:r>
      <w:r w:rsidR="006F5F2B">
        <w:softHyphen/>
      </w:r>
      <w:r w:rsidRPr="00F51163">
        <w:t xml:space="preserve">da üle 600 MW tunnis. Tegemist ei ole </w:t>
      </w:r>
      <w:proofErr w:type="spellStart"/>
      <w:r w:rsidRPr="00F51163">
        <w:t>EstLinkidest</w:t>
      </w:r>
      <w:proofErr w:type="spellEnd"/>
      <w:r w:rsidRPr="00F51163">
        <w:t xml:space="preserve"> tingitud tehnilise piiranguga, vaid eelpool mainitud piirang on va</w:t>
      </w:r>
      <w:r w:rsidR="006F5F2B">
        <w:softHyphen/>
      </w:r>
      <w:r w:rsidRPr="00F51163">
        <w:t>jalik Põhjamaade sünkroonala elektri</w:t>
      </w:r>
      <w:r w:rsidR="00354CE0">
        <w:softHyphen/>
      </w:r>
      <w:r w:rsidRPr="00F51163">
        <w:t>süsteemide töökindla talitluse tagamiseks.</w:t>
      </w:r>
    </w:p>
    <w:p w14:paraId="5A5CDD79" w14:textId="77777777" w:rsidR="00F607C3" w:rsidRDefault="00F607C3" w:rsidP="00176304"/>
    <w:p w14:paraId="37A961CB" w14:textId="5946E7EF" w:rsidR="00F607C3" w:rsidRDefault="00F607C3" w:rsidP="00BA7A51">
      <w:pPr>
        <w:spacing w:after="40"/>
      </w:pPr>
      <w:r>
        <w:rPr>
          <w:noProof/>
        </w:rPr>
        <w:drawing>
          <wp:inline distT="0" distB="0" distL="0" distR="0" wp14:anchorId="0BA833C6" wp14:editId="472E60DD">
            <wp:extent cx="2971800" cy="1762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9A03" w14:textId="437C7B9C" w:rsidR="00F607C3" w:rsidRDefault="00F607C3" w:rsidP="00176304">
      <w:r>
        <w:rPr>
          <w:rStyle w:val="SubtleEmphasis"/>
        </w:rPr>
        <w:t xml:space="preserve">NPS Eesti ja </w:t>
      </w:r>
      <w:r w:rsidR="006F5F2B">
        <w:rPr>
          <w:rStyle w:val="SubtleEmphasis"/>
        </w:rPr>
        <w:t xml:space="preserve">NPS </w:t>
      </w:r>
      <w:r>
        <w:rPr>
          <w:rStyle w:val="SubtleEmphasis"/>
        </w:rPr>
        <w:t>Soome vahelised võimsusvood 2015. a detsembris</w:t>
      </w:r>
    </w:p>
    <w:p w14:paraId="3CB58FC3" w14:textId="77777777" w:rsidR="00F607C3" w:rsidRDefault="00F607C3" w:rsidP="00176304"/>
    <w:p w14:paraId="1C58EDDB" w14:textId="696D6281" w:rsidR="00F607C3" w:rsidRDefault="006F5F2B" w:rsidP="00176304">
      <w:r w:rsidRPr="006F5F2B">
        <w:t xml:space="preserve">Ülekandevõimsuste jaotamise tulu põhivõrgu </w:t>
      </w:r>
      <w:proofErr w:type="spellStart"/>
      <w:r w:rsidRPr="006F5F2B">
        <w:t>ettevõte-tele</w:t>
      </w:r>
      <w:proofErr w:type="spellEnd"/>
      <w:r w:rsidRPr="006F5F2B">
        <w:t xml:space="preserve"> </w:t>
      </w:r>
      <w:proofErr w:type="spellStart"/>
      <w:r w:rsidRPr="006F5F2B">
        <w:t>Elering</w:t>
      </w:r>
      <w:proofErr w:type="spellEnd"/>
      <w:r w:rsidRPr="006F5F2B">
        <w:t xml:space="preserve"> ja </w:t>
      </w:r>
      <w:proofErr w:type="spellStart"/>
      <w:r w:rsidRPr="006F5F2B">
        <w:t>Fingrid</w:t>
      </w:r>
      <w:proofErr w:type="spellEnd"/>
      <w:r w:rsidRPr="006F5F2B">
        <w:t xml:space="preserve"> oli </w:t>
      </w:r>
      <w:r w:rsidR="000E35E0">
        <w:t>dets</w:t>
      </w:r>
      <w:r w:rsidRPr="006F5F2B">
        <w:t xml:space="preserve">embris kokku </w:t>
      </w:r>
      <w:r>
        <w:t>121</w:t>
      </w:r>
      <w:r w:rsidRPr="006F5F2B">
        <w:t xml:space="preserve"> </w:t>
      </w:r>
      <w:r>
        <w:t>638</w:t>
      </w:r>
      <w:r w:rsidRPr="006F5F2B">
        <w:t xml:space="preserve"> eurot (</w:t>
      </w:r>
      <w:r>
        <w:t>novembris</w:t>
      </w:r>
      <w:r w:rsidRPr="006F5F2B">
        <w:t xml:space="preserve"> </w:t>
      </w:r>
      <w:r>
        <w:t>443 648</w:t>
      </w:r>
      <w:r w:rsidRPr="006F5F2B">
        <w:t xml:space="preserve"> eu</w:t>
      </w:r>
      <w:r>
        <w:t xml:space="preserve">rot). </w:t>
      </w:r>
      <w:proofErr w:type="spellStart"/>
      <w:r>
        <w:t>Vastukaubandustehinguid</w:t>
      </w:r>
      <w:proofErr w:type="spellEnd"/>
      <w:r>
        <w:t xml:space="preserve"> det</w:t>
      </w:r>
      <w:r>
        <w:softHyphen/>
        <w:t xml:space="preserve">sembris vaja ei läinud </w:t>
      </w:r>
      <w:r w:rsidRPr="006F5F2B">
        <w:t>(</w:t>
      </w:r>
      <w:r>
        <w:t>novembris</w:t>
      </w:r>
      <w:r w:rsidRPr="006F5F2B">
        <w:t xml:space="preserve"> </w:t>
      </w:r>
      <w:r>
        <w:t xml:space="preserve">oli </w:t>
      </w:r>
      <w:proofErr w:type="spellStart"/>
      <w:r>
        <w:t>vastukaubandus</w:t>
      </w:r>
      <w:r w:rsidR="00354CE0">
        <w:softHyphen/>
      </w:r>
      <w:r>
        <w:t>kulu</w:t>
      </w:r>
      <w:proofErr w:type="spellEnd"/>
      <w:r>
        <w:t xml:space="preserve"> </w:t>
      </w:r>
      <w:proofErr w:type="spellStart"/>
      <w:r>
        <w:t>Eleringile</w:t>
      </w:r>
      <w:proofErr w:type="spellEnd"/>
      <w:r>
        <w:t xml:space="preserve"> 365 eurot</w:t>
      </w:r>
      <w:r w:rsidRPr="006F5F2B">
        <w:t>).</w:t>
      </w:r>
    </w:p>
    <w:p w14:paraId="7FAE8C97" w14:textId="77777777" w:rsidR="00F607C3" w:rsidRDefault="00F607C3" w:rsidP="00176304"/>
    <w:p w14:paraId="1E592212" w14:textId="1DB8EDF6" w:rsidR="00176304" w:rsidRDefault="006F5F2B" w:rsidP="00BA7A51">
      <w:pPr>
        <w:spacing w:after="40"/>
      </w:pPr>
      <w:r>
        <w:rPr>
          <w:noProof/>
        </w:rPr>
        <w:lastRenderedPageBreak/>
        <w:drawing>
          <wp:inline distT="0" distB="0" distL="0" distR="0" wp14:anchorId="391436B6" wp14:editId="4E729B34">
            <wp:extent cx="2971800" cy="1781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29AD9" w14:textId="2153BE40" w:rsidR="009215A9" w:rsidRDefault="006F5F2B" w:rsidP="006F5F2B">
      <w:pPr>
        <w:jc w:val="left"/>
      </w:pPr>
      <w:r>
        <w:rPr>
          <w:rStyle w:val="SubtleEmphasis"/>
        </w:rPr>
        <w:t xml:space="preserve">Ülekandevõimsuse jaotamise tulu </w:t>
      </w:r>
      <w:proofErr w:type="spellStart"/>
      <w:r>
        <w:rPr>
          <w:rStyle w:val="SubtleEmphasis"/>
        </w:rPr>
        <w:t>EstLink</w:t>
      </w:r>
      <w:proofErr w:type="spellEnd"/>
      <w:r>
        <w:rPr>
          <w:rStyle w:val="SubtleEmphasis"/>
        </w:rPr>
        <w:t xml:space="preserve"> kaablite omanikele 2015. aastal</w:t>
      </w:r>
    </w:p>
    <w:p w14:paraId="129B61C2" w14:textId="77777777" w:rsidR="009215A9" w:rsidRDefault="009215A9" w:rsidP="0022344D"/>
    <w:p w14:paraId="6E020AAB" w14:textId="463A7617" w:rsidR="009215A9" w:rsidRDefault="006F5F2B" w:rsidP="0022344D">
      <w:r>
        <w:t>Detsembris</w:t>
      </w:r>
      <w:r w:rsidRPr="006F5F2B">
        <w:t xml:space="preserve"> oli NPS Eesti ja NPS Läti ühendus päev-ette kauplemise tulemuste põhjal suunal Eestist Lätti täies ulatuses jaotatud </w:t>
      </w:r>
      <w:r>
        <w:t>592</w:t>
      </w:r>
      <w:r w:rsidRPr="006F5F2B">
        <w:t xml:space="preserve"> tunnil ehk </w:t>
      </w:r>
      <w:r>
        <w:t>79,6</w:t>
      </w:r>
      <w:r w:rsidRPr="006F5F2B">
        <w:t>% ajast (</w:t>
      </w:r>
      <w:r>
        <w:t>novem</w:t>
      </w:r>
      <w:r w:rsidRPr="006F5F2B">
        <w:t>bris 6</w:t>
      </w:r>
      <w:r>
        <w:t>07</w:t>
      </w:r>
      <w:r w:rsidRPr="006F5F2B">
        <w:t xml:space="preserve"> tunnil ehk 8</w:t>
      </w:r>
      <w:r>
        <w:t>4,3</w:t>
      </w:r>
      <w:r w:rsidRPr="006F5F2B">
        <w:t xml:space="preserve">% ajast). Kaubanduslik voog liikus Eestist Lätti </w:t>
      </w:r>
      <w:r>
        <w:t>742</w:t>
      </w:r>
      <w:r w:rsidRPr="006F5F2B">
        <w:t xml:space="preserve"> tunnil ning Lätist Eestisse </w:t>
      </w:r>
      <w:r>
        <w:t>kah</w:t>
      </w:r>
      <w:r w:rsidRPr="006F5F2B">
        <w:t>el tunnil. Kaubanduseks antud ülekandevõimsusest kasutati ära keskmiselt 9</w:t>
      </w:r>
      <w:r w:rsidR="00BD29B2">
        <w:t>3</w:t>
      </w:r>
      <w:r w:rsidRPr="006F5F2B">
        <w:t>,</w:t>
      </w:r>
      <w:r w:rsidR="00BD29B2">
        <w:t>8</w:t>
      </w:r>
      <w:r w:rsidRPr="006F5F2B">
        <w:t>% (</w:t>
      </w:r>
      <w:r w:rsidR="00BD29B2">
        <w:t>novembris</w:t>
      </w:r>
      <w:r w:rsidRPr="006F5F2B">
        <w:t xml:space="preserve"> 9</w:t>
      </w:r>
      <w:r w:rsidR="00BD29B2">
        <w:t>6</w:t>
      </w:r>
      <w:r w:rsidRPr="006F5F2B">
        <w:t>,</w:t>
      </w:r>
      <w:r w:rsidR="00BD29B2">
        <w:t>2</w:t>
      </w:r>
      <w:r w:rsidRPr="006F5F2B">
        <w:t>%).</w:t>
      </w:r>
    </w:p>
    <w:p w14:paraId="331A3FC0" w14:textId="77777777" w:rsidR="00BD29B2" w:rsidRDefault="00BD29B2" w:rsidP="0022344D"/>
    <w:p w14:paraId="110C72C8" w14:textId="78D5DCD4" w:rsidR="00BD29B2" w:rsidRDefault="00BD29B2" w:rsidP="0022344D">
      <w:r w:rsidRPr="00BD29B2">
        <w:t>Päevasisese kauplemise (ELBAS) tulemusena vähenes võimsuse puudujääk suunal Eestist Lätti 50</w:t>
      </w:r>
      <w:r>
        <w:t>4</w:t>
      </w:r>
      <w:r w:rsidRPr="00BD29B2">
        <w:t xml:space="preserve"> tunnini ehk </w:t>
      </w:r>
      <w:r>
        <w:t>67,7</w:t>
      </w:r>
      <w:r w:rsidRPr="00BD29B2">
        <w:t>% ajast (</w:t>
      </w:r>
      <w:r>
        <w:t xml:space="preserve">novembris </w:t>
      </w:r>
      <w:r w:rsidRPr="00BD29B2">
        <w:t>7</w:t>
      </w:r>
      <w:r>
        <w:t>0,6</w:t>
      </w:r>
      <w:r w:rsidRPr="00BD29B2">
        <w:t xml:space="preserve">% ajast). </w:t>
      </w:r>
      <w:r>
        <w:t xml:space="preserve">Pudelikael tekkis </w:t>
      </w:r>
      <w:r w:rsidRPr="00354CE0">
        <w:t>päevasises</w:t>
      </w:r>
      <w:r w:rsidR="00354CE0">
        <w:t>e</w:t>
      </w:r>
      <w:r>
        <w:t xml:space="preserve"> kauplemise tulemusel kahel tunnil ka suunal Läti-Eesti. </w:t>
      </w:r>
      <w:r w:rsidRPr="00BD29B2">
        <w:t xml:space="preserve">Ülekandevõimsuse puudujääki </w:t>
      </w:r>
      <w:r>
        <w:t xml:space="preserve">kummalgi </w:t>
      </w:r>
      <w:r w:rsidRPr="00BD29B2">
        <w:t>su</w:t>
      </w:r>
      <w:r>
        <w:t>u</w:t>
      </w:r>
      <w:r w:rsidR="00354CE0">
        <w:softHyphen/>
      </w:r>
      <w:r>
        <w:t>nal normaalrežii</w:t>
      </w:r>
      <w:r w:rsidRPr="00BD29B2">
        <w:t>mil ehk ajal, mil ühendelektrisüsteemis ei toimunud hooldus- või remonttöid</w:t>
      </w:r>
      <w:r>
        <w:t>,</w:t>
      </w:r>
      <w:r w:rsidRPr="00BD29B2">
        <w:t xml:space="preserve"> </w:t>
      </w:r>
      <w:r>
        <w:t>dets</w:t>
      </w:r>
      <w:r w:rsidRPr="00BD29B2">
        <w:t>embris ei esi</w:t>
      </w:r>
      <w:r w:rsidR="00354CE0">
        <w:softHyphen/>
      </w:r>
      <w:r w:rsidRPr="00BD29B2">
        <w:t>nenud (</w:t>
      </w:r>
      <w:r>
        <w:t>sarnaselt novembrile</w:t>
      </w:r>
      <w:r w:rsidRPr="00BD29B2">
        <w:t>). Eesti ja Läti vahelist piiri</w:t>
      </w:r>
      <w:r w:rsidR="00354CE0">
        <w:softHyphen/>
      </w:r>
      <w:r w:rsidRPr="00BD29B2">
        <w:t>ülest ülekandevõimsust mõjutasid peaasjalikult hooldus</w:t>
      </w:r>
      <w:r w:rsidR="00354CE0">
        <w:softHyphen/>
      </w:r>
      <w:r w:rsidRPr="00BD29B2">
        <w:t>tööd Eesti/Loode-Venemaa ja Läti vahelistel liinidel.</w:t>
      </w:r>
    </w:p>
    <w:p w14:paraId="322089F0" w14:textId="77777777" w:rsidR="00B82C56" w:rsidRDefault="00B82C56" w:rsidP="0022344D"/>
    <w:p w14:paraId="298AD689" w14:textId="773B933A" w:rsidR="00BD29B2" w:rsidRDefault="00BD29B2" w:rsidP="00BA7A51">
      <w:pPr>
        <w:spacing w:after="40"/>
      </w:pPr>
      <w:r>
        <w:rPr>
          <w:noProof/>
        </w:rPr>
        <w:drawing>
          <wp:inline distT="0" distB="0" distL="0" distR="0" wp14:anchorId="1C910C6F" wp14:editId="1E45CFA4">
            <wp:extent cx="2971800" cy="1781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51F4F" w14:textId="7D686CAC" w:rsidR="00BD29B2" w:rsidRDefault="00BD29B2" w:rsidP="0022344D">
      <w:r>
        <w:rPr>
          <w:rStyle w:val="SubtleEmphasis"/>
        </w:rPr>
        <w:t>NPS Eesti ja NPS Läti vahelised võimsusvood 2015. a detsembris</w:t>
      </w:r>
    </w:p>
    <w:p w14:paraId="329EF5DD" w14:textId="77777777" w:rsidR="00BD29B2" w:rsidRDefault="00BD29B2" w:rsidP="0022344D"/>
    <w:p w14:paraId="174AE2CC" w14:textId="00300C4B" w:rsidR="00BD29B2" w:rsidRDefault="00BD29B2" w:rsidP="0022344D">
      <w:r w:rsidRPr="00BD29B2">
        <w:t>Päev-ette võimsuste jaotamisest saadav tulu Eesti ja Läti ristlõikel, mis jag</w:t>
      </w:r>
      <w:r>
        <w:t>uneb võrdsetes osades põhivõrgu</w:t>
      </w:r>
      <w:r w:rsidRPr="00BD29B2">
        <w:t>ette</w:t>
      </w:r>
      <w:r>
        <w:softHyphen/>
      </w:r>
      <w:r w:rsidRPr="00BD29B2">
        <w:t xml:space="preserve">võtete </w:t>
      </w:r>
      <w:proofErr w:type="spellStart"/>
      <w:r w:rsidRPr="00BD29B2">
        <w:t>Elering</w:t>
      </w:r>
      <w:proofErr w:type="spellEnd"/>
      <w:r w:rsidRPr="00BD29B2">
        <w:t xml:space="preserve"> ja </w:t>
      </w:r>
      <w:proofErr w:type="spellStart"/>
      <w:r w:rsidRPr="00BD29B2">
        <w:t>Augstsprieguma</w:t>
      </w:r>
      <w:proofErr w:type="spellEnd"/>
      <w:r w:rsidRPr="00BD29B2">
        <w:t xml:space="preserve"> </w:t>
      </w:r>
      <w:proofErr w:type="spellStart"/>
      <w:r w:rsidRPr="00BD29B2">
        <w:t>tīkls</w:t>
      </w:r>
      <w:proofErr w:type="spellEnd"/>
      <w:r w:rsidRPr="00BD29B2">
        <w:t xml:space="preserve"> vahel, oli </w:t>
      </w:r>
      <w:r>
        <w:t>det</w:t>
      </w:r>
      <w:r w:rsidR="00354CE0">
        <w:softHyphen/>
      </w:r>
      <w:r>
        <w:t>s</w:t>
      </w:r>
      <w:r w:rsidRPr="00BD29B2">
        <w:t>emb</w:t>
      </w:r>
      <w:r>
        <w:softHyphen/>
      </w:r>
      <w:r w:rsidRPr="00BD29B2">
        <w:t>ris 5,</w:t>
      </w:r>
      <w:r>
        <w:t>3</w:t>
      </w:r>
      <w:r w:rsidRPr="00BD29B2">
        <w:t xml:space="preserve"> miljonit eurot (novembris 5,7 miljonit eurot). </w:t>
      </w:r>
      <w:r>
        <w:t>Det</w:t>
      </w:r>
      <w:r w:rsidR="00354CE0">
        <w:softHyphen/>
      </w:r>
      <w:r>
        <w:t>s</w:t>
      </w:r>
      <w:r w:rsidRPr="00BD29B2">
        <w:t>embris Eesti ja Läti piiriüleste ühenduste ülekoormu</w:t>
      </w:r>
      <w:r w:rsidR="00354CE0">
        <w:softHyphen/>
      </w:r>
      <w:r w:rsidRPr="00BD29B2">
        <w:t xml:space="preserve">se vältimiseks </w:t>
      </w:r>
      <w:proofErr w:type="spellStart"/>
      <w:r w:rsidRPr="00BD29B2">
        <w:t>vastukaubandust</w:t>
      </w:r>
      <w:proofErr w:type="spellEnd"/>
      <w:r>
        <w:t xml:space="preserve"> vaja ei läinud</w:t>
      </w:r>
      <w:r w:rsidR="004E5CE0">
        <w:t xml:space="preserve"> (n</w:t>
      </w:r>
      <w:r>
        <w:t>ovembri t</w:t>
      </w:r>
      <w:r w:rsidRPr="00BD29B2">
        <w:t xml:space="preserve">ehingute kulu </w:t>
      </w:r>
      <w:r>
        <w:t xml:space="preserve">oli </w:t>
      </w:r>
      <w:proofErr w:type="spellStart"/>
      <w:r w:rsidRPr="00BD29B2">
        <w:t>Eleringile</w:t>
      </w:r>
      <w:proofErr w:type="spellEnd"/>
      <w:r w:rsidRPr="00BD29B2">
        <w:t xml:space="preserve"> </w:t>
      </w:r>
      <w:r>
        <w:t>4 960 eurot</w:t>
      </w:r>
      <w:r w:rsidR="004E5CE0">
        <w:t>)</w:t>
      </w:r>
      <w:r w:rsidRPr="00BD29B2">
        <w:t>.</w:t>
      </w:r>
    </w:p>
    <w:p w14:paraId="2EEB78D6" w14:textId="77777777" w:rsidR="00BD29B2" w:rsidRDefault="00BD29B2" w:rsidP="0022344D"/>
    <w:p w14:paraId="1A878395" w14:textId="553CC54F" w:rsidR="00BD29B2" w:rsidRDefault="00BD29B2" w:rsidP="00BA7A51">
      <w:pPr>
        <w:spacing w:after="40"/>
      </w:pPr>
      <w:r>
        <w:rPr>
          <w:noProof/>
        </w:rPr>
        <w:lastRenderedPageBreak/>
        <w:drawing>
          <wp:inline distT="0" distB="0" distL="0" distR="0" wp14:anchorId="730559DD" wp14:editId="15CF8562">
            <wp:extent cx="2971800" cy="1781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8DDE6" w14:textId="78F04FCF" w:rsidR="00BD29B2" w:rsidRDefault="00BD29B2" w:rsidP="0022344D">
      <w:r>
        <w:rPr>
          <w:rStyle w:val="SubtleEmphasis"/>
        </w:rPr>
        <w:t>Ülekandevõimsuse tulu Eesti-Läti piiril 2015. aastal</w:t>
      </w:r>
    </w:p>
    <w:p w14:paraId="2B935A81" w14:textId="77777777" w:rsidR="00BD29B2" w:rsidRDefault="00BD29B2" w:rsidP="0022344D"/>
    <w:p w14:paraId="4F03D7C9" w14:textId="77777777" w:rsidR="00BD29B2" w:rsidRDefault="00BD29B2" w:rsidP="0022344D"/>
    <w:p w14:paraId="7429FB7B" w14:textId="74CF1940" w:rsidR="00BD29B2" w:rsidRDefault="00BD29B2" w:rsidP="00BD29B2">
      <w:pPr>
        <w:pStyle w:val="Heading2"/>
      </w:pPr>
      <w:r>
        <w:t>NPS kogused</w:t>
      </w:r>
    </w:p>
    <w:p w14:paraId="2455A537" w14:textId="01B459B4" w:rsidR="00BD29B2" w:rsidRDefault="004E5CE0" w:rsidP="0022344D">
      <w:r>
        <w:t>Dets</w:t>
      </w:r>
      <w:r w:rsidRPr="004E5CE0">
        <w:t>embris osteti NPS Eesti hinnapiirkonnas päev-ette turul 6</w:t>
      </w:r>
      <w:r>
        <w:t>32</w:t>
      </w:r>
      <w:r w:rsidRPr="004E5CE0">
        <w:t xml:space="preserve"> </w:t>
      </w:r>
      <w:proofErr w:type="spellStart"/>
      <w:r w:rsidRPr="004E5CE0">
        <w:t>GWh</w:t>
      </w:r>
      <w:proofErr w:type="spellEnd"/>
      <w:r w:rsidRPr="004E5CE0">
        <w:t xml:space="preserve"> elektrienergiat (</w:t>
      </w:r>
      <w:r>
        <w:t>novembris</w:t>
      </w:r>
      <w:r w:rsidRPr="004E5CE0">
        <w:t xml:space="preserve"> </w:t>
      </w:r>
      <w:r>
        <w:t>601</w:t>
      </w:r>
      <w:r w:rsidRPr="004E5CE0">
        <w:t xml:space="preserve"> </w:t>
      </w:r>
      <w:proofErr w:type="spellStart"/>
      <w:r w:rsidRPr="004E5CE0">
        <w:t>GWh</w:t>
      </w:r>
      <w:proofErr w:type="spellEnd"/>
      <w:r w:rsidRPr="004E5CE0">
        <w:t>) ja müüdi 6</w:t>
      </w:r>
      <w:r>
        <w:t>65</w:t>
      </w:r>
      <w:r w:rsidRPr="004E5CE0">
        <w:t xml:space="preserve"> </w:t>
      </w:r>
      <w:proofErr w:type="spellStart"/>
      <w:r w:rsidRPr="004E5CE0">
        <w:t>GWh</w:t>
      </w:r>
      <w:proofErr w:type="spellEnd"/>
      <w:r w:rsidRPr="004E5CE0">
        <w:t xml:space="preserve"> elektrienergiat (</w:t>
      </w:r>
      <w:r>
        <w:t>novembris</w:t>
      </w:r>
      <w:r w:rsidRPr="004E5CE0">
        <w:t xml:space="preserve"> </w:t>
      </w:r>
      <w:r>
        <w:t>657</w:t>
      </w:r>
      <w:r w:rsidRPr="004E5CE0">
        <w:t xml:space="preserve"> </w:t>
      </w:r>
      <w:proofErr w:type="spellStart"/>
      <w:r w:rsidRPr="004E5CE0">
        <w:t>GWh</w:t>
      </w:r>
      <w:proofErr w:type="spellEnd"/>
      <w:r w:rsidRPr="004E5CE0">
        <w:t>).</w:t>
      </w:r>
    </w:p>
    <w:p w14:paraId="04AFF6FE" w14:textId="77777777" w:rsidR="00BD29B2" w:rsidRDefault="00BD29B2" w:rsidP="0022344D"/>
    <w:p w14:paraId="37497BC7" w14:textId="54C8EC89" w:rsidR="004E5CE0" w:rsidRDefault="004E5CE0" w:rsidP="0022344D">
      <w:r>
        <w:rPr>
          <w:noProof/>
        </w:rPr>
        <w:drawing>
          <wp:inline distT="0" distB="0" distL="0" distR="0" wp14:anchorId="67238F95" wp14:editId="758D9CE5">
            <wp:extent cx="2971800" cy="1781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E53A4" w14:textId="518FAC8F" w:rsidR="004E5CE0" w:rsidRDefault="004E5CE0" w:rsidP="0022344D">
      <w:r w:rsidRPr="004E5CE0">
        <w:rPr>
          <w:rStyle w:val="SubtleEmphasis"/>
        </w:rPr>
        <w:t xml:space="preserve">NPS </w:t>
      </w:r>
      <w:proofErr w:type="spellStart"/>
      <w:r w:rsidRPr="004E5CE0">
        <w:rPr>
          <w:rStyle w:val="SubtleEmphasis"/>
        </w:rPr>
        <w:t>Elspot</w:t>
      </w:r>
      <w:proofErr w:type="spellEnd"/>
      <w:r w:rsidRPr="004E5CE0">
        <w:rPr>
          <w:rStyle w:val="SubtleEmphasis"/>
        </w:rPr>
        <w:t xml:space="preserve"> Eesti hinnapiirkonnas ostetud ja müüdud kogused</w:t>
      </w:r>
      <w:r w:rsidR="000B753D">
        <w:rPr>
          <w:rStyle w:val="SubtleEmphasis"/>
        </w:rPr>
        <w:t xml:space="preserve"> </w:t>
      </w:r>
      <w:r w:rsidRPr="004E5CE0">
        <w:rPr>
          <w:rStyle w:val="SubtleEmphasis"/>
        </w:rPr>
        <w:t>2015. aastal</w:t>
      </w:r>
    </w:p>
    <w:p w14:paraId="3B7B85F5" w14:textId="77777777" w:rsidR="004E5CE0" w:rsidRDefault="004E5CE0" w:rsidP="0022344D"/>
    <w:p w14:paraId="0CCED782" w14:textId="729D0591" w:rsidR="004E5CE0" w:rsidRDefault="000B753D" w:rsidP="0022344D">
      <w:r w:rsidRPr="000B753D">
        <w:t xml:space="preserve">NPS </w:t>
      </w:r>
      <w:proofErr w:type="spellStart"/>
      <w:r w:rsidRPr="000B753D">
        <w:t>Elspot</w:t>
      </w:r>
      <w:proofErr w:type="spellEnd"/>
      <w:r w:rsidRPr="000B753D">
        <w:t xml:space="preserve"> tehingute alusel eksporditi Eestist Soome </w:t>
      </w:r>
      <w:r>
        <w:t>3,2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, Soomest Eestisse imporditi </w:t>
      </w:r>
      <w:r>
        <w:t>399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elektrienergiat (</w:t>
      </w:r>
      <w:r>
        <w:t>novembris</w:t>
      </w:r>
      <w:r w:rsidRPr="000B753D">
        <w:t xml:space="preserve"> eksporditi Soome </w:t>
      </w:r>
      <w:r>
        <w:t>4,3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ja imporditi Soomest </w:t>
      </w:r>
      <w:r>
        <w:t>379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>). Päev-ette eksport Lätti oli 4</w:t>
      </w:r>
      <w:r>
        <w:t>29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(</w:t>
      </w:r>
      <w:r>
        <w:t>n</w:t>
      </w:r>
      <w:r w:rsidRPr="000B753D">
        <w:t>o</w:t>
      </w:r>
      <w:r>
        <w:t>vem</w:t>
      </w:r>
      <w:r w:rsidRPr="000B753D">
        <w:t xml:space="preserve">bris </w:t>
      </w:r>
      <w:r>
        <w:t>431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), Lätist Eestisse liikus </w:t>
      </w:r>
      <w:r>
        <w:t>0,2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(</w:t>
      </w:r>
      <w:r>
        <w:t>n</w:t>
      </w:r>
      <w:r w:rsidRPr="000B753D">
        <w:t>o</w:t>
      </w:r>
      <w:r>
        <w:t>vem</w:t>
      </w:r>
      <w:r w:rsidRPr="000B753D">
        <w:t xml:space="preserve">bris </w:t>
      </w:r>
      <w:r>
        <w:t>1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>).</w:t>
      </w:r>
    </w:p>
    <w:p w14:paraId="762E3EFC" w14:textId="77777777" w:rsidR="004E5CE0" w:rsidRDefault="004E5CE0" w:rsidP="0022344D"/>
    <w:p w14:paraId="6733428E" w14:textId="46CF701A" w:rsidR="004E5CE0" w:rsidRDefault="000B753D" w:rsidP="00BA7A51">
      <w:pPr>
        <w:spacing w:after="40"/>
      </w:pPr>
      <w:r>
        <w:rPr>
          <w:noProof/>
        </w:rPr>
        <w:drawing>
          <wp:inline distT="0" distB="0" distL="0" distR="0" wp14:anchorId="542D8F5E" wp14:editId="03C20F3E">
            <wp:extent cx="2971800" cy="1781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D28EA" w14:textId="7085F43D" w:rsidR="004E5CE0" w:rsidRDefault="000B753D" w:rsidP="0022344D">
      <w:r w:rsidRPr="000B753D">
        <w:rPr>
          <w:rStyle w:val="SubtleEmphasis"/>
        </w:rPr>
        <w:t xml:space="preserve">NPS Eesti hinnapiirkonna </w:t>
      </w:r>
      <w:proofErr w:type="spellStart"/>
      <w:r w:rsidRPr="000B753D">
        <w:rPr>
          <w:rStyle w:val="SubtleEmphasis"/>
        </w:rPr>
        <w:t>Elspot</w:t>
      </w:r>
      <w:proofErr w:type="spellEnd"/>
      <w:r w:rsidRPr="000B753D">
        <w:rPr>
          <w:rStyle w:val="SubtleEmphasis"/>
        </w:rPr>
        <w:t xml:space="preserve"> turu import Soomest ja eksport Lätti 2015. aastal</w:t>
      </w:r>
    </w:p>
    <w:p w14:paraId="0CEB6FC9" w14:textId="77777777" w:rsidR="000B753D" w:rsidRDefault="000B753D" w:rsidP="0022344D"/>
    <w:p w14:paraId="3F2C18E8" w14:textId="1A1CD094" w:rsidR="000B753D" w:rsidRDefault="000B753D" w:rsidP="0022344D">
      <w:r w:rsidRPr="000B753D">
        <w:t xml:space="preserve">Eesti turuosalised ostsid </w:t>
      </w:r>
      <w:r w:rsidR="00826746">
        <w:t>dets</w:t>
      </w:r>
      <w:r>
        <w:t>embris</w:t>
      </w:r>
      <w:r w:rsidRPr="000B753D">
        <w:t xml:space="preserve"> siseriikliku tarbimise katteks elektrienergiat kokku päev-ette (</w:t>
      </w:r>
      <w:proofErr w:type="spellStart"/>
      <w:r w:rsidRPr="000B753D">
        <w:t>Elspot</w:t>
      </w:r>
      <w:proofErr w:type="spellEnd"/>
      <w:r w:rsidRPr="000B753D">
        <w:t xml:space="preserve">) ja päevasiseselt (Elbas) turult </w:t>
      </w:r>
      <w:r w:rsidR="00826746">
        <w:t>95</w:t>
      </w:r>
      <w:r w:rsidRPr="000B753D">
        <w:t xml:space="preserve">% ulatuses ehk </w:t>
      </w:r>
      <w:r>
        <w:t>639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</w:t>
      </w:r>
      <w:r w:rsidRPr="000B753D">
        <w:lastRenderedPageBreak/>
        <w:t>(</w:t>
      </w:r>
      <w:r>
        <w:t>novembris</w:t>
      </w:r>
      <w:r w:rsidRPr="000B753D">
        <w:t xml:space="preserve"> </w:t>
      </w:r>
      <w:r w:rsidR="00826746">
        <w:t>93</w:t>
      </w:r>
      <w:r w:rsidRPr="000B753D">
        <w:t>% ehk 6</w:t>
      </w:r>
      <w:r>
        <w:t>12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). Eestis toodetud </w:t>
      </w:r>
      <w:r w:rsidR="00826746">
        <w:t>781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elektrienergiast müüdi päev-ette ja päevasisesel turul </w:t>
      </w:r>
      <w:r w:rsidR="00826746">
        <w:t>86</w:t>
      </w:r>
      <w:r w:rsidRPr="000B753D">
        <w:t>% ehk 6</w:t>
      </w:r>
      <w:r>
        <w:t>70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(</w:t>
      </w:r>
      <w:r>
        <w:t>novembris</w:t>
      </w:r>
      <w:r w:rsidRPr="000B753D">
        <w:t xml:space="preserve"> </w:t>
      </w:r>
      <w:r>
        <w:t>85</w:t>
      </w:r>
      <w:r w:rsidRPr="000B753D">
        <w:t>% ehk 6</w:t>
      </w:r>
      <w:r>
        <w:t>61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>).</w:t>
      </w:r>
    </w:p>
    <w:p w14:paraId="0206129C" w14:textId="77777777" w:rsidR="000B753D" w:rsidRDefault="000B753D" w:rsidP="0022344D"/>
    <w:p w14:paraId="3E04942F" w14:textId="50D7407B" w:rsidR="000B753D" w:rsidRDefault="000B753D" w:rsidP="00BA7A51">
      <w:pPr>
        <w:spacing w:after="40"/>
      </w:pPr>
      <w:r>
        <w:rPr>
          <w:noProof/>
        </w:rPr>
        <w:drawing>
          <wp:inline distT="0" distB="0" distL="0" distR="0" wp14:anchorId="505ECC12" wp14:editId="72A8CD42">
            <wp:extent cx="2971800" cy="1781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59AAE" w14:textId="1B5A9EE7" w:rsidR="000B753D" w:rsidRDefault="000B753D" w:rsidP="0022344D">
      <w:r w:rsidRPr="000B753D">
        <w:rPr>
          <w:rStyle w:val="SubtleEmphasis"/>
        </w:rPr>
        <w:t>Elbas turul päevasiseselt kaubeldud kogused 2015. aastal</w:t>
      </w:r>
    </w:p>
    <w:p w14:paraId="61FBDA41" w14:textId="77777777" w:rsidR="000B753D" w:rsidRDefault="000B753D" w:rsidP="0022344D"/>
    <w:p w14:paraId="19C4608A" w14:textId="37D30B15" w:rsidR="000B753D" w:rsidRDefault="000B753D" w:rsidP="0022344D">
      <w:r w:rsidRPr="000B753D">
        <w:t xml:space="preserve">NPS Elbas turu Eesti hinnapiirkonnas osteti </w:t>
      </w:r>
      <w:r>
        <w:t>dets</w:t>
      </w:r>
      <w:r w:rsidRPr="000B753D">
        <w:t xml:space="preserve">embris </w:t>
      </w:r>
      <w:r>
        <w:t>7,7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ning müüdi </w:t>
      </w:r>
      <w:r>
        <w:t>5,2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elektrienergiat (</w:t>
      </w:r>
      <w:r>
        <w:t>novembris</w:t>
      </w:r>
      <w:r w:rsidRPr="000B753D">
        <w:t xml:space="preserve"> vastavalt </w:t>
      </w:r>
      <w:r>
        <w:t>10</w:t>
      </w:r>
      <w:r w:rsidRPr="000B753D">
        <w:t xml:space="preserve">,9 </w:t>
      </w:r>
      <w:proofErr w:type="spellStart"/>
      <w:r w:rsidRPr="000B753D">
        <w:t>GWh</w:t>
      </w:r>
      <w:proofErr w:type="spellEnd"/>
      <w:r w:rsidRPr="000B753D">
        <w:t xml:space="preserve"> ja </w:t>
      </w:r>
      <w:r>
        <w:t>4</w:t>
      </w:r>
      <w:r w:rsidRPr="000B753D">
        <w:t>,</w:t>
      </w:r>
      <w:r>
        <w:t>0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>).</w:t>
      </w:r>
    </w:p>
    <w:p w14:paraId="365CFF85" w14:textId="77777777" w:rsidR="000B753D" w:rsidRDefault="000B753D" w:rsidP="0022344D"/>
    <w:p w14:paraId="7E8ED61C" w14:textId="1F35188A" w:rsidR="000B753D" w:rsidRDefault="000B753D" w:rsidP="00BA7A51">
      <w:pPr>
        <w:spacing w:after="40"/>
      </w:pPr>
      <w:r>
        <w:rPr>
          <w:noProof/>
        </w:rPr>
        <w:drawing>
          <wp:inline distT="0" distB="0" distL="0" distR="0" wp14:anchorId="67CB03EC" wp14:editId="688A5D95">
            <wp:extent cx="2971800" cy="1781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8FA57" w14:textId="6AD2B564" w:rsidR="000B753D" w:rsidRDefault="000B753D" w:rsidP="0022344D">
      <w:r w:rsidRPr="000B753D">
        <w:rPr>
          <w:rStyle w:val="SubtleEmphasis"/>
        </w:rPr>
        <w:t>NPS Eesti ja NPS Läti hinnapiirkondades ostetud ja müüdud kog</w:t>
      </w:r>
      <w:r>
        <w:rPr>
          <w:rStyle w:val="SubtleEmphasis"/>
        </w:rPr>
        <w:t>uste käive 2015. aastal</w:t>
      </w:r>
    </w:p>
    <w:p w14:paraId="7B68B358" w14:textId="77777777" w:rsidR="000B753D" w:rsidRDefault="000B753D" w:rsidP="0022344D"/>
    <w:p w14:paraId="1DB842F6" w14:textId="154051E9" w:rsidR="000B753D" w:rsidRDefault="000B753D" w:rsidP="0022344D">
      <w:r w:rsidRPr="000B753D">
        <w:t xml:space="preserve">NPS Eesti hinnapiirkonnas päev-ette ostetud koguste käive oli </w:t>
      </w:r>
      <w:r>
        <w:t>detsembris</w:t>
      </w:r>
      <w:r w:rsidRPr="000B753D">
        <w:t xml:space="preserve"> kokku </w:t>
      </w:r>
      <w:r>
        <w:t>18,5</w:t>
      </w:r>
      <w:r w:rsidRPr="000B753D">
        <w:t xml:space="preserve"> miljonit eurot ja NPS Läti piirkonnas </w:t>
      </w:r>
      <w:r>
        <w:t>26,2</w:t>
      </w:r>
      <w:r w:rsidRPr="000B753D">
        <w:t xml:space="preserve"> miljonit eurot (</w:t>
      </w:r>
      <w:r>
        <w:t>novembris</w:t>
      </w:r>
      <w:r w:rsidRPr="000B753D">
        <w:t xml:space="preserve"> vastavalt </w:t>
      </w:r>
      <w:r>
        <w:t>21</w:t>
      </w:r>
      <w:r w:rsidRPr="000B753D">
        <w:t xml:space="preserve"> ja </w:t>
      </w:r>
      <w:r>
        <w:t>29,6</w:t>
      </w:r>
      <w:r w:rsidRPr="000B753D">
        <w:t xml:space="preserve"> miljonit eurot). Müüdud koguste käive oli NPS Eesti hinnapiirkonnas </w:t>
      </w:r>
      <w:r w:rsidR="00A0454C">
        <w:t>20,3</w:t>
      </w:r>
      <w:r w:rsidRPr="000B753D">
        <w:t xml:space="preserve"> miljonit eurot ja NPS Läti hinnapiirkonnas </w:t>
      </w:r>
      <w:r w:rsidR="00A0454C">
        <w:t>22,9</w:t>
      </w:r>
      <w:r w:rsidRPr="000B753D">
        <w:t xml:space="preserve"> miljonit eurot (</w:t>
      </w:r>
      <w:r w:rsidR="00A0454C">
        <w:t>novembris</w:t>
      </w:r>
      <w:r w:rsidRPr="000B753D">
        <w:t xml:space="preserve"> vastavalt 2</w:t>
      </w:r>
      <w:r w:rsidR="00A0454C">
        <w:t>3</w:t>
      </w:r>
      <w:r w:rsidRPr="000B753D">
        <w:t>,6 miljonit eurot ja 2</w:t>
      </w:r>
      <w:r w:rsidR="00A0454C">
        <w:t>8</w:t>
      </w:r>
      <w:r w:rsidRPr="000B753D">
        <w:t>,</w:t>
      </w:r>
      <w:r w:rsidR="00A0454C">
        <w:t>3</w:t>
      </w:r>
      <w:r w:rsidRPr="000B753D">
        <w:t xml:space="preserve"> miljonit eurot)</w:t>
      </w:r>
      <w:r w:rsidR="00A0454C">
        <w:t>.</w:t>
      </w:r>
    </w:p>
    <w:p w14:paraId="5F9322F2" w14:textId="77777777" w:rsidR="00A0454C" w:rsidRDefault="00A0454C" w:rsidP="0022344D"/>
    <w:p w14:paraId="52223411" w14:textId="1E75F8CC" w:rsidR="00A0454C" w:rsidRDefault="00A0454C" w:rsidP="00A0454C">
      <w:pPr>
        <w:pStyle w:val="Heading2"/>
      </w:pPr>
      <w:r>
        <w:t>Tulevikutehingud</w:t>
      </w:r>
    </w:p>
    <w:p w14:paraId="2AB08CCF" w14:textId="763E1A00" w:rsidR="00A0454C" w:rsidRDefault="00A0454C" w:rsidP="00A0454C">
      <w:proofErr w:type="spellStart"/>
      <w:r w:rsidRPr="008D6ED6">
        <w:t>Nasdaq</w:t>
      </w:r>
      <w:proofErr w:type="spellEnd"/>
      <w:r w:rsidRPr="008D6ED6">
        <w:t xml:space="preserve"> OMX </w:t>
      </w:r>
      <w:proofErr w:type="spellStart"/>
      <w:r w:rsidRPr="008D6ED6">
        <w:t>Commodities</w:t>
      </w:r>
      <w:proofErr w:type="spellEnd"/>
      <w:r w:rsidRPr="00A0454C">
        <w:t xml:space="preserve"> 2015. aasta </w:t>
      </w:r>
      <w:r w:rsidR="002D5711">
        <w:t>detsembri</w:t>
      </w:r>
      <w:r w:rsidRPr="00A0454C">
        <w:t xml:space="preserve"> viimase kauplemispäeva </w:t>
      </w:r>
      <w:r w:rsidR="002D5711">
        <w:t xml:space="preserve">(30.12.2015) </w:t>
      </w:r>
      <w:r w:rsidRPr="00A0454C">
        <w:t>tulevikutehingute põhjal kujuneb NPS süsteemihinnaks 2016. a jaanuaris 2</w:t>
      </w:r>
      <w:r w:rsidR="002D5711">
        <w:t>4</w:t>
      </w:r>
      <w:r w:rsidRPr="00A0454C">
        <w:t>,</w:t>
      </w:r>
      <w:r w:rsidR="002D5711">
        <w:t>15</w:t>
      </w:r>
      <w:r w:rsidRPr="00A0454C">
        <w:t xml:space="preserve"> €/MWh ja 2016. a esimese kvartali hinnaks prognoosisid kauplejad 2</w:t>
      </w:r>
      <w:r w:rsidR="002D5711">
        <w:t>1</w:t>
      </w:r>
      <w:r w:rsidRPr="00A0454C">
        <w:t>,</w:t>
      </w:r>
      <w:r w:rsidR="002D5711">
        <w:t>9</w:t>
      </w:r>
      <w:r w:rsidRPr="00A0454C">
        <w:t>0 €/MWh. EPAD Tallinn lepingute sulge</w:t>
      </w:r>
      <w:r w:rsidR="00354CE0">
        <w:softHyphen/>
      </w:r>
      <w:r w:rsidRPr="00A0454C">
        <w:t xml:space="preserve">mishind oli 2016. aasta jaanuari tootel </w:t>
      </w:r>
      <w:r w:rsidR="002D5711">
        <w:t>13,31</w:t>
      </w:r>
      <w:r w:rsidRPr="00A0454C">
        <w:t xml:space="preserve"> €/MWh ning 2016. aasta esimese kvartali tootel </w:t>
      </w:r>
      <w:r w:rsidR="002D5711">
        <w:t>14,09</w:t>
      </w:r>
      <w:r w:rsidRPr="00A0454C">
        <w:t xml:space="preserve"> €/MWh</w:t>
      </w:r>
      <w:r w:rsidR="002D5711">
        <w:t>, mõle</w:t>
      </w:r>
      <w:r w:rsidR="00354CE0">
        <w:softHyphen/>
      </w:r>
      <w:r w:rsidR="002D5711">
        <w:t>ma hinnad on oluliselt kasvanud võrreldes novembri lõpu</w:t>
      </w:r>
      <w:r w:rsidR="00354CE0">
        <w:softHyphen/>
      </w:r>
      <w:r w:rsidR="002D5711">
        <w:t>ga</w:t>
      </w:r>
      <w:r w:rsidRPr="00A0454C">
        <w:t xml:space="preserve">. </w:t>
      </w:r>
      <w:r w:rsidR="00354CE0">
        <w:t xml:space="preserve">Üks põhjuseid hinna kasvule on kindlasti probleemid Leedu-Rootsi vahelise kaabli </w:t>
      </w:r>
      <w:proofErr w:type="spellStart"/>
      <w:r w:rsidR="00354CE0">
        <w:t>töössesaamisel</w:t>
      </w:r>
      <w:proofErr w:type="spellEnd"/>
      <w:r w:rsidR="00354CE0">
        <w:t xml:space="preserve">. </w:t>
      </w:r>
      <w:r w:rsidR="003E7A6C">
        <w:t>Tehingute</w:t>
      </w:r>
      <w:r w:rsidRPr="00A0454C">
        <w:t xml:space="preserve"> põhjal kujuneks 2016. aasta jaanuari keskmiseks elektri</w:t>
      </w:r>
      <w:r w:rsidR="003E7A6C">
        <w:softHyphen/>
      </w:r>
      <w:r w:rsidRPr="00A0454C">
        <w:t xml:space="preserve">energia hinnaks NPS Eesti hinnapiirkonnas </w:t>
      </w:r>
      <w:r w:rsidR="002D5711">
        <w:t xml:space="preserve">37,46 </w:t>
      </w:r>
      <w:r w:rsidRPr="00A0454C">
        <w:t>ja esi</w:t>
      </w:r>
      <w:r w:rsidR="003E7A6C">
        <w:softHyphen/>
      </w:r>
      <w:r w:rsidRPr="00A0454C">
        <w:t xml:space="preserve">mese kvartali keskmiseks hinnaks </w:t>
      </w:r>
      <w:r w:rsidR="002D5711">
        <w:t>35,99</w:t>
      </w:r>
      <w:r w:rsidRPr="00A0454C">
        <w:t xml:space="preserve"> €/MWh</w:t>
      </w:r>
      <w:r w:rsidR="002D5711">
        <w:t xml:space="preserve"> (novemb</w:t>
      </w:r>
      <w:r w:rsidR="003E7A6C">
        <w:softHyphen/>
      </w:r>
      <w:r w:rsidR="002D5711">
        <w:t>ri lõpu tehingute põhjal vastavalt 32,20 ja 30,8 €/MWh)</w:t>
      </w:r>
      <w:r w:rsidRPr="00A0454C">
        <w:t>.</w:t>
      </w:r>
    </w:p>
    <w:p w14:paraId="5216B472" w14:textId="77777777" w:rsidR="00A0454C" w:rsidRDefault="00A0454C" w:rsidP="0022344D"/>
    <w:p w14:paraId="03FFD5A8" w14:textId="0539D8A7" w:rsidR="00A0454C" w:rsidRDefault="00A0454C" w:rsidP="00BA7A51">
      <w:pPr>
        <w:spacing w:after="40"/>
      </w:pPr>
      <w:r>
        <w:rPr>
          <w:noProof/>
        </w:rPr>
        <w:lastRenderedPageBreak/>
        <w:drawing>
          <wp:inline distT="0" distB="0" distL="0" distR="0" wp14:anchorId="79A6F234" wp14:editId="1F471693">
            <wp:extent cx="2971800" cy="1905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44E79" w14:textId="1359BED5" w:rsidR="00A0454C" w:rsidRPr="00A0454C" w:rsidRDefault="00A0454C" w:rsidP="0022344D">
      <w:pPr>
        <w:rPr>
          <w:rStyle w:val="SubtleEmphasis"/>
        </w:rPr>
      </w:pPr>
      <w:r w:rsidRPr="00A0454C">
        <w:rPr>
          <w:rStyle w:val="SubtleEmphasis"/>
        </w:rPr>
        <w:t xml:space="preserve">NPS EE hinnapiirkonna eeldatav hind </w:t>
      </w:r>
      <w:proofErr w:type="spellStart"/>
      <w:r w:rsidRPr="00A0454C">
        <w:rPr>
          <w:rStyle w:val="SubtleEmphasis"/>
        </w:rPr>
        <w:t>Nasdaq</w:t>
      </w:r>
      <w:proofErr w:type="spellEnd"/>
      <w:r w:rsidRPr="00A0454C">
        <w:rPr>
          <w:rStyle w:val="SubtleEmphasis"/>
        </w:rPr>
        <w:t xml:space="preserve"> OMX tuleviku</w:t>
      </w:r>
      <w:r>
        <w:rPr>
          <w:rStyle w:val="SubtleEmphasis"/>
        </w:rPr>
        <w:softHyphen/>
      </w:r>
      <w:r w:rsidRPr="00A0454C">
        <w:rPr>
          <w:rStyle w:val="SubtleEmphasis"/>
        </w:rPr>
        <w:t xml:space="preserve">tehingute hindade põhjal 2015. aasta novembri ja </w:t>
      </w:r>
      <w:r>
        <w:rPr>
          <w:rStyle w:val="SubtleEmphasis"/>
        </w:rPr>
        <w:t>dets</w:t>
      </w:r>
      <w:r w:rsidRPr="00A0454C">
        <w:rPr>
          <w:rStyle w:val="SubtleEmphasis"/>
        </w:rPr>
        <w:t>embri viimase kauplemispäeva seisuga</w:t>
      </w:r>
    </w:p>
    <w:p w14:paraId="4C154BAF" w14:textId="77777777" w:rsidR="00A0454C" w:rsidRDefault="00A0454C" w:rsidP="0022344D"/>
    <w:p w14:paraId="68056358" w14:textId="542CB796" w:rsidR="00A0454C" w:rsidRDefault="00115F7C" w:rsidP="0022344D">
      <w:r w:rsidRPr="00115F7C">
        <w:t xml:space="preserve">EEX </w:t>
      </w:r>
      <w:proofErr w:type="spellStart"/>
      <w:r w:rsidRPr="00115F7C">
        <w:t>Power</w:t>
      </w:r>
      <w:proofErr w:type="spellEnd"/>
      <w:r w:rsidRPr="00115F7C">
        <w:t xml:space="preserve"> </w:t>
      </w:r>
      <w:proofErr w:type="spellStart"/>
      <w:r w:rsidRPr="00115F7C">
        <w:t>Derivatives</w:t>
      </w:r>
      <w:proofErr w:type="spellEnd"/>
      <w:r w:rsidRPr="00115F7C">
        <w:t xml:space="preserve"> Saksamaa piirkonna tuleviku-tehingute alusel langesid </w:t>
      </w:r>
      <w:r>
        <w:t xml:space="preserve">viimasel kauplemispäeval, mil kaubeldi 2016. a futuuridega (28.12.2015), </w:t>
      </w:r>
      <w:r w:rsidRPr="00115F7C">
        <w:t>baas- ja tipu</w:t>
      </w:r>
      <w:r w:rsidR="003E7A6C">
        <w:softHyphen/>
      </w:r>
      <w:r w:rsidRPr="00115F7C">
        <w:t xml:space="preserve">koormuse hinnad 2016. aastaks vastavalt </w:t>
      </w:r>
      <w:r>
        <w:t>1,42</w:t>
      </w:r>
      <w:r w:rsidRPr="00115F7C">
        <w:t xml:space="preserve"> ja </w:t>
      </w:r>
      <w:r>
        <w:t>1,74</w:t>
      </w:r>
      <w:r w:rsidRPr="00115F7C">
        <w:t xml:space="preserve"> euro võrra megavatt-tunni kohta. Prantsusmaa piirkonna tehingute põhjal vähenes 2016. aastaks baaselektri hind </w:t>
      </w:r>
      <w:r>
        <w:t>2,30</w:t>
      </w:r>
      <w:r w:rsidRPr="00115F7C">
        <w:t xml:space="preserve"> ja tiputundide hind </w:t>
      </w:r>
      <w:r>
        <w:t>2,16</w:t>
      </w:r>
      <w:r w:rsidRPr="00115F7C">
        <w:t xml:space="preserve"> € võrra megavatt-tunni kohta.</w:t>
      </w:r>
    </w:p>
    <w:p w14:paraId="2BA4280D" w14:textId="77777777" w:rsidR="00115F7C" w:rsidRDefault="00115F7C" w:rsidP="0022344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"/>
        <w:gridCol w:w="1588"/>
        <w:gridCol w:w="1696"/>
      </w:tblGrid>
      <w:tr w:rsidR="00115F7C" w:rsidRPr="00D231C5" w14:paraId="5806BE6C" w14:textId="77777777" w:rsidTr="00595628">
        <w:trPr>
          <w:trHeight w:val="501"/>
        </w:trPr>
        <w:tc>
          <w:tcPr>
            <w:tcW w:w="1389" w:type="dxa"/>
            <w:shd w:val="clear" w:color="auto" w:fill="007087"/>
            <w:vAlign w:val="center"/>
          </w:tcPr>
          <w:p w14:paraId="10D5FC67" w14:textId="1D76AC38" w:rsidR="00115F7C" w:rsidRPr="00D231C5" w:rsidRDefault="00115F7C" w:rsidP="008B0E52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</w:t>
            </w:r>
            <w:r w:rsidR="002D5711">
              <w:rPr>
                <w:b/>
                <w:color w:val="FFFFFF" w:themeColor="background1"/>
                <w:sz w:val="16"/>
                <w:szCs w:val="16"/>
              </w:rPr>
              <w:t>.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aasta (€/MWh)</w:t>
            </w:r>
          </w:p>
        </w:tc>
        <w:tc>
          <w:tcPr>
            <w:tcW w:w="1588" w:type="dxa"/>
            <w:shd w:val="clear" w:color="auto" w:fill="007087"/>
            <w:vAlign w:val="center"/>
          </w:tcPr>
          <w:p w14:paraId="15377A57" w14:textId="7334B5AC" w:rsidR="00115F7C" w:rsidRPr="00D231C5" w:rsidRDefault="00115F7C" w:rsidP="008B0E5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Phelix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Power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Futures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(Saksamaa)</w:t>
            </w:r>
          </w:p>
        </w:tc>
        <w:tc>
          <w:tcPr>
            <w:tcW w:w="1696" w:type="dxa"/>
            <w:shd w:val="clear" w:color="auto" w:fill="007087"/>
            <w:vAlign w:val="center"/>
          </w:tcPr>
          <w:p w14:paraId="7C40ABAB" w14:textId="30902A12" w:rsidR="00115F7C" w:rsidRPr="00D231C5" w:rsidRDefault="00115F7C" w:rsidP="008B0E5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French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Physical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Futures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(Prantsusmaa)</w:t>
            </w:r>
          </w:p>
        </w:tc>
      </w:tr>
      <w:tr w:rsidR="00115F7C" w:rsidRPr="00D231C5" w14:paraId="334706F9" w14:textId="77777777" w:rsidTr="00595628">
        <w:tc>
          <w:tcPr>
            <w:tcW w:w="1389" w:type="dxa"/>
            <w:vAlign w:val="center"/>
          </w:tcPr>
          <w:p w14:paraId="0F5BBD57" w14:textId="1F5CE273" w:rsidR="00115F7C" w:rsidRPr="00D231C5" w:rsidRDefault="00115F7C" w:rsidP="008B0E5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Baaskoormuse tunnihind</w:t>
            </w:r>
          </w:p>
        </w:tc>
        <w:tc>
          <w:tcPr>
            <w:tcW w:w="1588" w:type="dxa"/>
            <w:vAlign w:val="center"/>
          </w:tcPr>
          <w:p w14:paraId="4D7B6867" w14:textId="1D9043BA" w:rsidR="00115F7C" w:rsidRPr="00D231C5" w:rsidRDefault="002D5711" w:rsidP="008B0E5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28,08</w:t>
            </w:r>
          </w:p>
        </w:tc>
        <w:tc>
          <w:tcPr>
            <w:tcW w:w="1696" w:type="dxa"/>
            <w:vAlign w:val="center"/>
          </w:tcPr>
          <w:p w14:paraId="1261214B" w14:textId="33CF7ABB" w:rsidR="00115F7C" w:rsidRPr="00D231C5" w:rsidRDefault="002D5711" w:rsidP="008B0E5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33,78</w:t>
            </w:r>
          </w:p>
        </w:tc>
      </w:tr>
      <w:tr w:rsidR="00115F7C" w:rsidRPr="00D231C5" w14:paraId="2C3D5516" w14:textId="77777777" w:rsidTr="00595628">
        <w:tc>
          <w:tcPr>
            <w:tcW w:w="1389" w:type="dxa"/>
            <w:vAlign w:val="center"/>
          </w:tcPr>
          <w:p w14:paraId="46E3584C" w14:textId="69645E3C" w:rsidR="00115F7C" w:rsidRPr="00D231C5" w:rsidRDefault="00115F7C" w:rsidP="008B0E5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Tipukoormuse tunnihind</w:t>
            </w:r>
          </w:p>
        </w:tc>
        <w:tc>
          <w:tcPr>
            <w:tcW w:w="1588" w:type="dxa"/>
            <w:vAlign w:val="center"/>
          </w:tcPr>
          <w:p w14:paraId="1ABF2D49" w14:textId="4282ED1E" w:rsidR="00115F7C" w:rsidRPr="00D231C5" w:rsidRDefault="002D5711" w:rsidP="008B0E5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34,81</w:t>
            </w:r>
          </w:p>
        </w:tc>
        <w:tc>
          <w:tcPr>
            <w:tcW w:w="1696" w:type="dxa"/>
            <w:vAlign w:val="center"/>
          </w:tcPr>
          <w:p w14:paraId="3338FC8C" w14:textId="39A421D0" w:rsidR="00115F7C" w:rsidRPr="00D231C5" w:rsidRDefault="002D5711" w:rsidP="008B0E5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42,34</w:t>
            </w:r>
          </w:p>
        </w:tc>
      </w:tr>
    </w:tbl>
    <w:p w14:paraId="31C120F4" w14:textId="77777777" w:rsidR="00A0454C" w:rsidRDefault="00A0454C" w:rsidP="0022344D"/>
    <w:p w14:paraId="5919FF64" w14:textId="520C2771" w:rsidR="00A0454C" w:rsidRDefault="002D5711" w:rsidP="0022344D">
      <w:r>
        <w:t>Viimasel kauplemispäeval kaubeldud futuuride hinnad viitavad Saksamaa 2017. a baaskoormuse hinnaks 26,61 €/MWh ning tipukoormuse hinnaks 33,72 €/MWh, Prantsusmaa vastavad hinnad olid 33,5 ja 42,75 €/MWh.</w:t>
      </w:r>
    </w:p>
    <w:p w14:paraId="5567757F" w14:textId="77777777" w:rsidR="00A0454C" w:rsidRDefault="00A0454C" w:rsidP="0022344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1"/>
        <w:gridCol w:w="1559"/>
        <w:gridCol w:w="1583"/>
      </w:tblGrid>
      <w:tr w:rsidR="002D5711" w:rsidRPr="00D231C5" w14:paraId="7B8FD677" w14:textId="77777777" w:rsidTr="00CE2007">
        <w:trPr>
          <w:trHeight w:val="501"/>
        </w:trPr>
        <w:tc>
          <w:tcPr>
            <w:tcW w:w="1531" w:type="dxa"/>
            <w:shd w:val="clear" w:color="auto" w:fill="007087"/>
            <w:vAlign w:val="center"/>
          </w:tcPr>
          <w:p w14:paraId="74930DD9" w14:textId="7D2F5FAF" w:rsidR="002D5711" w:rsidRPr="00D231C5" w:rsidRDefault="002D5711" w:rsidP="002D5711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2017. aasta (€/MWh)</w:t>
            </w:r>
          </w:p>
        </w:tc>
        <w:tc>
          <w:tcPr>
            <w:tcW w:w="1559" w:type="dxa"/>
            <w:shd w:val="clear" w:color="auto" w:fill="007087"/>
            <w:vAlign w:val="center"/>
          </w:tcPr>
          <w:p w14:paraId="488726E2" w14:textId="77777777" w:rsidR="002D5711" w:rsidRPr="00D231C5" w:rsidRDefault="002D5711" w:rsidP="008F5E8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Phelix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Power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Futures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(Saksamaa)</w:t>
            </w:r>
          </w:p>
        </w:tc>
        <w:tc>
          <w:tcPr>
            <w:tcW w:w="1583" w:type="dxa"/>
            <w:shd w:val="clear" w:color="auto" w:fill="007087"/>
            <w:vAlign w:val="center"/>
          </w:tcPr>
          <w:p w14:paraId="03EB790F" w14:textId="77777777" w:rsidR="002D5711" w:rsidRPr="00D231C5" w:rsidRDefault="002D5711" w:rsidP="008F5E8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French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Physical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Futures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(Prantsusmaa)</w:t>
            </w:r>
          </w:p>
        </w:tc>
      </w:tr>
      <w:tr w:rsidR="002D5711" w:rsidRPr="00D231C5" w14:paraId="79236719" w14:textId="77777777" w:rsidTr="00CE2007">
        <w:tc>
          <w:tcPr>
            <w:tcW w:w="1531" w:type="dxa"/>
            <w:vAlign w:val="center"/>
          </w:tcPr>
          <w:p w14:paraId="58237EE7" w14:textId="77777777" w:rsidR="002D5711" w:rsidRPr="00D231C5" w:rsidRDefault="002D5711" w:rsidP="008F5E8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Baaskoormuse tunnihind</w:t>
            </w:r>
          </w:p>
        </w:tc>
        <w:tc>
          <w:tcPr>
            <w:tcW w:w="1559" w:type="dxa"/>
            <w:vAlign w:val="center"/>
          </w:tcPr>
          <w:p w14:paraId="64C83E81" w14:textId="16B39D6F" w:rsidR="002D5711" w:rsidRPr="00D231C5" w:rsidRDefault="002D5711" w:rsidP="008F5E8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26,61</w:t>
            </w:r>
          </w:p>
        </w:tc>
        <w:tc>
          <w:tcPr>
            <w:tcW w:w="1583" w:type="dxa"/>
            <w:vAlign w:val="center"/>
          </w:tcPr>
          <w:p w14:paraId="7112CBDA" w14:textId="6251F9C5" w:rsidR="002D5711" w:rsidRPr="00D231C5" w:rsidRDefault="002D5711" w:rsidP="008F5E8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33,50</w:t>
            </w:r>
          </w:p>
        </w:tc>
      </w:tr>
      <w:tr w:rsidR="002D5711" w:rsidRPr="00D231C5" w14:paraId="23BAEBD5" w14:textId="77777777" w:rsidTr="00CE2007">
        <w:tc>
          <w:tcPr>
            <w:tcW w:w="1531" w:type="dxa"/>
            <w:vAlign w:val="center"/>
          </w:tcPr>
          <w:p w14:paraId="5E37227E" w14:textId="77777777" w:rsidR="002D5711" w:rsidRPr="00D231C5" w:rsidRDefault="002D5711" w:rsidP="008F5E8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Tipukoormuse tunnihind</w:t>
            </w:r>
          </w:p>
        </w:tc>
        <w:tc>
          <w:tcPr>
            <w:tcW w:w="1559" w:type="dxa"/>
            <w:vAlign w:val="center"/>
          </w:tcPr>
          <w:p w14:paraId="043311B8" w14:textId="03AB6BC4" w:rsidR="002D5711" w:rsidRPr="00D231C5" w:rsidRDefault="002D5711" w:rsidP="008F5E8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33,72</w:t>
            </w:r>
          </w:p>
        </w:tc>
        <w:tc>
          <w:tcPr>
            <w:tcW w:w="1583" w:type="dxa"/>
            <w:vAlign w:val="center"/>
          </w:tcPr>
          <w:p w14:paraId="363B806F" w14:textId="7DE7E3EA" w:rsidR="002D5711" w:rsidRPr="00D231C5" w:rsidRDefault="002D5711" w:rsidP="008F5E8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42,75</w:t>
            </w:r>
          </w:p>
        </w:tc>
      </w:tr>
    </w:tbl>
    <w:p w14:paraId="7D135EA0" w14:textId="77777777" w:rsidR="00A0454C" w:rsidRDefault="00A0454C" w:rsidP="0022344D"/>
    <w:p w14:paraId="4934D4EC" w14:textId="03AE3C03" w:rsidR="00157C62" w:rsidRDefault="00157C62" w:rsidP="00157C62">
      <w:pPr>
        <w:pStyle w:val="Heading2"/>
      </w:pPr>
      <w:r>
        <w:t>Limiteeritud PTR-</w:t>
      </w:r>
      <w:proofErr w:type="spellStart"/>
      <w:r>
        <w:t>ide</w:t>
      </w:r>
      <w:proofErr w:type="spellEnd"/>
      <w:r>
        <w:t xml:space="preserve"> oksjon Eesti-Läti piiril</w:t>
      </w:r>
    </w:p>
    <w:p w14:paraId="6B2229FE" w14:textId="7EC2C914" w:rsidR="00A0454C" w:rsidRDefault="00157C62" w:rsidP="00157C62">
      <w:r w:rsidRPr="00157C62">
        <w:t xml:space="preserve">Eesti ja Läti süsteemihaldurite </w:t>
      </w:r>
      <w:proofErr w:type="spellStart"/>
      <w:r w:rsidRPr="00157C62">
        <w:t>Elering</w:t>
      </w:r>
      <w:proofErr w:type="spellEnd"/>
      <w:r w:rsidRPr="00157C62">
        <w:t xml:space="preserve"> ja </w:t>
      </w:r>
      <w:proofErr w:type="spellStart"/>
      <w:r w:rsidRPr="00157C62">
        <w:t>Augstsprieguma</w:t>
      </w:r>
      <w:proofErr w:type="spellEnd"/>
      <w:r w:rsidRPr="00157C62">
        <w:t xml:space="preserve"> </w:t>
      </w:r>
      <w:proofErr w:type="spellStart"/>
      <w:r w:rsidRPr="00157C62">
        <w:t>tīkls</w:t>
      </w:r>
      <w:proofErr w:type="spellEnd"/>
      <w:r w:rsidRPr="00157C62">
        <w:t xml:space="preserve"> kokkuleppe kohaselt rakendatakse Eesti ja Läti vahelisel piiril osaliselt võimsuste limiteeritud otsest jaotusmehhanismi. 13. novembril 2014 oli oksjonil müügis 200 MW ulatuses limiteeritud PTR-e terve 2015. aasta igaks tunniks ning hinnaks kujunes 7,11 eurot megavatt-tunni kohta. 5. augusti oksjonil müüdi 100 MW PTR-e 2015. aasta neljanda kvartali igaks tunniks ja hinnaks kujunes 6,67 eurot megavatt-tunni kohta. 1</w:t>
      </w:r>
      <w:r>
        <w:t>8</w:t>
      </w:r>
      <w:r w:rsidRPr="00157C62">
        <w:t xml:space="preserve">. </w:t>
      </w:r>
      <w:r>
        <w:t>novem</w:t>
      </w:r>
      <w:r w:rsidRPr="00157C62">
        <w:t xml:space="preserve">bri oksjonil müüdi 150 MW PTR-e 2015. aasta </w:t>
      </w:r>
      <w:r>
        <w:t>det</w:t>
      </w:r>
      <w:r w:rsidR="003E7A6C">
        <w:softHyphen/>
      </w:r>
      <w:r>
        <w:t>s</w:t>
      </w:r>
      <w:r w:rsidRPr="00157C62">
        <w:t xml:space="preserve">embri igaks tunniks. Oksjonil osales </w:t>
      </w:r>
      <w:r>
        <w:t>kümme</w:t>
      </w:r>
      <w:r w:rsidRPr="00157C62">
        <w:t xml:space="preserve"> turuosalist, </w:t>
      </w:r>
      <w:r>
        <w:t xml:space="preserve">kellest kuue </w:t>
      </w:r>
      <w:r w:rsidRPr="00157C62">
        <w:lastRenderedPageBreak/>
        <w:t xml:space="preserve">pakkumused osutusid edukaks. PTR-L </w:t>
      </w:r>
      <w:r>
        <w:t>Dec</w:t>
      </w:r>
      <w:r w:rsidRPr="00157C62">
        <w:t xml:space="preserve">-2015 hinnaks kujunes </w:t>
      </w:r>
      <w:r>
        <w:t>2,83</w:t>
      </w:r>
      <w:r w:rsidRPr="00157C62">
        <w:t xml:space="preserve"> eurot megavati kohta iga tunni jaoks.</w:t>
      </w:r>
    </w:p>
    <w:p w14:paraId="18B1D782" w14:textId="77777777" w:rsidR="00A0454C" w:rsidRDefault="00A0454C" w:rsidP="0022344D"/>
    <w:p w14:paraId="79A54ECB" w14:textId="1A20784F" w:rsidR="00A0454C" w:rsidRDefault="00157C62" w:rsidP="0022344D">
      <w:r>
        <w:t>Detsembri t</w:t>
      </w:r>
      <w:r w:rsidRPr="00157C62">
        <w:t>egelikuks keskmiseks hinnaerinevuseks NPS Eesti ja NPS Läti hinnapiirkondade vahel kujunes 1</w:t>
      </w:r>
      <w:r>
        <w:t>1</w:t>
      </w:r>
      <w:r w:rsidRPr="00157C62">
        <w:t>,</w:t>
      </w:r>
      <w:r>
        <w:t>62</w:t>
      </w:r>
      <w:r w:rsidRPr="00157C62">
        <w:t xml:space="preserve"> €/MW ühe tunni kohta. Seega maksid süsteemihaldurid limiteeritud PTR-e ostnud turuosalistele aastase toote eest </w:t>
      </w:r>
      <w:r>
        <w:t>671 166</w:t>
      </w:r>
      <w:r w:rsidRPr="00157C62">
        <w:t xml:space="preserve"> eurot, kvartali toote eest </w:t>
      </w:r>
      <w:r>
        <w:t>368</w:t>
      </w:r>
      <w:r w:rsidRPr="00157C62">
        <w:t xml:space="preserve"> </w:t>
      </w:r>
      <w:r>
        <w:t>319</w:t>
      </w:r>
      <w:r w:rsidRPr="00157C62">
        <w:t xml:space="preserve"> eurot ja kuu toote eest </w:t>
      </w:r>
      <w:r>
        <w:t>981</w:t>
      </w:r>
      <w:r w:rsidRPr="00157C62">
        <w:t xml:space="preserve"> </w:t>
      </w:r>
      <w:r>
        <w:t>022</w:t>
      </w:r>
      <w:r w:rsidRPr="00157C62">
        <w:t>,5 eurot.</w:t>
      </w:r>
    </w:p>
    <w:p w14:paraId="55CCC744" w14:textId="77777777" w:rsidR="00A0454C" w:rsidRDefault="00A0454C" w:rsidP="0022344D"/>
    <w:p w14:paraId="2C056FEB" w14:textId="7FA1899F" w:rsidR="00A0454C" w:rsidRDefault="00157C62" w:rsidP="00BA7A51">
      <w:pPr>
        <w:spacing w:after="40"/>
      </w:pPr>
      <w:r>
        <w:rPr>
          <w:noProof/>
        </w:rPr>
        <w:drawing>
          <wp:inline distT="0" distB="0" distL="0" distR="0" wp14:anchorId="70432427" wp14:editId="0C24ECEA">
            <wp:extent cx="2971800" cy="1781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B7FA9" w14:textId="2F6C93AC" w:rsidR="00157C62" w:rsidRDefault="00340A89" w:rsidP="0022344D">
      <w:r w:rsidRPr="00340A89">
        <w:rPr>
          <w:rStyle w:val="SubtleEmphasis"/>
        </w:rPr>
        <w:t xml:space="preserve">Limiteeritud PTR võrdlus NPS Eesti ja NPS Läti hinnapiirkonna hinnaerinevusega 2015. aasta </w:t>
      </w:r>
      <w:r>
        <w:rPr>
          <w:rStyle w:val="SubtleEmphasis"/>
        </w:rPr>
        <w:t>detsembris</w:t>
      </w:r>
    </w:p>
    <w:p w14:paraId="1FB4E408" w14:textId="77777777" w:rsidR="00D76AC2" w:rsidRDefault="00D76AC2" w:rsidP="0022344D"/>
    <w:p w14:paraId="3F8D4080" w14:textId="288C5D96" w:rsidR="00157C62" w:rsidRDefault="008E55A4" w:rsidP="0022344D">
      <w:r>
        <w:t>2015. a</w:t>
      </w:r>
      <w:r w:rsidR="00340A89">
        <w:t xml:space="preserve">asta kokkuvõttes </w:t>
      </w:r>
      <w:r>
        <w:t>maksid süsteemihaldurid riske maandanud turuosalistele aasta toote eest 6,40 miljonit eurot, kvartali toodete eest 1,87 miljonit eurot ning kuu</w:t>
      </w:r>
      <w:r>
        <w:softHyphen/>
        <w:t>toodete eest 3,26 miljonit eurot.</w:t>
      </w:r>
    </w:p>
    <w:p w14:paraId="32D7BAD6" w14:textId="77777777" w:rsidR="00340A89" w:rsidRDefault="00340A89" w:rsidP="0022344D"/>
    <w:p w14:paraId="71B88127" w14:textId="22C1A271" w:rsidR="00340A89" w:rsidRDefault="00024469" w:rsidP="00340A89">
      <w:r>
        <w:t xml:space="preserve">Detsembris </w:t>
      </w:r>
      <w:r w:rsidR="00340A89">
        <w:t xml:space="preserve">toimus </w:t>
      </w:r>
      <w:r>
        <w:t xml:space="preserve">kaks </w:t>
      </w:r>
      <w:r w:rsidR="00340A89">
        <w:t>limiteeritud PTR-</w:t>
      </w:r>
      <w:proofErr w:type="spellStart"/>
      <w:r w:rsidR="00340A89">
        <w:t>ide</w:t>
      </w:r>
      <w:proofErr w:type="spellEnd"/>
      <w:r w:rsidR="00340A89">
        <w:t xml:space="preserve"> oksjon</w:t>
      </w:r>
      <w:r>
        <w:t>it:</w:t>
      </w:r>
      <w:r w:rsidR="00340A89">
        <w:t xml:space="preserve"> 201</w:t>
      </w:r>
      <w:r>
        <w:t>6</w:t>
      </w:r>
      <w:r w:rsidR="00340A89">
        <w:t xml:space="preserve">. aasta </w:t>
      </w:r>
      <w:r>
        <w:t>esimese kvartali ja jaanua</w:t>
      </w:r>
      <w:r w:rsidR="00340A89">
        <w:t xml:space="preserve">ri võimsusele. </w:t>
      </w:r>
      <w:r>
        <w:t>9</w:t>
      </w:r>
      <w:r w:rsidR="00340A89">
        <w:t>. detsembril toimunud oksjonil oli müügis 1</w:t>
      </w:r>
      <w:r>
        <w:t>0</w:t>
      </w:r>
      <w:r w:rsidR="00340A89">
        <w:t xml:space="preserve">0 MW igaks </w:t>
      </w:r>
      <w:r>
        <w:t>2016. a esimese kvartali tunniks,</w:t>
      </w:r>
      <w:r w:rsidR="00340A89">
        <w:t xml:space="preserve"> osales kokku k</w:t>
      </w:r>
      <w:r>
        <w:t>aheksa</w:t>
      </w:r>
      <w:r w:rsidR="00340A89">
        <w:t xml:space="preserve"> turuosalist, </w:t>
      </w:r>
      <w:r>
        <w:t>nelja</w:t>
      </w:r>
      <w:r w:rsidR="00340A89">
        <w:t xml:space="preserve"> pakkumused olid edukad</w:t>
      </w:r>
      <w:r>
        <w:t>,</w:t>
      </w:r>
      <w:r w:rsidR="00340A89">
        <w:t xml:space="preserve"> </w:t>
      </w:r>
      <w:r>
        <w:t xml:space="preserve">toote </w:t>
      </w:r>
      <w:r w:rsidR="00340A89">
        <w:t>hinnaks kujunes 2,</w:t>
      </w:r>
      <w:r>
        <w:t>42</w:t>
      </w:r>
      <w:r w:rsidR="00340A89">
        <w:t xml:space="preserve"> €/MW tunni kohta.</w:t>
      </w:r>
      <w:r>
        <w:t xml:space="preserve"> 16. detsembril toimunud oksjonil oli müügis 100 MW igaks 2016. a jaanuarikuu tun</w:t>
      </w:r>
      <w:r w:rsidR="008E55A4">
        <w:softHyphen/>
      </w:r>
      <w:r>
        <w:t>niks, osales kokku üheksa turuosalist, seitsme pakkumu</w:t>
      </w:r>
      <w:r w:rsidR="003E7A6C">
        <w:softHyphen/>
      </w:r>
      <w:r>
        <w:t>sed olid edukad, toote hinnaks kujunes 3,40 €/MW tunni kohta.</w:t>
      </w:r>
    </w:p>
    <w:p w14:paraId="4E3FB2F9" w14:textId="77777777" w:rsidR="00340A89" w:rsidRDefault="00340A89" w:rsidP="00340A89"/>
    <w:p w14:paraId="28F03AA1" w14:textId="191F6D47" w:rsidR="00157C62" w:rsidRDefault="00340A89" w:rsidP="00340A89">
      <w:r>
        <w:t>Täiendav teave oksjoni tulemuste, tingimuste, kalendri ja registreerimisvormi koht</w:t>
      </w:r>
      <w:r w:rsidR="00024469">
        <w:t xml:space="preserve">a on kättesaadav Eleringi </w:t>
      </w:r>
      <w:hyperlink r:id="rId27" w:history="1">
        <w:r w:rsidR="00024469" w:rsidRPr="00024469">
          <w:rPr>
            <w:rStyle w:val="Hyperlink"/>
          </w:rPr>
          <w:t>veebi</w:t>
        </w:r>
        <w:r w:rsidR="00024469">
          <w:rPr>
            <w:rStyle w:val="Hyperlink"/>
          </w:rPr>
          <w:softHyphen/>
        </w:r>
        <w:r w:rsidRPr="00024469">
          <w:rPr>
            <w:rStyle w:val="Hyperlink"/>
          </w:rPr>
          <w:t>lehel</w:t>
        </w:r>
      </w:hyperlink>
      <w:r w:rsidR="00024469">
        <w:t>.</w:t>
      </w:r>
    </w:p>
    <w:p w14:paraId="5FEFCCCA" w14:textId="77777777" w:rsidR="00024469" w:rsidRDefault="00024469" w:rsidP="00340A89"/>
    <w:p w14:paraId="1645795F" w14:textId="77777777" w:rsidR="005D3A6D" w:rsidRDefault="005D3A6D" w:rsidP="00340A89"/>
    <w:p w14:paraId="024DF4F4" w14:textId="77777777" w:rsidR="005D3A6D" w:rsidRDefault="005D3A6D" w:rsidP="00340A89"/>
    <w:p w14:paraId="77491AFB" w14:textId="0416D54D" w:rsidR="005D3A6D" w:rsidRPr="005D3A6D" w:rsidRDefault="005D3A6D" w:rsidP="005D3A6D">
      <w:pPr>
        <w:rPr>
          <w:rStyle w:val="SubtleEmphasis"/>
        </w:rPr>
      </w:pPr>
      <w:r w:rsidRPr="005D3A6D">
        <w:rPr>
          <w:rStyle w:val="SubtleEmphasis"/>
        </w:rPr>
        <w:t>Allikad</w:t>
      </w:r>
      <w:r>
        <w:rPr>
          <w:rStyle w:val="SubtleEmphasis"/>
        </w:rPr>
        <w:t>:</w:t>
      </w:r>
    </w:p>
    <w:p w14:paraId="3D5A95F1" w14:textId="4A9D0006" w:rsidR="005D3A6D" w:rsidRPr="005D3A6D" w:rsidRDefault="005D3A6D" w:rsidP="005D3A6D">
      <w:pPr>
        <w:rPr>
          <w:rStyle w:val="SubtleEmphasis"/>
        </w:rPr>
      </w:pPr>
      <w:r w:rsidRPr="005D3A6D">
        <w:rPr>
          <w:rStyle w:val="SubtleEmphasis"/>
        </w:rPr>
        <w:t xml:space="preserve">Nord Pool </w:t>
      </w:r>
      <w:proofErr w:type="spellStart"/>
      <w:r w:rsidRPr="005D3A6D">
        <w:rPr>
          <w:rStyle w:val="SubtleEmphasis"/>
        </w:rPr>
        <w:t>Spot</w:t>
      </w:r>
      <w:proofErr w:type="spellEnd"/>
      <w:r w:rsidRPr="005D3A6D">
        <w:rPr>
          <w:rStyle w:val="SubtleEmphasis"/>
        </w:rPr>
        <w:t xml:space="preserve">, </w:t>
      </w:r>
      <w:proofErr w:type="spellStart"/>
      <w:r w:rsidRPr="005D3A6D">
        <w:rPr>
          <w:rStyle w:val="SubtleEmphasis"/>
        </w:rPr>
        <w:t>Elering</w:t>
      </w:r>
      <w:proofErr w:type="spellEnd"/>
      <w:r w:rsidRPr="005D3A6D">
        <w:rPr>
          <w:rStyle w:val="SubtleEmphasis"/>
        </w:rPr>
        <w:t xml:space="preserve">, </w:t>
      </w:r>
      <w:proofErr w:type="spellStart"/>
      <w:r w:rsidRPr="005D3A6D">
        <w:rPr>
          <w:rStyle w:val="SubtleEmphasis"/>
        </w:rPr>
        <w:t>Augstsprieguma</w:t>
      </w:r>
      <w:proofErr w:type="spellEnd"/>
      <w:r w:rsidRPr="005D3A6D">
        <w:rPr>
          <w:rStyle w:val="SubtleEmphasis"/>
        </w:rPr>
        <w:t xml:space="preserve"> </w:t>
      </w:r>
      <w:proofErr w:type="spellStart"/>
      <w:r w:rsidRPr="005D3A6D">
        <w:rPr>
          <w:rStyle w:val="SubtleEmphasis"/>
        </w:rPr>
        <w:t>tīkls</w:t>
      </w:r>
      <w:proofErr w:type="spellEnd"/>
      <w:r w:rsidRPr="005D3A6D">
        <w:rPr>
          <w:rStyle w:val="SubtleEmphasis"/>
        </w:rPr>
        <w:t xml:space="preserve">, </w:t>
      </w:r>
      <w:proofErr w:type="spellStart"/>
      <w:r w:rsidRPr="005D3A6D">
        <w:rPr>
          <w:rStyle w:val="SubtleEmphasis"/>
        </w:rPr>
        <w:t>Litgrid</w:t>
      </w:r>
      <w:proofErr w:type="spellEnd"/>
      <w:r w:rsidRPr="005D3A6D">
        <w:rPr>
          <w:rStyle w:val="SubtleEmphasis"/>
        </w:rPr>
        <w:t xml:space="preserve">, </w:t>
      </w:r>
      <w:proofErr w:type="spellStart"/>
      <w:r w:rsidRPr="005D3A6D">
        <w:rPr>
          <w:rStyle w:val="SubtleEmphasis"/>
        </w:rPr>
        <w:t>Fingrid</w:t>
      </w:r>
      <w:proofErr w:type="spellEnd"/>
      <w:r w:rsidRPr="005D3A6D">
        <w:rPr>
          <w:rStyle w:val="SubtleEmphasis"/>
        </w:rPr>
        <w:t xml:space="preserve">, </w:t>
      </w:r>
      <w:proofErr w:type="spellStart"/>
      <w:r w:rsidRPr="005D3A6D">
        <w:rPr>
          <w:rStyle w:val="SubtleEmphasis"/>
        </w:rPr>
        <w:t>European</w:t>
      </w:r>
      <w:proofErr w:type="spellEnd"/>
      <w:r w:rsidRPr="005D3A6D">
        <w:rPr>
          <w:rStyle w:val="SubtleEmphasis"/>
        </w:rPr>
        <w:t xml:space="preserve"> </w:t>
      </w:r>
      <w:proofErr w:type="spellStart"/>
      <w:r w:rsidRPr="005D3A6D">
        <w:rPr>
          <w:rStyle w:val="SubtleEmphasis"/>
        </w:rPr>
        <w:t>Energy</w:t>
      </w:r>
      <w:proofErr w:type="spellEnd"/>
      <w:r w:rsidRPr="005D3A6D">
        <w:rPr>
          <w:rStyle w:val="SubtleEmphasis"/>
        </w:rPr>
        <w:t xml:space="preserve"> Exchange, </w:t>
      </w:r>
      <w:proofErr w:type="spellStart"/>
      <w:r w:rsidRPr="005D3A6D">
        <w:rPr>
          <w:rStyle w:val="SubtleEmphasis"/>
        </w:rPr>
        <w:t>Nasdaq</w:t>
      </w:r>
      <w:proofErr w:type="spellEnd"/>
      <w:r w:rsidRPr="005D3A6D">
        <w:rPr>
          <w:rStyle w:val="SubtleEmphasis"/>
        </w:rPr>
        <w:t xml:space="preserve"> OMX</w:t>
      </w:r>
    </w:p>
    <w:p w14:paraId="7B01ACC2" w14:textId="77777777" w:rsidR="005D3A6D" w:rsidRDefault="005D3A6D" w:rsidP="005D3A6D">
      <w:pPr>
        <w:rPr>
          <w:rStyle w:val="SubtleEmphasis"/>
        </w:rPr>
      </w:pPr>
    </w:p>
    <w:p w14:paraId="3A4C0495" w14:textId="43790896" w:rsidR="005D3A6D" w:rsidRPr="005D3A6D" w:rsidRDefault="005D3A6D" w:rsidP="005D3A6D">
      <w:pPr>
        <w:rPr>
          <w:rStyle w:val="SubtleEmphasis"/>
        </w:rPr>
      </w:pPr>
      <w:r w:rsidRPr="005D3A6D">
        <w:rPr>
          <w:rStyle w:val="SubtleEmphasis"/>
        </w:rPr>
        <w:t xml:space="preserve">* Käesolevat raportit ja selle lisasid ei saa käsitleda juriidilise, finantsalase või muu nõuandena ega ettepanekuna osta või müüa elektrienergiat või finantsinstrumente. </w:t>
      </w:r>
      <w:proofErr w:type="spellStart"/>
      <w:r w:rsidRPr="005D3A6D">
        <w:rPr>
          <w:rStyle w:val="SubtleEmphasis"/>
        </w:rPr>
        <w:t>Elering</w:t>
      </w:r>
      <w:proofErr w:type="spellEnd"/>
      <w:r w:rsidRPr="005D3A6D">
        <w:rPr>
          <w:rStyle w:val="SubtleEmphasis"/>
        </w:rPr>
        <w:t xml:space="preserve"> ei vastuta kulude või kahjude eest, mis raportis ja selle lisades toodud informatsiooni kasutamisega seoses võivad tekkida.</w:t>
      </w:r>
    </w:p>
    <w:sectPr w:rsidR="005D3A6D" w:rsidRPr="005D3A6D" w:rsidSect="00586362">
      <w:headerReference w:type="even" r:id="rId28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6A879" w14:textId="77777777" w:rsidR="004F4EDA" w:rsidRDefault="004F4EDA" w:rsidP="0022344D">
      <w:r>
        <w:separator/>
      </w:r>
    </w:p>
    <w:p w14:paraId="1CFA1C13" w14:textId="77777777" w:rsidR="004F4EDA" w:rsidRDefault="004F4EDA" w:rsidP="0022344D"/>
    <w:p w14:paraId="4213D0E1" w14:textId="77777777" w:rsidR="004F4EDA" w:rsidRDefault="004F4EDA" w:rsidP="0022344D"/>
    <w:p w14:paraId="0D4128A0" w14:textId="77777777" w:rsidR="004F4EDA" w:rsidRDefault="004F4EDA" w:rsidP="0022344D"/>
    <w:p w14:paraId="17C03049" w14:textId="77777777" w:rsidR="004F4EDA" w:rsidRDefault="004F4EDA" w:rsidP="0022344D"/>
    <w:p w14:paraId="43090FCD" w14:textId="77777777" w:rsidR="004F4EDA" w:rsidRDefault="004F4EDA" w:rsidP="0022344D"/>
    <w:p w14:paraId="4DAFF68D" w14:textId="77777777" w:rsidR="004F4EDA" w:rsidRDefault="004F4EDA" w:rsidP="0022344D"/>
    <w:p w14:paraId="72925935" w14:textId="77777777" w:rsidR="004F4EDA" w:rsidRDefault="004F4EDA" w:rsidP="0022344D"/>
    <w:p w14:paraId="73754C39" w14:textId="77777777" w:rsidR="004F4EDA" w:rsidRDefault="004F4EDA" w:rsidP="0022344D"/>
    <w:p w14:paraId="75FA1E37" w14:textId="77777777" w:rsidR="004F4EDA" w:rsidRDefault="004F4EDA" w:rsidP="0022344D"/>
    <w:p w14:paraId="17661965" w14:textId="77777777" w:rsidR="004F4EDA" w:rsidRDefault="004F4EDA" w:rsidP="0022344D"/>
    <w:p w14:paraId="42E90372" w14:textId="77777777" w:rsidR="004F4EDA" w:rsidRDefault="004F4EDA" w:rsidP="0022344D"/>
    <w:p w14:paraId="0035F865" w14:textId="77777777" w:rsidR="004F4EDA" w:rsidRDefault="004F4EDA" w:rsidP="0022344D"/>
    <w:p w14:paraId="3186F536" w14:textId="77777777" w:rsidR="004F4EDA" w:rsidRDefault="004F4EDA" w:rsidP="0022344D"/>
    <w:p w14:paraId="2179ED24" w14:textId="77777777" w:rsidR="004F4EDA" w:rsidRDefault="004F4EDA" w:rsidP="0022344D"/>
    <w:p w14:paraId="5D8B3BBE" w14:textId="77777777" w:rsidR="004F4EDA" w:rsidRDefault="004F4EDA" w:rsidP="0022344D"/>
    <w:p w14:paraId="417FD4AB" w14:textId="77777777" w:rsidR="004F4EDA" w:rsidRDefault="004F4EDA" w:rsidP="0022344D"/>
    <w:p w14:paraId="600E8C7F" w14:textId="77777777" w:rsidR="004F4EDA" w:rsidRDefault="004F4EDA" w:rsidP="0022344D"/>
    <w:p w14:paraId="2930BEF4" w14:textId="77777777" w:rsidR="004F4EDA" w:rsidRDefault="004F4EDA" w:rsidP="0022344D"/>
    <w:p w14:paraId="4E1A4FCF" w14:textId="77777777" w:rsidR="004F4EDA" w:rsidRDefault="004F4EDA" w:rsidP="0022344D"/>
    <w:p w14:paraId="6274A8BD" w14:textId="77777777" w:rsidR="004F4EDA" w:rsidRDefault="004F4EDA" w:rsidP="0022344D"/>
    <w:p w14:paraId="307A541F" w14:textId="77777777" w:rsidR="004F4EDA" w:rsidRDefault="004F4EDA" w:rsidP="0022344D"/>
    <w:p w14:paraId="5FF9ED98" w14:textId="77777777" w:rsidR="004F4EDA" w:rsidRDefault="004F4EDA" w:rsidP="0022344D"/>
    <w:p w14:paraId="121CD33D" w14:textId="77777777" w:rsidR="004F4EDA" w:rsidRDefault="004F4EDA" w:rsidP="0022344D"/>
    <w:p w14:paraId="76E077AA" w14:textId="77777777" w:rsidR="004F4EDA" w:rsidRDefault="004F4EDA" w:rsidP="0022344D"/>
    <w:p w14:paraId="1C5BB0EB" w14:textId="77777777" w:rsidR="004F4EDA" w:rsidRDefault="004F4EDA" w:rsidP="0022344D"/>
    <w:p w14:paraId="049EDA1A" w14:textId="77777777" w:rsidR="004F4EDA" w:rsidRDefault="004F4EDA" w:rsidP="0022344D"/>
    <w:p w14:paraId="5D21C9CC" w14:textId="77777777" w:rsidR="004F4EDA" w:rsidRDefault="004F4EDA" w:rsidP="0022344D"/>
    <w:p w14:paraId="74477358" w14:textId="77777777" w:rsidR="004F4EDA" w:rsidRDefault="004F4EDA" w:rsidP="0022344D"/>
    <w:p w14:paraId="7420E7CF" w14:textId="77777777" w:rsidR="004F4EDA" w:rsidRDefault="004F4EDA" w:rsidP="0022344D"/>
    <w:p w14:paraId="2D69DF52" w14:textId="77777777" w:rsidR="004F4EDA" w:rsidRDefault="004F4EDA" w:rsidP="0022344D"/>
    <w:p w14:paraId="51A90EA6" w14:textId="77777777" w:rsidR="004F4EDA" w:rsidRDefault="004F4EDA" w:rsidP="0022344D"/>
    <w:p w14:paraId="5DA3E98B" w14:textId="77777777" w:rsidR="004F4EDA" w:rsidRDefault="004F4EDA" w:rsidP="0022344D"/>
    <w:p w14:paraId="74436145" w14:textId="77777777" w:rsidR="004F4EDA" w:rsidRDefault="004F4EDA" w:rsidP="0022344D"/>
    <w:p w14:paraId="57F783DC" w14:textId="77777777" w:rsidR="004F4EDA" w:rsidRDefault="004F4EDA" w:rsidP="0022344D"/>
    <w:p w14:paraId="4D8A690F" w14:textId="77777777" w:rsidR="004F4EDA" w:rsidRDefault="004F4EDA" w:rsidP="0022344D"/>
    <w:p w14:paraId="51ED51FE" w14:textId="77777777" w:rsidR="004F4EDA" w:rsidRDefault="004F4EDA" w:rsidP="0022344D"/>
    <w:p w14:paraId="186F6C8B" w14:textId="77777777" w:rsidR="004F4EDA" w:rsidRDefault="004F4EDA" w:rsidP="0022344D"/>
    <w:p w14:paraId="05A3E039" w14:textId="77777777" w:rsidR="004F4EDA" w:rsidRDefault="004F4EDA" w:rsidP="0022344D"/>
    <w:p w14:paraId="7ADDA85F" w14:textId="77777777" w:rsidR="004F4EDA" w:rsidRDefault="004F4EDA" w:rsidP="0022344D"/>
    <w:p w14:paraId="24913129" w14:textId="77777777" w:rsidR="004F4EDA" w:rsidRDefault="004F4EDA" w:rsidP="0022344D"/>
    <w:p w14:paraId="7117B40E" w14:textId="77777777" w:rsidR="004F4EDA" w:rsidRDefault="004F4EDA" w:rsidP="0022344D"/>
    <w:p w14:paraId="356365D6" w14:textId="77777777" w:rsidR="004F4EDA" w:rsidRDefault="004F4EDA" w:rsidP="0022344D"/>
    <w:p w14:paraId="41469A2F" w14:textId="77777777" w:rsidR="004F4EDA" w:rsidRDefault="004F4EDA" w:rsidP="0022344D"/>
    <w:p w14:paraId="4C95D5F0" w14:textId="77777777" w:rsidR="004F4EDA" w:rsidRDefault="004F4EDA" w:rsidP="0022344D"/>
    <w:p w14:paraId="2B3D425D" w14:textId="77777777" w:rsidR="004F4EDA" w:rsidRDefault="004F4EDA" w:rsidP="0022344D"/>
    <w:p w14:paraId="6827AC05" w14:textId="77777777" w:rsidR="004F4EDA" w:rsidRDefault="004F4EDA" w:rsidP="0022344D"/>
    <w:p w14:paraId="54FF2B89" w14:textId="77777777" w:rsidR="004F4EDA" w:rsidRDefault="004F4EDA" w:rsidP="0022344D"/>
    <w:p w14:paraId="5C35F9F0" w14:textId="77777777" w:rsidR="004F4EDA" w:rsidRDefault="004F4EDA" w:rsidP="0022344D"/>
    <w:p w14:paraId="1DC25DDB" w14:textId="77777777" w:rsidR="004F4EDA" w:rsidRDefault="004F4EDA" w:rsidP="0022344D"/>
    <w:p w14:paraId="44976317" w14:textId="77777777" w:rsidR="004F4EDA" w:rsidRDefault="004F4EDA" w:rsidP="0022344D"/>
    <w:p w14:paraId="7EC13C99" w14:textId="77777777" w:rsidR="004F4EDA" w:rsidRDefault="004F4EDA" w:rsidP="0022344D"/>
    <w:p w14:paraId="563EB237" w14:textId="77777777" w:rsidR="004F4EDA" w:rsidRDefault="004F4EDA" w:rsidP="0022344D"/>
    <w:p w14:paraId="3E47D2E7" w14:textId="77777777" w:rsidR="004F4EDA" w:rsidRDefault="004F4EDA" w:rsidP="0022344D"/>
    <w:p w14:paraId="6472C979" w14:textId="77777777" w:rsidR="004F4EDA" w:rsidRDefault="004F4EDA" w:rsidP="0022344D"/>
    <w:p w14:paraId="22A813D4" w14:textId="77777777" w:rsidR="004F4EDA" w:rsidRDefault="004F4EDA" w:rsidP="0022344D"/>
    <w:p w14:paraId="250D82EF" w14:textId="77777777" w:rsidR="004F4EDA" w:rsidRDefault="004F4EDA" w:rsidP="0022344D"/>
    <w:p w14:paraId="1264D947" w14:textId="77777777" w:rsidR="004F4EDA" w:rsidRDefault="004F4EDA" w:rsidP="0022344D"/>
    <w:p w14:paraId="41F03316" w14:textId="77777777" w:rsidR="004F4EDA" w:rsidRDefault="004F4EDA" w:rsidP="0022344D"/>
    <w:p w14:paraId="36E4B8F8" w14:textId="77777777" w:rsidR="004F4EDA" w:rsidRDefault="004F4EDA" w:rsidP="0022344D"/>
    <w:p w14:paraId="7F98E419" w14:textId="77777777" w:rsidR="004F4EDA" w:rsidRDefault="004F4EDA" w:rsidP="0022344D"/>
    <w:p w14:paraId="27738367" w14:textId="77777777" w:rsidR="004F4EDA" w:rsidRDefault="004F4EDA" w:rsidP="0022344D"/>
    <w:p w14:paraId="1584C4B0" w14:textId="77777777" w:rsidR="004F4EDA" w:rsidRDefault="004F4EDA" w:rsidP="0022344D"/>
    <w:p w14:paraId="217A453E" w14:textId="77777777" w:rsidR="004F4EDA" w:rsidRDefault="004F4EDA" w:rsidP="0022344D"/>
    <w:p w14:paraId="6ABF22EE" w14:textId="77777777" w:rsidR="004F4EDA" w:rsidRDefault="004F4EDA" w:rsidP="0022344D"/>
    <w:p w14:paraId="41ABE245" w14:textId="77777777" w:rsidR="004F4EDA" w:rsidRDefault="004F4EDA" w:rsidP="0022344D"/>
    <w:p w14:paraId="7A145AC9" w14:textId="77777777" w:rsidR="004F4EDA" w:rsidRDefault="004F4EDA" w:rsidP="0022344D"/>
    <w:p w14:paraId="79EBDC88" w14:textId="77777777" w:rsidR="004F4EDA" w:rsidRDefault="004F4EDA" w:rsidP="0022344D"/>
    <w:p w14:paraId="68785600" w14:textId="77777777" w:rsidR="004F4EDA" w:rsidRDefault="004F4EDA" w:rsidP="0022344D"/>
    <w:p w14:paraId="6B881CEF" w14:textId="77777777" w:rsidR="004F4EDA" w:rsidRDefault="004F4EDA" w:rsidP="0022344D"/>
    <w:p w14:paraId="5FCADBFB" w14:textId="77777777" w:rsidR="004F4EDA" w:rsidRDefault="004F4EDA" w:rsidP="0022344D"/>
    <w:p w14:paraId="04662067" w14:textId="77777777" w:rsidR="004F4EDA" w:rsidRDefault="004F4EDA" w:rsidP="0022344D"/>
    <w:p w14:paraId="5CF5B854" w14:textId="77777777" w:rsidR="004F4EDA" w:rsidRDefault="004F4EDA" w:rsidP="0022344D"/>
    <w:p w14:paraId="59AD4F19" w14:textId="77777777" w:rsidR="004F4EDA" w:rsidRDefault="004F4EDA" w:rsidP="0022344D"/>
    <w:p w14:paraId="68C05117" w14:textId="77777777" w:rsidR="004F4EDA" w:rsidRDefault="004F4EDA"/>
  </w:endnote>
  <w:endnote w:type="continuationSeparator" w:id="0">
    <w:p w14:paraId="06EBEFA1" w14:textId="77777777" w:rsidR="004F4EDA" w:rsidRDefault="004F4EDA" w:rsidP="0022344D">
      <w:r>
        <w:continuationSeparator/>
      </w:r>
    </w:p>
    <w:p w14:paraId="2454B534" w14:textId="77777777" w:rsidR="004F4EDA" w:rsidRDefault="004F4EDA" w:rsidP="0022344D"/>
    <w:p w14:paraId="60B84AD4" w14:textId="77777777" w:rsidR="004F4EDA" w:rsidRDefault="004F4EDA" w:rsidP="0022344D"/>
    <w:p w14:paraId="191B9709" w14:textId="77777777" w:rsidR="004F4EDA" w:rsidRDefault="004F4EDA" w:rsidP="0022344D"/>
    <w:p w14:paraId="527DFCF3" w14:textId="77777777" w:rsidR="004F4EDA" w:rsidRDefault="004F4EDA" w:rsidP="0022344D"/>
    <w:p w14:paraId="465DD776" w14:textId="77777777" w:rsidR="004F4EDA" w:rsidRDefault="004F4EDA" w:rsidP="0022344D"/>
    <w:p w14:paraId="191F93E6" w14:textId="77777777" w:rsidR="004F4EDA" w:rsidRDefault="004F4EDA" w:rsidP="0022344D"/>
    <w:p w14:paraId="6B79A3B6" w14:textId="77777777" w:rsidR="004F4EDA" w:rsidRDefault="004F4EDA" w:rsidP="0022344D"/>
    <w:p w14:paraId="348A700F" w14:textId="77777777" w:rsidR="004F4EDA" w:rsidRDefault="004F4EDA" w:rsidP="0022344D"/>
    <w:p w14:paraId="3DF9BB80" w14:textId="77777777" w:rsidR="004F4EDA" w:rsidRDefault="004F4EDA" w:rsidP="0022344D"/>
    <w:p w14:paraId="309B055A" w14:textId="77777777" w:rsidR="004F4EDA" w:rsidRDefault="004F4EDA" w:rsidP="0022344D"/>
    <w:p w14:paraId="46291E18" w14:textId="77777777" w:rsidR="004F4EDA" w:rsidRDefault="004F4EDA" w:rsidP="0022344D"/>
    <w:p w14:paraId="327454BD" w14:textId="77777777" w:rsidR="004F4EDA" w:rsidRDefault="004F4EDA" w:rsidP="0022344D"/>
    <w:p w14:paraId="33E39E38" w14:textId="77777777" w:rsidR="004F4EDA" w:rsidRDefault="004F4EDA" w:rsidP="0022344D"/>
    <w:p w14:paraId="3E398FBA" w14:textId="77777777" w:rsidR="004F4EDA" w:rsidRDefault="004F4EDA" w:rsidP="0022344D"/>
    <w:p w14:paraId="414BB40D" w14:textId="77777777" w:rsidR="004F4EDA" w:rsidRDefault="004F4EDA" w:rsidP="0022344D"/>
    <w:p w14:paraId="10473CA1" w14:textId="77777777" w:rsidR="004F4EDA" w:rsidRDefault="004F4EDA" w:rsidP="0022344D"/>
    <w:p w14:paraId="17EDA12A" w14:textId="77777777" w:rsidR="004F4EDA" w:rsidRDefault="004F4EDA" w:rsidP="0022344D"/>
    <w:p w14:paraId="124C9656" w14:textId="77777777" w:rsidR="004F4EDA" w:rsidRDefault="004F4EDA" w:rsidP="0022344D"/>
    <w:p w14:paraId="1F301F0F" w14:textId="77777777" w:rsidR="004F4EDA" w:rsidRDefault="004F4EDA" w:rsidP="0022344D"/>
    <w:p w14:paraId="142456AC" w14:textId="77777777" w:rsidR="004F4EDA" w:rsidRDefault="004F4EDA" w:rsidP="0022344D"/>
    <w:p w14:paraId="511DBE41" w14:textId="77777777" w:rsidR="004F4EDA" w:rsidRDefault="004F4EDA" w:rsidP="0022344D"/>
    <w:p w14:paraId="7D189F2C" w14:textId="77777777" w:rsidR="004F4EDA" w:rsidRDefault="004F4EDA" w:rsidP="0022344D"/>
    <w:p w14:paraId="349F59D7" w14:textId="77777777" w:rsidR="004F4EDA" w:rsidRDefault="004F4EDA" w:rsidP="0022344D"/>
    <w:p w14:paraId="60465483" w14:textId="77777777" w:rsidR="004F4EDA" w:rsidRDefault="004F4EDA" w:rsidP="0022344D"/>
    <w:p w14:paraId="05250367" w14:textId="77777777" w:rsidR="004F4EDA" w:rsidRDefault="004F4EDA" w:rsidP="0022344D"/>
    <w:p w14:paraId="780049C7" w14:textId="77777777" w:rsidR="004F4EDA" w:rsidRDefault="004F4EDA" w:rsidP="0022344D"/>
    <w:p w14:paraId="3E1B3C72" w14:textId="77777777" w:rsidR="004F4EDA" w:rsidRDefault="004F4EDA" w:rsidP="0022344D"/>
    <w:p w14:paraId="35EAC3A5" w14:textId="77777777" w:rsidR="004F4EDA" w:rsidRDefault="004F4EDA" w:rsidP="0022344D"/>
    <w:p w14:paraId="0A606FCE" w14:textId="77777777" w:rsidR="004F4EDA" w:rsidRDefault="004F4EDA" w:rsidP="0022344D"/>
    <w:p w14:paraId="30ADE3AA" w14:textId="77777777" w:rsidR="004F4EDA" w:rsidRDefault="004F4EDA" w:rsidP="0022344D"/>
    <w:p w14:paraId="1A03C295" w14:textId="77777777" w:rsidR="004F4EDA" w:rsidRDefault="004F4EDA" w:rsidP="0022344D"/>
    <w:p w14:paraId="1D4C8F18" w14:textId="77777777" w:rsidR="004F4EDA" w:rsidRDefault="004F4EDA" w:rsidP="0022344D"/>
    <w:p w14:paraId="1D1A51B4" w14:textId="77777777" w:rsidR="004F4EDA" w:rsidRDefault="004F4EDA" w:rsidP="0022344D"/>
    <w:p w14:paraId="15BD32E5" w14:textId="77777777" w:rsidR="004F4EDA" w:rsidRDefault="004F4EDA" w:rsidP="0022344D"/>
    <w:p w14:paraId="16564021" w14:textId="77777777" w:rsidR="004F4EDA" w:rsidRDefault="004F4EDA" w:rsidP="0022344D"/>
    <w:p w14:paraId="05E6E9AA" w14:textId="77777777" w:rsidR="004F4EDA" w:rsidRDefault="004F4EDA" w:rsidP="0022344D"/>
    <w:p w14:paraId="069ED0AA" w14:textId="77777777" w:rsidR="004F4EDA" w:rsidRDefault="004F4EDA" w:rsidP="0022344D"/>
    <w:p w14:paraId="15B7BC30" w14:textId="77777777" w:rsidR="004F4EDA" w:rsidRDefault="004F4EDA" w:rsidP="0022344D"/>
    <w:p w14:paraId="44BB3A48" w14:textId="77777777" w:rsidR="004F4EDA" w:rsidRDefault="004F4EDA" w:rsidP="0022344D"/>
    <w:p w14:paraId="5DB7A283" w14:textId="77777777" w:rsidR="004F4EDA" w:rsidRDefault="004F4EDA" w:rsidP="0022344D"/>
    <w:p w14:paraId="68E26AEE" w14:textId="77777777" w:rsidR="004F4EDA" w:rsidRDefault="004F4EDA" w:rsidP="0022344D"/>
    <w:p w14:paraId="512D2984" w14:textId="77777777" w:rsidR="004F4EDA" w:rsidRDefault="004F4EDA" w:rsidP="0022344D"/>
    <w:p w14:paraId="4C9E8CDC" w14:textId="77777777" w:rsidR="004F4EDA" w:rsidRDefault="004F4EDA" w:rsidP="0022344D"/>
    <w:p w14:paraId="798EC0F0" w14:textId="77777777" w:rsidR="004F4EDA" w:rsidRDefault="004F4EDA" w:rsidP="0022344D"/>
    <w:p w14:paraId="748CC267" w14:textId="77777777" w:rsidR="004F4EDA" w:rsidRDefault="004F4EDA" w:rsidP="0022344D"/>
    <w:p w14:paraId="570AD623" w14:textId="77777777" w:rsidR="004F4EDA" w:rsidRDefault="004F4EDA" w:rsidP="0022344D"/>
    <w:p w14:paraId="55C5EC22" w14:textId="77777777" w:rsidR="004F4EDA" w:rsidRDefault="004F4EDA" w:rsidP="0022344D"/>
    <w:p w14:paraId="2500B204" w14:textId="77777777" w:rsidR="004F4EDA" w:rsidRDefault="004F4EDA" w:rsidP="0022344D"/>
    <w:p w14:paraId="26B9F8E1" w14:textId="77777777" w:rsidR="004F4EDA" w:rsidRDefault="004F4EDA" w:rsidP="0022344D"/>
    <w:p w14:paraId="478D96C5" w14:textId="77777777" w:rsidR="004F4EDA" w:rsidRDefault="004F4EDA" w:rsidP="0022344D"/>
    <w:p w14:paraId="1DDDE4E7" w14:textId="77777777" w:rsidR="004F4EDA" w:rsidRDefault="004F4EDA" w:rsidP="0022344D"/>
    <w:p w14:paraId="64A32385" w14:textId="77777777" w:rsidR="004F4EDA" w:rsidRDefault="004F4EDA" w:rsidP="0022344D"/>
    <w:p w14:paraId="61968898" w14:textId="77777777" w:rsidR="004F4EDA" w:rsidRDefault="004F4EDA" w:rsidP="0022344D"/>
    <w:p w14:paraId="670322E8" w14:textId="77777777" w:rsidR="004F4EDA" w:rsidRDefault="004F4EDA" w:rsidP="0022344D"/>
    <w:p w14:paraId="7E5F0980" w14:textId="77777777" w:rsidR="004F4EDA" w:rsidRDefault="004F4EDA" w:rsidP="0022344D"/>
    <w:p w14:paraId="1EFC70EF" w14:textId="77777777" w:rsidR="004F4EDA" w:rsidRDefault="004F4EDA" w:rsidP="0022344D"/>
    <w:p w14:paraId="558536FF" w14:textId="77777777" w:rsidR="004F4EDA" w:rsidRDefault="004F4EDA" w:rsidP="0022344D"/>
    <w:p w14:paraId="729BBAFC" w14:textId="77777777" w:rsidR="004F4EDA" w:rsidRDefault="004F4EDA" w:rsidP="0022344D"/>
    <w:p w14:paraId="5B615A65" w14:textId="77777777" w:rsidR="004F4EDA" w:rsidRDefault="004F4EDA" w:rsidP="0022344D"/>
    <w:p w14:paraId="40D5B07B" w14:textId="77777777" w:rsidR="004F4EDA" w:rsidRDefault="004F4EDA" w:rsidP="0022344D"/>
    <w:p w14:paraId="60E025B7" w14:textId="77777777" w:rsidR="004F4EDA" w:rsidRDefault="004F4EDA" w:rsidP="0022344D"/>
    <w:p w14:paraId="1213BED1" w14:textId="77777777" w:rsidR="004F4EDA" w:rsidRDefault="004F4EDA" w:rsidP="0022344D"/>
    <w:p w14:paraId="1A8C0988" w14:textId="77777777" w:rsidR="004F4EDA" w:rsidRDefault="004F4EDA" w:rsidP="0022344D"/>
    <w:p w14:paraId="09566354" w14:textId="77777777" w:rsidR="004F4EDA" w:rsidRDefault="004F4EDA" w:rsidP="0022344D"/>
    <w:p w14:paraId="522D347A" w14:textId="77777777" w:rsidR="004F4EDA" w:rsidRDefault="004F4EDA" w:rsidP="0022344D"/>
    <w:p w14:paraId="2B43178B" w14:textId="77777777" w:rsidR="004F4EDA" w:rsidRDefault="004F4EDA" w:rsidP="0022344D"/>
    <w:p w14:paraId="47EB0690" w14:textId="77777777" w:rsidR="004F4EDA" w:rsidRDefault="004F4EDA" w:rsidP="0022344D"/>
    <w:p w14:paraId="1E679EB4" w14:textId="77777777" w:rsidR="004F4EDA" w:rsidRDefault="004F4EDA" w:rsidP="0022344D"/>
    <w:p w14:paraId="08401172" w14:textId="77777777" w:rsidR="004F4EDA" w:rsidRDefault="004F4EDA" w:rsidP="0022344D"/>
    <w:p w14:paraId="1CEA02C8" w14:textId="77777777" w:rsidR="004F4EDA" w:rsidRDefault="004F4EDA" w:rsidP="0022344D"/>
    <w:p w14:paraId="58796741" w14:textId="77777777" w:rsidR="004F4EDA" w:rsidRDefault="004F4EDA" w:rsidP="0022344D"/>
    <w:p w14:paraId="447B1615" w14:textId="77777777" w:rsidR="004F4EDA" w:rsidRDefault="004F4EDA" w:rsidP="0022344D"/>
    <w:p w14:paraId="410B0BEE" w14:textId="77777777" w:rsidR="004F4EDA" w:rsidRDefault="004F4EDA" w:rsidP="0022344D"/>
    <w:p w14:paraId="5FD57D4E" w14:textId="77777777" w:rsidR="004F4EDA" w:rsidRDefault="004F4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650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365EF6F3" w:rsidR="00EB0393" w:rsidRPr="00586362" w:rsidRDefault="00EB0393" w:rsidP="0022344D">
        <w:pPr>
          <w:pStyle w:val="Footer"/>
        </w:pPr>
        <w:r w:rsidRPr="00586362">
          <w:fldChar w:fldCharType="begin"/>
        </w:r>
        <w:r w:rsidRPr="00586362">
          <w:instrText xml:space="preserve"> PAGE   \* MERGEFORMAT </w:instrText>
        </w:r>
        <w:r w:rsidRPr="00586362">
          <w:fldChar w:fldCharType="separate"/>
        </w:r>
        <w:r w:rsidR="00595628">
          <w:rPr>
            <w:noProof/>
          </w:rPr>
          <w:t>5</w:t>
        </w:r>
        <w:r w:rsidRPr="00586362">
          <w:rPr>
            <w:noProof/>
          </w:rPr>
          <w:fldChar w:fldCharType="end"/>
        </w:r>
        <w:r w:rsidRPr="00586362">
          <w:rPr>
            <w:noProof/>
          </w:rPr>
          <w:t xml:space="preserve">    </w:t>
        </w:r>
        <w:proofErr w:type="spellStart"/>
        <w:r w:rsidRPr="00586362">
          <w:rPr>
            <w:b/>
          </w:rPr>
          <w:t>Elering</w:t>
        </w:r>
        <w:proofErr w:type="spellEnd"/>
        <w:r w:rsidRPr="00586362">
          <w:rPr>
            <w:b/>
          </w:rPr>
          <w:t xml:space="preserve"> AS</w:t>
        </w:r>
        <w:r w:rsidR="00586362" w:rsidRPr="00586362">
          <w:t xml:space="preserve"> </w:t>
        </w:r>
        <w:r w:rsidRPr="00586362">
          <w:t xml:space="preserve">| </w:t>
        </w:r>
        <w:r w:rsidR="00586362" w:rsidRPr="00586362">
          <w:t>Laki 24</w:t>
        </w:r>
        <w:r w:rsidRPr="00586362">
          <w:t xml:space="preserve">, 12915 Tallinn, Estonia </w:t>
        </w:r>
        <w:r w:rsidR="00586362" w:rsidRPr="00586362">
          <w:t xml:space="preserve">| </w:t>
        </w:r>
        <w:r w:rsidRPr="00586362">
          <w:rPr>
            <w:noProof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86362" w:rsidRPr="00586362">
          <w:t xml:space="preserve"> + 372 715 1222 |</w:t>
        </w:r>
        <w:r w:rsidRPr="00586362">
          <w:t xml:space="preserve"> www.elering.ee </w:t>
        </w:r>
        <w:r w:rsidR="00AE71BE" w:rsidRPr="00586362">
          <w:t xml:space="preserve">| </w:t>
        </w:r>
        <w:r w:rsidR="00586362">
          <w:t>Ametlik e-post</w:t>
        </w:r>
        <w:r w:rsidR="00AE71BE" w:rsidRPr="00586362">
          <w:t>: info@elering.ee</w:t>
        </w:r>
      </w:p>
      <w:p w14:paraId="06CDD2E4" w14:textId="4786B0B5" w:rsidR="00EB0393" w:rsidRPr="00EB0393" w:rsidRDefault="00EB0393" w:rsidP="0022344D">
        <w:pPr>
          <w:pStyle w:val="Footer"/>
        </w:pPr>
        <w:r w:rsidRPr="00EB0393">
          <w:t xml:space="preserve">     </w:t>
        </w:r>
        <w:r>
          <w:t xml:space="preserve"> </w:t>
        </w:r>
      </w:p>
      <w:p w14:paraId="6C03B591" w14:textId="3C61C28F" w:rsidR="00EB0393" w:rsidRDefault="00595628" w:rsidP="0022344D">
        <w:pPr>
          <w:pStyle w:val="Footer"/>
        </w:pPr>
      </w:p>
    </w:sdtContent>
  </w:sdt>
  <w:p w14:paraId="52FDBFFC" w14:textId="17F8B18B" w:rsidR="00B82C56" w:rsidRPr="00E43D13" w:rsidRDefault="00B82C56" w:rsidP="0022344D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55214" w14:textId="77777777" w:rsidR="004F4EDA" w:rsidRDefault="004F4EDA" w:rsidP="0022344D">
      <w:r>
        <w:separator/>
      </w:r>
    </w:p>
    <w:p w14:paraId="799AB888" w14:textId="77777777" w:rsidR="004F4EDA" w:rsidRDefault="004F4EDA" w:rsidP="0022344D"/>
    <w:p w14:paraId="3FA62F7E" w14:textId="77777777" w:rsidR="004F4EDA" w:rsidRDefault="004F4EDA" w:rsidP="0022344D"/>
    <w:p w14:paraId="6578D8CD" w14:textId="77777777" w:rsidR="004F4EDA" w:rsidRDefault="004F4EDA" w:rsidP="0022344D"/>
    <w:p w14:paraId="68221D1E" w14:textId="77777777" w:rsidR="004F4EDA" w:rsidRDefault="004F4EDA" w:rsidP="0022344D"/>
    <w:p w14:paraId="7FC3F045" w14:textId="77777777" w:rsidR="004F4EDA" w:rsidRDefault="004F4EDA" w:rsidP="0022344D"/>
    <w:p w14:paraId="1AE5883F" w14:textId="77777777" w:rsidR="004F4EDA" w:rsidRDefault="004F4EDA" w:rsidP="0022344D"/>
    <w:p w14:paraId="72A8920E" w14:textId="77777777" w:rsidR="004F4EDA" w:rsidRDefault="004F4EDA" w:rsidP="0022344D"/>
    <w:p w14:paraId="47F813A1" w14:textId="77777777" w:rsidR="004F4EDA" w:rsidRDefault="004F4EDA" w:rsidP="0022344D"/>
    <w:p w14:paraId="1315DABD" w14:textId="77777777" w:rsidR="004F4EDA" w:rsidRDefault="004F4EDA" w:rsidP="0022344D"/>
    <w:p w14:paraId="48753091" w14:textId="77777777" w:rsidR="004F4EDA" w:rsidRDefault="004F4EDA" w:rsidP="0022344D"/>
    <w:p w14:paraId="52D51573" w14:textId="77777777" w:rsidR="004F4EDA" w:rsidRDefault="004F4EDA" w:rsidP="0022344D"/>
    <w:p w14:paraId="53A4B065" w14:textId="77777777" w:rsidR="004F4EDA" w:rsidRDefault="004F4EDA" w:rsidP="0022344D"/>
    <w:p w14:paraId="701007CD" w14:textId="77777777" w:rsidR="004F4EDA" w:rsidRDefault="004F4EDA" w:rsidP="0022344D"/>
    <w:p w14:paraId="32084001" w14:textId="77777777" w:rsidR="004F4EDA" w:rsidRDefault="004F4EDA" w:rsidP="0022344D"/>
    <w:p w14:paraId="018C3C03" w14:textId="77777777" w:rsidR="004F4EDA" w:rsidRDefault="004F4EDA" w:rsidP="0022344D"/>
    <w:p w14:paraId="7BE6E3CD" w14:textId="77777777" w:rsidR="004F4EDA" w:rsidRDefault="004F4EDA" w:rsidP="0022344D"/>
    <w:p w14:paraId="63BE2FD3" w14:textId="77777777" w:rsidR="004F4EDA" w:rsidRDefault="004F4EDA" w:rsidP="0022344D"/>
    <w:p w14:paraId="123D9CE1" w14:textId="77777777" w:rsidR="004F4EDA" w:rsidRDefault="004F4EDA" w:rsidP="0022344D"/>
    <w:p w14:paraId="60B81471" w14:textId="77777777" w:rsidR="004F4EDA" w:rsidRDefault="004F4EDA" w:rsidP="0022344D"/>
    <w:p w14:paraId="10F50F71" w14:textId="77777777" w:rsidR="004F4EDA" w:rsidRDefault="004F4EDA" w:rsidP="0022344D"/>
    <w:p w14:paraId="245E141B" w14:textId="77777777" w:rsidR="004F4EDA" w:rsidRDefault="004F4EDA" w:rsidP="0022344D"/>
    <w:p w14:paraId="4836102C" w14:textId="77777777" w:rsidR="004F4EDA" w:rsidRDefault="004F4EDA" w:rsidP="0022344D"/>
    <w:p w14:paraId="5D1742F2" w14:textId="77777777" w:rsidR="004F4EDA" w:rsidRDefault="004F4EDA" w:rsidP="0022344D"/>
    <w:p w14:paraId="60702B62" w14:textId="77777777" w:rsidR="004F4EDA" w:rsidRDefault="004F4EDA" w:rsidP="0022344D"/>
    <w:p w14:paraId="4A3D36E7" w14:textId="77777777" w:rsidR="004F4EDA" w:rsidRDefault="004F4EDA" w:rsidP="0022344D"/>
    <w:p w14:paraId="29700FC4" w14:textId="77777777" w:rsidR="004F4EDA" w:rsidRDefault="004F4EDA" w:rsidP="0022344D"/>
    <w:p w14:paraId="4B198F7E" w14:textId="77777777" w:rsidR="004F4EDA" w:rsidRDefault="004F4EDA" w:rsidP="0022344D"/>
    <w:p w14:paraId="2EA2C4F1" w14:textId="77777777" w:rsidR="004F4EDA" w:rsidRDefault="004F4EDA" w:rsidP="0022344D"/>
    <w:p w14:paraId="356A282B" w14:textId="77777777" w:rsidR="004F4EDA" w:rsidRDefault="004F4EDA" w:rsidP="0022344D"/>
    <w:p w14:paraId="4493D290" w14:textId="77777777" w:rsidR="004F4EDA" w:rsidRDefault="004F4EDA" w:rsidP="0022344D"/>
    <w:p w14:paraId="7601A917" w14:textId="77777777" w:rsidR="004F4EDA" w:rsidRDefault="004F4EDA" w:rsidP="0022344D"/>
    <w:p w14:paraId="38C0BBD6" w14:textId="77777777" w:rsidR="004F4EDA" w:rsidRDefault="004F4EDA" w:rsidP="0022344D"/>
    <w:p w14:paraId="54F2CA8C" w14:textId="77777777" w:rsidR="004F4EDA" w:rsidRDefault="004F4EDA" w:rsidP="0022344D"/>
    <w:p w14:paraId="0151337B" w14:textId="77777777" w:rsidR="004F4EDA" w:rsidRDefault="004F4EDA" w:rsidP="0022344D"/>
    <w:p w14:paraId="2330A843" w14:textId="77777777" w:rsidR="004F4EDA" w:rsidRDefault="004F4EDA" w:rsidP="0022344D"/>
    <w:p w14:paraId="1CB3DD1F" w14:textId="77777777" w:rsidR="004F4EDA" w:rsidRDefault="004F4EDA" w:rsidP="0022344D"/>
    <w:p w14:paraId="3B36B7E1" w14:textId="77777777" w:rsidR="004F4EDA" w:rsidRDefault="004F4EDA" w:rsidP="0022344D"/>
    <w:p w14:paraId="3D390B1E" w14:textId="77777777" w:rsidR="004F4EDA" w:rsidRDefault="004F4EDA" w:rsidP="0022344D"/>
    <w:p w14:paraId="506C4DEC" w14:textId="77777777" w:rsidR="004F4EDA" w:rsidRDefault="004F4EDA" w:rsidP="0022344D"/>
    <w:p w14:paraId="65F63046" w14:textId="77777777" w:rsidR="004F4EDA" w:rsidRDefault="004F4EDA" w:rsidP="0022344D"/>
    <w:p w14:paraId="30A6C998" w14:textId="77777777" w:rsidR="004F4EDA" w:rsidRDefault="004F4EDA" w:rsidP="0022344D"/>
    <w:p w14:paraId="09908FBC" w14:textId="77777777" w:rsidR="004F4EDA" w:rsidRDefault="004F4EDA" w:rsidP="0022344D"/>
    <w:p w14:paraId="09E6C5AA" w14:textId="77777777" w:rsidR="004F4EDA" w:rsidRDefault="004F4EDA" w:rsidP="0022344D"/>
    <w:p w14:paraId="7539BE3B" w14:textId="77777777" w:rsidR="004F4EDA" w:rsidRDefault="004F4EDA" w:rsidP="0022344D"/>
    <w:p w14:paraId="4343D578" w14:textId="77777777" w:rsidR="004F4EDA" w:rsidRDefault="004F4EDA" w:rsidP="0022344D"/>
    <w:p w14:paraId="1C613623" w14:textId="77777777" w:rsidR="004F4EDA" w:rsidRDefault="004F4EDA" w:rsidP="0022344D"/>
    <w:p w14:paraId="58669283" w14:textId="77777777" w:rsidR="004F4EDA" w:rsidRDefault="004F4EDA" w:rsidP="0022344D"/>
    <w:p w14:paraId="720F9576" w14:textId="77777777" w:rsidR="004F4EDA" w:rsidRDefault="004F4EDA" w:rsidP="0022344D"/>
    <w:p w14:paraId="5AE5C2F5" w14:textId="77777777" w:rsidR="004F4EDA" w:rsidRDefault="004F4EDA" w:rsidP="0022344D"/>
    <w:p w14:paraId="3B750AD8" w14:textId="77777777" w:rsidR="004F4EDA" w:rsidRDefault="004F4EDA" w:rsidP="0022344D"/>
    <w:p w14:paraId="142DD225" w14:textId="77777777" w:rsidR="004F4EDA" w:rsidRDefault="004F4EDA" w:rsidP="0022344D"/>
    <w:p w14:paraId="3CE38878" w14:textId="77777777" w:rsidR="004F4EDA" w:rsidRDefault="004F4EDA" w:rsidP="0022344D"/>
    <w:p w14:paraId="7FF731D1" w14:textId="77777777" w:rsidR="004F4EDA" w:rsidRDefault="004F4EDA" w:rsidP="0022344D"/>
    <w:p w14:paraId="493F110B" w14:textId="77777777" w:rsidR="004F4EDA" w:rsidRDefault="004F4EDA" w:rsidP="0022344D"/>
    <w:p w14:paraId="137D9F0D" w14:textId="77777777" w:rsidR="004F4EDA" w:rsidRDefault="004F4EDA" w:rsidP="0022344D"/>
    <w:p w14:paraId="554B7736" w14:textId="77777777" w:rsidR="004F4EDA" w:rsidRDefault="004F4EDA" w:rsidP="0022344D"/>
    <w:p w14:paraId="4B292304" w14:textId="77777777" w:rsidR="004F4EDA" w:rsidRDefault="004F4EDA" w:rsidP="0022344D"/>
    <w:p w14:paraId="0431267A" w14:textId="77777777" w:rsidR="004F4EDA" w:rsidRDefault="004F4EDA" w:rsidP="0022344D"/>
    <w:p w14:paraId="6C9DB783" w14:textId="77777777" w:rsidR="004F4EDA" w:rsidRDefault="004F4EDA" w:rsidP="0022344D"/>
    <w:p w14:paraId="79960855" w14:textId="77777777" w:rsidR="004F4EDA" w:rsidRDefault="004F4EDA" w:rsidP="0022344D"/>
    <w:p w14:paraId="0BCAACE1" w14:textId="77777777" w:rsidR="004F4EDA" w:rsidRDefault="004F4EDA" w:rsidP="0022344D"/>
    <w:p w14:paraId="7956DAEC" w14:textId="77777777" w:rsidR="004F4EDA" w:rsidRDefault="004F4EDA" w:rsidP="0022344D"/>
    <w:p w14:paraId="14198FDD" w14:textId="77777777" w:rsidR="004F4EDA" w:rsidRDefault="004F4EDA" w:rsidP="0022344D"/>
    <w:p w14:paraId="33B0DC24" w14:textId="77777777" w:rsidR="004F4EDA" w:rsidRDefault="004F4EDA" w:rsidP="0022344D"/>
    <w:p w14:paraId="22FA162A" w14:textId="77777777" w:rsidR="004F4EDA" w:rsidRDefault="004F4EDA" w:rsidP="0022344D"/>
    <w:p w14:paraId="6F310EDD" w14:textId="77777777" w:rsidR="004F4EDA" w:rsidRDefault="004F4EDA" w:rsidP="0022344D"/>
    <w:p w14:paraId="48142AAC" w14:textId="77777777" w:rsidR="004F4EDA" w:rsidRDefault="004F4EDA" w:rsidP="0022344D"/>
    <w:p w14:paraId="48B5E206" w14:textId="77777777" w:rsidR="004F4EDA" w:rsidRDefault="004F4EDA" w:rsidP="0022344D"/>
    <w:p w14:paraId="04ACDC58" w14:textId="77777777" w:rsidR="004F4EDA" w:rsidRDefault="004F4EDA" w:rsidP="0022344D"/>
    <w:p w14:paraId="768DDF7A" w14:textId="77777777" w:rsidR="004F4EDA" w:rsidRDefault="004F4EDA" w:rsidP="0022344D"/>
    <w:p w14:paraId="3BC33E69" w14:textId="77777777" w:rsidR="004F4EDA" w:rsidRDefault="004F4EDA" w:rsidP="0022344D"/>
    <w:p w14:paraId="4C3E1BFC" w14:textId="77777777" w:rsidR="004F4EDA" w:rsidRDefault="004F4EDA" w:rsidP="0022344D"/>
    <w:p w14:paraId="05C46439" w14:textId="77777777" w:rsidR="004F4EDA" w:rsidRDefault="004F4EDA" w:rsidP="0022344D"/>
    <w:p w14:paraId="5A4591BB" w14:textId="77777777" w:rsidR="004F4EDA" w:rsidRDefault="004F4EDA"/>
  </w:footnote>
  <w:footnote w:type="continuationSeparator" w:id="0">
    <w:p w14:paraId="79CB8B6E" w14:textId="77777777" w:rsidR="004F4EDA" w:rsidRDefault="004F4EDA" w:rsidP="0022344D">
      <w:r>
        <w:continuationSeparator/>
      </w:r>
    </w:p>
    <w:p w14:paraId="10B0ED4E" w14:textId="77777777" w:rsidR="004F4EDA" w:rsidRDefault="004F4EDA" w:rsidP="0022344D"/>
    <w:p w14:paraId="6E8C8401" w14:textId="77777777" w:rsidR="004F4EDA" w:rsidRDefault="004F4EDA" w:rsidP="0022344D"/>
    <w:p w14:paraId="1FB0FCD2" w14:textId="77777777" w:rsidR="004F4EDA" w:rsidRDefault="004F4EDA" w:rsidP="0022344D"/>
    <w:p w14:paraId="63DFD1D7" w14:textId="77777777" w:rsidR="004F4EDA" w:rsidRDefault="004F4EDA" w:rsidP="0022344D"/>
    <w:p w14:paraId="1C81FEDF" w14:textId="77777777" w:rsidR="004F4EDA" w:rsidRDefault="004F4EDA" w:rsidP="0022344D"/>
    <w:p w14:paraId="421B7BB7" w14:textId="77777777" w:rsidR="004F4EDA" w:rsidRDefault="004F4EDA" w:rsidP="0022344D"/>
    <w:p w14:paraId="3365F8FE" w14:textId="77777777" w:rsidR="004F4EDA" w:rsidRDefault="004F4EDA" w:rsidP="0022344D"/>
    <w:p w14:paraId="6A0DF61F" w14:textId="77777777" w:rsidR="004F4EDA" w:rsidRDefault="004F4EDA" w:rsidP="0022344D"/>
    <w:p w14:paraId="34A7F8E6" w14:textId="77777777" w:rsidR="004F4EDA" w:rsidRDefault="004F4EDA" w:rsidP="0022344D"/>
    <w:p w14:paraId="2B047024" w14:textId="77777777" w:rsidR="004F4EDA" w:rsidRDefault="004F4EDA" w:rsidP="0022344D"/>
    <w:p w14:paraId="644ECDB9" w14:textId="77777777" w:rsidR="004F4EDA" w:rsidRDefault="004F4EDA" w:rsidP="0022344D"/>
    <w:p w14:paraId="3E371856" w14:textId="77777777" w:rsidR="004F4EDA" w:rsidRDefault="004F4EDA" w:rsidP="0022344D"/>
    <w:p w14:paraId="62AD64D2" w14:textId="77777777" w:rsidR="004F4EDA" w:rsidRDefault="004F4EDA" w:rsidP="0022344D"/>
    <w:p w14:paraId="3101B45E" w14:textId="77777777" w:rsidR="004F4EDA" w:rsidRDefault="004F4EDA" w:rsidP="0022344D"/>
    <w:p w14:paraId="29713917" w14:textId="77777777" w:rsidR="004F4EDA" w:rsidRDefault="004F4EDA" w:rsidP="0022344D"/>
    <w:p w14:paraId="77A7F102" w14:textId="77777777" w:rsidR="004F4EDA" w:rsidRDefault="004F4EDA" w:rsidP="0022344D"/>
    <w:p w14:paraId="00D5C8C6" w14:textId="77777777" w:rsidR="004F4EDA" w:rsidRDefault="004F4EDA" w:rsidP="0022344D"/>
    <w:p w14:paraId="24840EE6" w14:textId="77777777" w:rsidR="004F4EDA" w:rsidRDefault="004F4EDA" w:rsidP="0022344D"/>
    <w:p w14:paraId="793C6585" w14:textId="77777777" w:rsidR="004F4EDA" w:rsidRDefault="004F4EDA" w:rsidP="0022344D"/>
    <w:p w14:paraId="1D0F8E1A" w14:textId="77777777" w:rsidR="004F4EDA" w:rsidRDefault="004F4EDA" w:rsidP="0022344D"/>
    <w:p w14:paraId="78CB312A" w14:textId="77777777" w:rsidR="004F4EDA" w:rsidRDefault="004F4EDA" w:rsidP="0022344D"/>
    <w:p w14:paraId="262A2187" w14:textId="77777777" w:rsidR="004F4EDA" w:rsidRDefault="004F4EDA" w:rsidP="0022344D"/>
    <w:p w14:paraId="395508E4" w14:textId="77777777" w:rsidR="004F4EDA" w:rsidRDefault="004F4EDA" w:rsidP="0022344D"/>
    <w:p w14:paraId="0E42EC4C" w14:textId="77777777" w:rsidR="004F4EDA" w:rsidRDefault="004F4EDA" w:rsidP="0022344D"/>
    <w:p w14:paraId="386FCE71" w14:textId="77777777" w:rsidR="004F4EDA" w:rsidRDefault="004F4EDA" w:rsidP="0022344D"/>
    <w:p w14:paraId="344F8CAF" w14:textId="77777777" w:rsidR="004F4EDA" w:rsidRDefault="004F4EDA" w:rsidP="0022344D"/>
    <w:p w14:paraId="6AD4E1ED" w14:textId="77777777" w:rsidR="004F4EDA" w:rsidRDefault="004F4EDA" w:rsidP="0022344D"/>
    <w:p w14:paraId="03EC1E76" w14:textId="77777777" w:rsidR="004F4EDA" w:rsidRDefault="004F4EDA" w:rsidP="0022344D"/>
    <w:p w14:paraId="145954EF" w14:textId="77777777" w:rsidR="004F4EDA" w:rsidRDefault="004F4EDA" w:rsidP="0022344D"/>
    <w:p w14:paraId="421C13EA" w14:textId="77777777" w:rsidR="004F4EDA" w:rsidRDefault="004F4EDA" w:rsidP="0022344D"/>
    <w:p w14:paraId="4A34CF99" w14:textId="77777777" w:rsidR="004F4EDA" w:rsidRDefault="004F4EDA" w:rsidP="0022344D"/>
    <w:p w14:paraId="670D0762" w14:textId="77777777" w:rsidR="004F4EDA" w:rsidRDefault="004F4EDA" w:rsidP="0022344D"/>
    <w:p w14:paraId="79E11C88" w14:textId="77777777" w:rsidR="004F4EDA" w:rsidRDefault="004F4EDA" w:rsidP="0022344D"/>
    <w:p w14:paraId="4C1076C1" w14:textId="77777777" w:rsidR="004F4EDA" w:rsidRDefault="004F4EDA" w:rsidP="0022344D"/>
    <w:p w14:paraId="2EA8B2F0" w14:textId="77777777" w:rsidR="004F4EDA" w:rsidRDefault="004F4EDA" w:rsidP="0022344D"/>
    <w:p w14:paraId="18E57F73" w14:textId="77777777" w:rsidR="004F4EDA" w:rsidRDefault="004F4EDA" w:rsidP="0022344D"/>
    <w:p w14:paraId="37572596" w14:textId="77777777" w:rsidR="004F4EDA" w:rsidRDefault="004F4EDA" w:rsidP="0022344D"/>
    <w:p w14:paraId="2549B7EC" w14:textId="77777777" w:rsidR="004F4EDA" w:rsidRDefault="004F4EDA" w:rsidP="0022344D"/>
    <w:p w14:paraId="182196B4" w14:textId="77777777" w:rsidR="004F4EDA" w:rsidRDefault="004F4EDA" w:rsidP="0022344D"/>
    <w:p w14:paraId="5B9F332F" w14:textId="77777777" w:rsidR="004F4EDA" w:rsidRDefault="004F4EDA" w:rsidP="0022344D"/>
    <w:p w14:paraId="057B69F8" w14:textId="77777777" w:rsidR="004F4EDA" w:rsidRDefault="004F4EDA" w:rsidP="0022344D"/>
    <w:p w14:paraId="6A9D050A" w14:textId="77777777" w:rsidR="004F4EDA" w:rsidRDefault="004F4EDA" w:rsidP="0022344D"/>
    <w:p w14:paraId="24D74872" w14:textId="77777777" w:rsidR="004F4EDA" w:rsidRDefault="004F4EDA" w:rsidP="0022344D"/>
    <w:p w14:paraId="720301E5" w14:textId="77777777" w:rsidR="004F4EDA" w:rsidRDefault="004F4EDA" w:rsidP="0022344D"/>
    <w:p w14:paraId="786CAF24" w14:textId="77777777" w:rsidR="004F4EDA" w:rsidRDefault="004F4EDA" w:rsidP="0022344D"/>
    <w:p w14:paraId="7C87E924" w14:textId="77777777" w:rsidR="004F4EDA" w:rsidRDefault="004F4EDA" w:rsidP="0022344D"/>
    <w:p w14:paraId="05080E08" w14:textId="77777777" w:rsidR="004F4EDA" w:rsidRDefault="004F4EDA" w:rsidP="0022344D"/>
    <w:p w14:paraId="210EF770" w14:textId="77777777" w:rsidR="004F4EDA" w:rsidRDefault="004F4EDA" w:rsidP="0022344D"/>
    <w:p w14:paraId="563755CF" w14:textId="77777777" w:rsidR="004F4EDA" w:rsidRDefault="004F4EDA" w:rsidP="0022344D"/>
    <w:p w14:paraId="23E3C30A" w14:textId="77777777" w:rsidR="004F4EDA" w:rsidRDefault="004F4EDA" w:rsidP="0022344D"/>
    <w:p w14:paraId="73BE0C21" w14:textId="77777777" w:rsidR="004F4EDA" w:rsidRDefault="004F4EDA" w:rsidP="0022344D"/>
    <w:p w14:paraId="5CE4425A" w14:textId="77777777" w:rsidR="004F4EDA" w:rsidRDefault="004F4EDA" w:rsidP="0022344D"/>
    <w:p w14:paraId="3BD253FB" w14:textId="77777777" w:rsidR="004F4EDA" w:rsidRDefault="004F4EDA" w:rsidP="0022344D"/>
    <w:p w14:paraId="0EECA37F" w14:textId="77777777" w:rsidR="004F4EDA" w:rsidRDefault="004F4EDA" w:rsidP="0022344D"/>
    <w:p w14:paraId="2748F46A" w14:textId="77777777" w:rsidR="004F4EDA" w:rsidRDefault="004F4EDA" w:rsidP="0022344D"/>
    <w:p w14:paraId="34D53F9B" w14:textId="77777777" w:rsidR="004F4EDA" w:rsidRDefault="004F4EDA" w:rsidP="0022344D"/>
    <w:p w14:paraId="73F5E084" w14:textId="77777777" w:rsidR="004F4EDA" w:rsidRDefault="004F4EDA" w:rsidP="0022344D"/>
    <w:p w14:paraId="3AB32589" w14:textId="77777777" w:rsidR="004F4EDA" w:rsidRDefault="004F4EDA" w:rsidP="0022344D"/>
    <w:p w14:paraId="05B3BCBC" w14:textId="77777777" w:rsidR="004F4EDA" w:rsidRDefault="004F4EDA" w:rsidP="0022344D"/>
    <w:p w14:paraId="5B5C221B" w14:textId="77777777" w:rsidR="004F4EDA" w:rsidRDefault="004F4EDA" w:rsidP="0022344D"/>
    <w:p w14:paraId="78954D48" w14:textId="77777777" w:rsidR="004F4EDA" w:rsidRDefault="004F4EDA" w:rsidP="0022344D"/>
    <w:p w14:paraId="12C2BD71" w14:textId="77777777" w:rsidR="004F4EDA" w:rsidRDefault="004F4EDA" w:rsidP="0022344D"/>
    <w:p w14:paraId="53EA5C4F" w14:textId="77777777" w:rsidR="004F4EDA" w:rsidRDefault="004F4EDA" w:rsidP="0022344D"/>
    <w:p w14:paraId="60E42EBE" w14:textId="77777777" w:rsidR="004F4EDA" w:rsidRDefault="004F4EDA" w:rsidP="0022344D"/>
    <w:p w14:paraId="2CE22C61" w14:textId="77777777" w:rsidR="004F4EDA" w:rsidRDefault="004F4EDA" w:rsidP="0022344D"/>
    <w:p w14:paraId="7BCD5AA7" w14:textId="77777777" w:rsidR="004F4EDA" w:rsidRDefault="004F4EDA" w:rsidP="0022344D"/>
    <w:p w14:paraId="101BBB92" w14:textId="77777777" w:rsidR="004F4EDA" w:rsidRDefault="004F4EDA" w:rsidP="0022344D"/>
    <w:p w14:paraId="12F7901B" w14:textId="77777777" w:rsidR="004F4EDA" w:rsidRDefault="004F4EDA" w:rsidP="0022344D"/>
    <w:p w14:paraId="3E601AE6" w14:textId="77777777" w:rsidR="004F4EDA" w:rsidRDefault="004F4EDA" w:rsidP="0022344D"/>
    <w:p w14:paraId="07F4C126" w14:textId="77777777" w:rsidR="004F4EDA" w:rsidRDefault="004F4EDA" w:rsidP="0022344D"/>
    <w:p w14:paraId="53A28F3E" w14:textId="77777777" w:rsidR="004F4EDA" w:rsidRDefault="004F4EDA" w:rsidP="0022344D"/>
    <w:p w14:paraId="1E5E1F75" w14:textId="77777777" w:rsidR="004F4EDA" w:rsidRDefault="004F4EDA" w:rsidP="0022344D"/>
    <w:p w14:paraId="1BE98E7E" w14:textId="77777777" w:rsidR="004F4EDA" w:rsidRDefault="004F4EDA" w:rsidP="0022344D"/>
    <w:p w14:paraId="6A0C3A15" w14:textId="77777777" w:rsidR="004F4EDA" w:rsidRDefault="004F4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30B1C" w14:textId="77777777" w:rsidR="00A267F7" w:rsidRDefault="00A267F7" w:rsidP="0022344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7" name="Picture 7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0C3A" w14:textId="77777777" w:rsidR="00A267F7" w:rsidRDefault="00A267F7" w:rsidP="002234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B6843"/>
    <w:multiLevelType w:val="hybridMultilevel"/>
    <w:tmpl w:val="543E6132"/>
    <w:lvl w:ilvl="0" w:tplc="04250001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5D2396"/>
    <w:multiLevelType w:val="hybridMultilevel"/>
    <w:tmpl w:val="C4CA19E2"/>
    <w:lvl w:ilvl="0" w:tplc="042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7"/>
  </w:num>
  <w:num w:numId="14">
    <w:abstractNumId w:val="19"/>
  </w:num>
  <w:num w:numId="15">
    <w:abstractNumId w:val="23"/>
  </w:num>
  <w:num w:numId="16">
    <w:abstractNumId w:val="18"/>
  </w:num>
  <w:num w:numId="17">
    <w:abstractNumId w:val="20"/>
  </w:num>
  <w:num w:numId="18">
    <w:abstractNumId w:val="11"/>
  </w:num>
  <w:num w:numId="19">
    <w:abstractNumId w:val="25"/>
  </w:num>
  <w:num w:numId="20">
    <w:abstractNumId w:val="26"/>
  </w:num>
  <w:num w:numId="21">
    <w:abstractNumId w:val="22"/>
  </w:num>
  <w:num w:numId="22">
    <w:abstractNumId w:val="21"/>
  </w:num>
  <w:num w:numId="23">
    <w:abstractNumId w:val="16"/>
  </w:num>
  <w:num w:numId="24">
    <w:abstractNumId w:val="15"/>
  </w:num>
  <w:num w:numId="25">
    <w:abstractNumId w:val="17"/>
  </w:num>
  <w:num w:numId="26">
    <w:abstractNumId w:val="24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6"/>
    <w:rsid w:val="00000901"/>
    <w:rsid w:val="00000EC1"/>
    <w:rsid w:val="000011F2"/>
    <w:rsid w:val="00001529"/>
    <w:rsid w:val="0000183A"/>
    <w:rsid w:val="000018E7"/>
    <w:rsid w:val="00001919"/>
    <w:rsid w:val="00002033"/>
    <w:rsid w:val="00002AE8"/>
    <w:rsid w:val="00003298"/>
    <w:rsid w:val="000036A1"/>
    <w:rsid w:val="00003C8A"/>
    <w:rsid w:val="00004875"/>
    <w:rsid w:val="00005D5B"/>
    <w:rsid w:val="00006C89"/>
    <w:rsid w:val="0000792A"/>
    <w:rsid w:val="00010A68"/>
    <w:rsid w:val="00010B65"/>
    <w:rsid w:val="00011447"/>
    <w:rsid w:val="00011DBC"/>
    <w:rsid w:val="00012459"/>
    <w:rsid w:val="00012460"/>
    <w:rsid w:val="000124AC"/>
    <w:rsid w:val="00012B28"/>
    <w:rsid w:val="00012C39"/>
    <w:rsid w:val="0001385F"/>
    <w:rsid w:val="00013A50"/>
    <w:rsid w:val="00013E31"/>
    <w:rsid w:val="000140DC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469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30091"/>
    <w:rsid w:val="000311FC"/>
    <w:rsid w:val="00031352"/>
    <w:rsid w:val="000317FA"/>
    <w:rsid w:val="00031A35"/>
    <w:rsid w:val="00031B26"/>
    <w:rsid w:val="000321A8"/>
    <w:rsid w:val="00033415"/>
    <w:rsid w:val="00033866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42"/>
    <w:rsid w:val="00037EBD"/>
    <w:rsid w:val="00040183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E6E"/>
    <w:rsid w:val="000472FA"/>
    <w:rsid w:val="0005033C"/>
    <w:rsid w:val="0005039C"/>
    <w:rsid w:val="000518FE"/>
    <w:rsid w:val="00051A5A"/>
    <w:rsid w:val="0005213D"/>
    <w:rsid w:val="00052F09"/>
    <w:rsid w:val="00053354"/>
    <w:rsid w:val="0005344D"/>
    <w:rsid w:val="00053962"/>
    <w:rsid w:val="0005468E"/>
    <w:rsid w:val="00054754"/>
    <w:rsid w:val="00054771"/>
    <w:rsid w:val="00054CFB"/>
    <w:rsid w:val="0005507D"/>
    <w:rsid w:val="0005526E"/>
    <w:rsid w:val="00055D06"/>
    <w:rsid w:val="00056838"/>
    <w:rsid w:val="00056DD0"/>
    <w:rsid w:val="00056EB6"/>
    <w:rsid w:val="00057792"/>
    <w:rsid w:val="00057974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5042"/>
    <w:rsid w:val="00075231"/>
    <w:rsid w:val="00075838"/>
    <w:rsid w:val="00075DCE"/>
    <w:rsid w:val="000760B7"/>
    <w:rsid w:val="000764F1"/>
    <w:rsid w:val="00076754"/>
    <w:rsid w:val="00076912"/>
    <w:rsid w:val="00076C62"/>
    <w:rsid w:val="00076DFD"/>
    <w:rsid w:val="000771C8"/>
    <w:rsid w:val="0007720B"/>
    <w:rsid w:val="00077402"/>
    <w:rsid w:val="00077952"/>
    <w:rsid w:val="0008014C"/>
    <w:rsid w:val="00081140"/>
    <w:rsid w:val="000814CF"/>
    <w:rsid w:val="000817AC"/>
    <w:rsid w:val="000817EA"/>
    <w:rsid w:val="00081E35"/>
    <w:rsid w:val="00081FA7"/>
    <w:rsid w:val="00082F0F"/>
    <w:rsid w:val="0008391B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902"/>
    <w:rsid w:val="000A54F1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A2F"/>
    <w:rsid w:val="000B5B14"/>
    <w:rsid w:val="000B5FAC"/>
    <w:rsid w:val="000B60B2"/>
    <w:rsid w:val="000B620B"/>
    <w:rsid w:val="000B7120"/>
    <w:rsid w:val="000B753D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B76"/>
    <w:rsid w:val="000D32F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DCE"/>
    <w:rsid w:val="000D7E9F"/>
    <w:rsid w:val="000E1421"/>
    <w:rsid w:val="000E183C"/>
    <w:rsid w:val="000E1AEC"/>
    <w:rsid w:val="000E21B9"/>
    <w:rsid w:val="000E238F"/>
    <w:rsid w:val="000E2485"/>
    <w:rsid w:val="000E314B"/>
    <w:rsid w:val="000E3288"/>
    <w:rsid w:val="000E35C1"/>
    <w:rsid w:val="000E35E0"/>
    <w:rsid w:val="000E4A61"/>
    <w:rsid w:val="000E4EED"/>
    <w:rsid w:val="000E619B"/>
    <w:rsid w:val="000E61E9"/>
    <w:rsid w:val="000E6B92"/>
    <w:rsid w:val="000E74ED"/>
    <w:rsid w:val="000E7923"/>
    <w:rsid w:val="000E7A7D"/>
    <w:rsid w:val="000F05B1"/>
    <w:rsid w:val="000F09A0"/>
    <w:rsid w:val="000F13D2"/>
    <w:rsid w:val="000F1597"/>
    <w:rsid w:val="000F15CE"/>
    <w:rsid w:val="000F1DB3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581"/>
    <w:rsid w:val="00104C00"/>
    <w:rsid w:val="00104C07"/>
    <w:rsid w:val="00105049"/>
    <w:rsid w:val="00105277"/>
    <w:rsid w:val="00105684"/>
    <w:rsid w:val="00105B6F"/>
    <w:rsid w:val="0010694A"/>
    <w:rsid w:val="00106FD7"/>
    <w:rsid w:val="001070A6"/>
    <w:rsid w:val="00107A2D"/>
    <w:rsid w:val="00110929"/>
    <w:rsid w:val="001110B1"/>
    <w:rsid w:val="0011136F"/>
    <w:rsid w:val="00112393"/>
    <w:rsid w:val="001124A4"/>
    <w:rsid w:val="00112EEA"/>
    <w:rsid w:val="001132C2"/>
    <w:rsid w:val="00113E76"/>
    <w:rsid w:val="00114132"/>
    <w:rsid w:val="00114989"/>
    <w:rsid w:val="00114E00"/>
    <w:rsid w:val="001153B1"/>
    <w:rsid w:val="001158B8"/>
    <w:rsid w:val="00115F7C"/>
    <w:rsid w:val="001176B9"/>
    <w:rsid w:val="0011796E"/>
    <w:rsid w:val="00121B50"/>
    <w:rsid w:val="00122B2D"/>
    <w:rsid w:val="00123483"/>
    <w:rsid w:val="00123519"/>
    <w:rsid w:val="001235C7"/>
    <w:rsid w:val="0012370B"/>
    <w:rsid w:val="00124281"/>
    <w:rsid w:val="001248F4"/>
    <w:rsid w:val="00124B0C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C6F"/>
    <w:rsid w:val="001332DD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33FB"/>
    <w:rsid w:val="00143EA1"/>
    <w:rsid w:val="00144523"/>
    <w:rsid w:val="00144E77"/>
    <w:rsid w:val="001457FD"/>
    <w:rsid w:val="001463FB"/>
    <w:rsid w:val="00147183"/>
    <w:rsid w:val="00147AEF"/>
    <w:rsid w:val="00147C07"/>
    <w:rsid w:val="00147D7C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F63"/>
    <w:rsid w:val="00157094"/>
    <w:rsid w:val="001575BD"/>
    <w:rsid w:val="00157C62"/>
    <w:rsid w:val="00161E30"/>
    <w:rsid w:val="001620B9"/>
    <w:rsid w:val="00162245"/>
    <w:rsid w:val="00162A50"/>
    <w:rsid w:val="00162C98"/>
    <w:rsid w:val="00162D9A"/>
    <w:rsid w:val="0016365C"/>
    <w:rsid w:val="00163E7F"/>
    <w:rsid w:val="001641E5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304"/>
    <w:rsid w:val="001765B3"/>
    <w:rsid w:val="001767E5"/>
    <w:rsid w:val="0017692E"/>
    <w:rsid w:val="00177DFD"/>
    <w:rsid w:val="00177E29"/>
    <w:rsid w:val="0018090A"/>
    <w:rsid w:val="00181122"/>
    <w:rsid w:val="001814FB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BA5"/>
    <w:rsid w:val="0018623E"/>
    <w:rsid w:val="00186EFC"/>
    <w:rsid w:val="001870AD"/>
    <w:rsid w:val="00187312"/>
    <w:rsid w:val="001878AC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5A"/>
    <w:rsid w:val="00196E1B"/>
    <w:rsid w:val="0019719B"/>
    <w:rsid w:val="0019761C"/>
    <w:rsid w:val="00197DD7"/>
    <w:rsid w:val="001A0396"/>
    <w:rsid w:val="001A07E6"/>
    <w:rsid w:val="001A0957"/>
    <w:rsid w:val="001A0AD9"/>
    <w:rsid w:val="001A0C44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946"/>
    <w:rsid w:val="001A72F2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89E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720A"/>
    <w:rsid w:val="001D0570"/>
    <w:rsid w:val="001D08BF"/>
    <w:rsid w:val="001D0E05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DFB"/>
    <w:rsid w:val="001D6F7E"/>
    <w:rsid w:val="001D7557"/>
    <w:rsid w:val="001E08CD"/>
    <w:rsid w:val="001E0D6F"/>
    <w:rsid w:val="001E0E93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7462"/>
    <w:rsid w:val="001E7B05"/>
    <w:rsid w:val="001E7B89"/>
    <w:rsid w:val="001E7D55"/>
    <w:rsid w:val="001F0172"/>
    <w:rsid w:val="001F0FD5"/>
    <w:rsid w:val="001F137E"/>
    <w:rsid w:val="001F13D7"/>
    <w:rsid w:val="001F1B49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2002E3"/>
    <w:rsid w:val="002020F3"/>
    <w:rsid w:val="002024C4"/>
    <w:rsid w:val="00202AA5"/>
    <w:rsid w:val="00203418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C00"/>
    <w:rsid w:val="002227FB"/>
    <w:rsid w:val="00222CCB"/>
    <w:rsid w:val="00222DED"/>
    <w:rsid w:val="00222F20"/>
    <w:rsid w:val="00222F99"/>
    <w:rsid w:val="0022344D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30BA9"/>
    <w:rsid w:val="00231450"/>
    <w:rsid w:val="0023193F"/>
    <w:rsid w:val="00231D9E"/>
    <w:rsid w:val="00231DEC"/>
    <w:rsid w:val="00231F48"/>
    <w:rsid w:val="0023230B"/>
    <w:rsid w:val="00232ADC"/>
    <w:rsid w:val="00232B64"/>
    <w:rsid w:val="00233D82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1440"/>
    <w:rsid w:val="00241539"/>
    <w:rsid w:val="0024158E"/>
    <w:rsid w:val="002416C6"/>
    <w:rsid w:val="002419D5"/>
    <w:rsid w:val="00241B3F"/>
    <w:rsid w:val="00242F8F"/>
    <w:rsid w:val="00242FC1"/>
    <w:rsid w:val="00243A2A"/>
    <w:rsid w:val="00243EDA"/>
    <w:rsid w:val="002440A6"/>
    <w:rsid w:val="00244563"/>
    <w:rsid w:val="00244CAF"/>
    <w:rsid w:val="00245279"/>
    <w:rsid w:val="00245381"/>
    <w:rsid w:val="0024592F"/>
    <w:rsid w:val="0024594C"/>
    <w:rsid w:val="00246826"/>
    <w:rsid w:val="00246AAA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5F9"/>
    <w:rsid w:val="00255E8F"/>
    <w:rsid w:val="0025653F"/>
    <w:rsid w:val="002569EB"/>
    <w:rsid w:val="00256B51"/>
    <w:rsid w:val="00257111"/>
    <w:rsid w:val="0025732F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61F"/>
    <w:rsid w:val="0027183B"/>
    <w:rsid w:val="00271AB2"/>
    <w:rsid w:val="00271D42"/>
    <w:rsid w:val="00272175"/>
    <w:rsid w:val="0027289C"/>
    <w:rsid w:val="00272A66"/>
    <w:rsid w:val="00273667"/>
    <w:rsid w:val="00273DAF"/>
    <w:rsid w:val="00273F9B"/>
    <w:rsid w:val="002745F8"/>
    <w:rsid w:val="002747F5"/>
    <w:rsid w:val="00274AFC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4AB"/>
    <w:rsid w:val="002827A9"/>
    <w:rsid w:val="00282995"/>
    <w:rsid w:val="00282A47"/>
    <w:rsid w:val="00283EA4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22DB"/>
    <w:rsid w:val="002923D9"/>
    <w:rsid w:val="00292995"/>
    <w:rsid w:val="00292D53"/>
    <w:rsid w:val="002930C6"/>
    <w:rsid w:val="0029335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672"/>
    <w:rsid w:val="002966D3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AF1"/>
    <w:rsid w:val="002A4369"/>
    <w:rsid w:val="002A471B"/>
    <w:rsid w:val="002A483F"/>
    <w:rsid w:val="002A56E9"/>
    <w:rsid w:val="002A5B71"/>
    <w:rsid w:val="002A60FC"/>
    <w:rsid w:val="002A619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8B7"/>
    <w:rsid w:val="002B390A"/>
    <w:rsid w:val="002B3A64"/>
    <w:rsid w:val="002B470F"/>
    <w:rsid w:val="002B4915"/>
    <w:rsid w:val="002B54CE"/>
    <w:rsid w:val="002B55B8"/>
    <w:rsid w:val="002B57D5"/>
    <w:rsid w:val="002B5BC2"/>
    <w:rsid w:val="002B5EEF"/>
    <w:rsid w:val="002B6319"/>
    <w:rsid w:val="002B6F59"/>
    <w:rsid w:val="002B74E3"/>
    <w:rsid w:val="002B7729"/>
    <w:rsid w:val="002C149F"/>
    <w:rsid w:val="002C194A"/>
    <w:rsid w:val="002C1D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7CA"/>
    <w:rsid w:val="002D1BAE"/>
    <w:rsid w:val="002D2576"/>
    <w:rsid w:val="002D33F1"/>
    <w:rsid w:val="002D3592"/>
    <w:rsid w:val="002D35E4"/>
    <w:rsid w:val="002D43E1"/>
    <w:rsid w:val="002D55F8"/>
    <w:rsid w:val="002D5711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9A8"/>
    <w:rsid w:val="002E6E17"/>
    <w:rsid w:val="002E70D9"/>
    <w:rsid w:val="002E7663"/>
    <w:rsid w:val="002F0250"/>
    <w:rsid w:val="002F0824"/>
    <w:rsid w:val="002F0C89"/>
    <w:rsid w:val="002F0D3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ABC"/>
    <w:rsid w:val="00306B40"/>
    <w:rsid w:val="0030701E"/>
    <w:rsid w:val="00307498"/>
    <w:rsid w:val="003110CF"/>
    <w:rsid w:val="0031140D"/>
    <w:rsid w:val="00311A40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7538"/>
    <w:rsid w:val="00317BE2"/>
    <w:rsid w:val="00317FCF"/>
    <w:rsid w:val="00320941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C97"/>
    <w:rsid w:val="00324CEA"/>
    <w:rsid w:val="0032547A"/>
    <w:rsid w:val="00325586"/>
    <w:rsid w:val="00325927"/>
    <w:rsid w:val="00325BA6"/>
    <w:rsid w:val="00326879"/>
    <w:rsid w:val="00326935"/>
    <w:rsid w:val="003269D8"/>
    <w:rsid w:val="00327181"/>
    <w:rsid w:val="003271EE"/>
    <w:rsid w:val="00327A59"/>
    <w:rsid w:val="0033001B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0A89"/>
    <w:rsid w:val="00341916"/>
    <w:rsid w:val="00341C29"/>
    <w:rsid w:val="0034241B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209A"/>
    <w:rsid w:val="003532AE"/>
    <w:rsid w:val="00353387"/>
    <w:rsid w:val="003533F0"/>
    <w:rsid w:val="00353A0F"/>
    <w:rsid w:val="00354476"/>
    <w:rsid w:val="00354609"/>
    <w:rsid w:val="003549C0"/>
    <w:rsid w:val="00354CE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1C8"/>
    <w:rsid w:val="003607FD"/>
    <w:rsid w:val="0036080D"/>
    <w:rsid w:val="0036110F"/>
    <w:rsid w:val="00361523"/>
    <w:rsid w:val="00363C91"/>
    <w:rsid w:val="00363DEB"/>
    <w:rsid w:val="00364978"/>
    <w:rsid w:val="00364D0A"/>
    <w:rsid w:val="0036509D"/>
    <w:rsid w:val="003657C3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AD9"/>
    <w:rsid w:val="00376035"/>
    <w:rsid w:val="00376671"/>
    <w:rsid w:val="00376CF6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29E3"/>
    <w:rsid w:val="00392E94"/>
    <w:rsid w:val="003939C6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42A2"/>
    <w:rsid w:val="003B481A"/>
    <w:rsid w:val="003B54E9"/>
    <w:rsid w:val="003B573E"/>
    <w:rsid w:val="003B58B0"/>
    <w:rsid w:val="003B6481"/>
    <w:rsid w:val="003B6E3F"/>
    <w:rsid w:val="003B6F5A"/>
    <w:rsid w:val="003B7269"/>
    <w:rsid w:val="003C014A"/>
    <w:rsid w:val="003C0C89"/>
    <w:rsid w:val="003C1027"/>
    <w:rsid w:val="003C124F"/>
    <w:rsid w:val="003C16A0"/>
    <w:rsid w:val="003C16EF"/>
    <w:rsid w:val="003C1854"/>
    <w:rsid w:val="003C1E42"/>
    <w:rsid w:val="003C1F4E"/>
    <w:rsid w:val="003C30BC"/>
    <w:rsid w:val="003C34B2"/>
    <w:rsid w:val="003C36EC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826"/>
    <w:rsid w:val="003C7EFF"/>
    <w:rsid w:val="003D00EB"/>
    <w:rsid w:val="003D0C87"/>
    <w:rsid w:val="003D0E75"/>
    <w:rsid w:val="003D1265"/>
    <w:rsid w:val="003D137B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F21"/>
    <w:rsid w:val="003E4F69"/>
    <w:rsid w:val="003E5A16"/>
    <w:rsid w:val="003E5E2C"/>
    <w:rsid w:val="003E60A7"/>
    <w:rsid w:val="003E6540"/>
    <w:rsid w:val="003E68DB"/>
    <w:rsid w:val="003E6A9F"/>
    <w:rsid w:val="003E70C4"/>
    <w:rsid w:val="003E7388"/>
    <w:rsid w:val="003E7A6C"/>
    <w:rsid w:val="003F039F"/>
    <w:rsid w:val="003F1762"/>
    <w:rsid w:val="003F1AA6"/>
    <w:rsid w:val="003F2CFB"/>
    <w:rsid w:val="003F3F70"/>
    <w:rsid w:val="003F4A1C"/>
    <w:rsid w:val="003F4DF5"/>
    <w:rsid w:val="003F5414"/>
    <w:rsid w:val="003F5B54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6F9"/>
    <w:rsid w:val="00410092"/>
    <w:rsid w:val="004103D7"/>
    <w:rsid w:val="00411556"/>
    <w:rsid w:val="00411B23"/>
    <w:rsid w:val="00411E63"/>
    <w:rsid w:val="0041205A"/>
    <w:rsid w:val="004121A0"/>
    <w:rsid w:val="00412B07"/>
    <w:rsid w:val="00412B6F"/>
    <w:rsid w:val="00412D67"/>
    <w:rsid w:val="00412EE7"/>
    <w:rsid w:val="00414742"/>
    <w:rsid w:val="00414B75"/>
    <w:rsid w:val="00414DAD"/>
    <w:rsid w:val="00414DAF"/>
    <w:rsid w:val="004155F3"/>
    <w:rsid w:val="00415608"/>
    <w:rsid w:val="004157F5"/>
    <w:rsid w:val="00416833"/>
    <w:rsid w:val="00417E7F"/>
    <w:rsid w:val="0042014A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BCA"/>
    <w:rsid w:val="004430C4"/>
    <w:rsid w:val="0044348D"/>
    <w:rsid w:val="004439FF"/>
    <w:rsid w:val="0044406F"/>
    <w:rsid w:val="0044517D"/>
    <w:rsid w:val="0044567F"/>
    <w:rsid w:val="0044610E"/>
    <w:rsid w:val="0044663E"/>
    <w:rsid w:val="004469AE"/>
    <w:rsid w:val="004469C8"/>
    <w:rsid w:val="00446D1F"/>
    <w:rsid w:val="00447695"/>
    <w:rsid w:val="004477F0"/>
    <w:rsid w:val="0045081C"/>
    <w:rsid w:val="00450DAC"/>
    <w:rsid w:val="00451479"/>
    <w:rsid w:val="00451B44"/>
    <w:rsid w:val="00451F14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24B3"/>
    <w:rsid w:val="00462689"/>
    <w:rsid w:val="00462B33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4C9"/>
    <w:rsid w:val="00465A0F"/>
    <w:rsid w:val="00466693"/>
    <w:rsid w:val="00466A88"/>
    <w:rsid w:val="00467AE2"/>
    <w:rsid w:val="00467B63"/>
    <w:rsid w:val="00467D84"/>
    <w:rsid w:val="00470757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5EB"/>
    <w:rsid w:val="00477948"/>
    <w:rsid w:val="0048055A"/>
    <w:rsid w:val="00480748"/>
    <w:rsid w:val="00480A85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2C4"/>
    <w:rsid w:val="00487668"/>
    <w:rsid w:val="004876C6"/>
    <w:rsid w:val="004900BB"/>
    <w:rsid w:val="0049078F"/>
    <w:rsid w:val="00490FC5"/>
    <w:rsid w:val="004914F3"/>
    <w:rsid w:val="004917C7"/>
    <w:rsid w:val="004918D2"/>
    <w:rsid w:val="00492345"/>
    <w:rsid w:val="0049260A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9FA"/>
    <w:rsid w:val="004B36D0"/>
    <w:rsid w:val="004B3765"/>
    <w:rsid w:val="004B38F0"/>
    <w:rsid w:val="004B426D"/>
    <w:rsid w:val="004B4A7B"/>
    <w:rsid w:val="004B4BF5"/>
    <w:rsid w:val="004B6200"/>
    <w:rsid w:val="004B63CD"/>
    <w:rsid w:val="004B6A30"/>
    <w:rsid w:val="004B6AF6"/>
    <w:rsid w:val="004B721B"/>
    <w:rsid w:val="004B72F7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A47"/>
    <w:rsid w:val="004C3BB0"/>
    <w:rsid w:val="004C3CAF"/>
    <w:rsid w:val="004C3CD4"/>
    <w:rsid w:val="004C4565"/>
    <w:rsid w:val="004C47DD"/>
    <w:rsid w:val="004C4930"/>
    <w:rsid w:val="004C4FD2"/>
    <w:rsid w:val="004C5124"/>
    <w:rsid w:val="004C5598"/>
    <w:rsid w:val="004C5D6C"/>
    <w:rsid w:val="004C5F69"/>
    <w:rsid w:val="004C68B8"/>
    <w:rsid w:val="004C6DB0"/>
    <w:rsid w:val="004C6EC5"/>
    <w:rsid w:val="004C7C44"/>
    <w:rsid w:val="004D0840"/>
    <w:rsid w:val="004D0ACD"/>
    <w:rsid w:val="004D1CAF"/>
    <w:rsid w:val="004D2B60"/>
    <w:rsid w:val="004D2EC5"/>
    <w:rsid w:val="004D2ED2"/>
    <w:rsid w:val="004D2F73"/>
    <w:rsid w:val="004D3B95"/>
    <w:rsid w:val="004D5E3F"/>
    <w:rsid w:val="004D62EB"/>
    <w:rsid w:val="004D6AB4"/>
    <w:rsid w:val="004D6D55"/>
    <w:rsid w:val="004D7189"/>
    <w:rsid w:val="004D7415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809"/>
    <w:rsid w:val="004E5CE0"/>
    <w:rsid w:val="004E5DEC"/>
    <w:rsid w:val="004E6639"/>
    <w:rsid w:val="004F0F5A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F1F"/>
    <w:rsid w:val="004F3058"/>
    <w:rsid w:val="004F3996"/>
    <w:rsid w:val="004F4606"/>
    <w:rsid w:val="004F4C8B"/>
    <w:rsid w:val="004F4CFC"/>
    <w:rsid w:val="004F4EDA"/>
    <w:rsid w:val="004F4FE5"/>
    <w:rsid w:val="004F51A1"/>
    <w:rsid w:val="004F55DB"/>
    <w:rsid w:val="004F5FB7"/>
    <w:rsid w:val="004F6096"/>
    <w:rsid w:val="004F61B5"/>
    <w:rsid w:val="004F6FB9"/>
    <w:rsid w:val="004F770D"/>
    <w:rsid w:val="00500C6C"/>
    <w:rsid w:val="00501B3A"/>
    <w:rsid w:val="00501E52"/>
    <w:rsid w:val="0050250F"/>
    <w:rsid w:val="00502792"/>
    <w:rsid w:val="00502BE1"/>
    <w:rsid w:val="00503300"/>
    <w:rsid w:val="0050425D"/>
    <w:rsid w:val="00507419"/>
    <w:rsid w:val="005074ED"/>
    <w:rsid w:val="005077B7"/>
    <w:rsid w:val="00507EF3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3236"/>
    <w:rsid w:val="005234F9"/>
    <w:rsid w:val="00523695"/>
    <w:rsid w:val="00524365"/>
    <w:rsid w:val="005249DB"/>
    <w:rsid w:val="00524AD7"/>
    <w:rsid w:val="00525154"/>
    <w:rsid w:val="005256D0"/>
    <w:rsid w:val="00525771"/>
    <w:rsid w:val="005257BE"/>
    <w:rsid w:val="0052625D"/>
    <w:rsid w:val="00526420"/>
    <w:rsid w:val="00526B33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876"/>
    <w:rsid w:val="00542B4F"/>
    <w:rsid w:val="005432D0"/>
    <w:rsid w:val="00543960"/>
    <w:rsid w:val="00543B34"/>
    <w:rsid w:val="00544048"/>
    <w:rsid w:val="00544D15"/>
    <w:rsid w:val="00545BD1"/>
    <w:rsid w:val="00546686"/>
    <w:rsid w:val="00546999"/>
    <w:rsid w:val="00546AF7"/>
    <w:rsid w:val="005472BB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460"/>
    <w:rsid w:val="005554BC"/>
    <w:rsid w:val="00555777"/>
    <w:rsid w:val="00555C22"/>
    <w:rsid w:val="005560C2"/>
    <w:rsid w:val="005563D5"/>
    <w:rsid w:val="0055665C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659F"/>
    <w:rsid w:val="00566C37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150"/>
    <w:rsid w:val="005773AF"/>
    <w:rsid w:val="005777CF"/>
    <w:rsid w:val="005778A6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5628"/>
    <w:rsid w:val="005956C9"/>
    <w:rsid w:val="005958EE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ED7"/>
    <w:rsid w:val="005D20AE"/>
    <w:rsid w:val="005D29C9"/>
    <w:rsid w:val="005D36E3"/>
    <w:rsid w:val="005D3A6D"/>
    <w:rsid w:val="005D3B06"/>
    <w:rsid w:val="005D4396"/>
    <w:rsid w:val="005D5343"/>
    <w:rsid w:val="005D581C"/>
    <w:rsid w:val="005D59FC"/>
    <w:rsid w:val="005D5DD2"/>
    <w:rsid w:val="005D651E"/>
    <w:rsid w:val="005D657D"/>
    <w:rsid w:val="005D673F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3262"/>
    <w:rsid w:val="005F3EBF"/>
    <w:rsid w:val="005F41F3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53"/>
    <w:rsid w:val="006008AB"/>
    <w:rsid w:val="00601440"/>
    <w:rsid w:val="00601768"/>
    <w:rsid w:val="00601996"/>
    <w:rsid w:val="00601BB8"/>
    <w:rsid w:val="00601DF9"/>
    <w:rsid w:val="00602207"/>
    <w:rsid w:val="0060228C"/>
    <w:rsid w:val="006023FB"/>
    <w:rsid w:val="006024ED"/>
    <w:rsid w:val="00602EE0"/>
    <w:rsid w:val="00602F19"/>
    <w:rsid w:val="006033B9"/>
    <w:rsid w:val="00604476"/>
    <w:rsid w:val="0060496F"/>
    <w:rsid w:val="00606045"/>
    <w:rsid w:val="0060627A"/>
    <w:rsid w:val="00606366"/>
    <w:rsid w:val="006064AA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50C"/>
    <w:rsid w:val="006146E1"/>
    <w:rsid w:val="00614B27"/>
    <w:rsid w:val="00614CD3"/>
    <w:rsid w:val="00614DBD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473"/>
    <w:rsid w:val="00620AE5"/>
    <w:rsid w:val="00621252"/>
    <w:rsid w:val="00621CC4"/>
    <w:rsid w:val="00621E95"/>
    <w:rsid w:val="00621EA1"/>
    <w:rsid w:val="006227B4"/>
    <w:rsid w:val="006229E6"/>
    <w:rsid w:val="00622F13"/>
    <w:rsid w:val="00622F61"/>
    <w:rsid w:val="00623CBD"/>
    <w:rsid w:val="00623F88"/>
    <w:rsid w:val="00624475"/>
    <w:rsid w:val="006251A0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3E5"/>
    <w:rsid w:val="006345C2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50738"/>
    <w:rsid w:val="0065102E"/>
    <w:rsid w:val="00651512"/>
    <w:rsid w:val="00651C5F"/>
    <w:rsid w:val="00652279"/>
    <w:rsid w:val="006525A2"/>
    <w:rsid w:val="0065281F"/>
    <w:rsid w:val="00653002"/>
    <w:rsid w:val="00653370"/>
    <w:rsid w:val="0065399C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B1B"/>
    <w:rsid w:val="006627A8"/>
    <w:rsid w:val="00662C05"/>
    <w:rsid w:val="00663562"/>
    <w:rsid w:val="00663AE4"/>
    <w:rsid w:val="00663B5A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457C"/>
    <w:rsid w:val="00674B6E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C91"/>
    <w:rsid w:val="00680EBE"/>
    <w:rsid w:val="00682366"/>
    <w:rsid w:val="006825CA"/>
    <w:rsid w:val="0068294D"/>
    <w:rsid w:val="0068295C"/>
    <w:rsid w:val="00682A21"/>
    <w:rsid w:val="00683292"/>
    <w:rsid w:val="006835DF"/>
    <w:rsid w:val="00683A68"/>
    <w:rsid w:val="00683F06"/>
    <w:rsid w:val="006840A4"/>
    <w:rsid w:val="00684527"/>
    <w:rsid w:val="00684723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285C"/>
    <w:rsid w:val="006A28B3"/>
    <w:rsid w:val="006A29B4"/>
    <w:rsid w:val="006A3B9B"/>
    <w:rsid w:val="006A483F"/>
    <w:rsid w:val="006A4F79"/>
    <w:rsid w:val="006A5845"/>
    <w:rsid w:val="006A596D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C0631"/>
    <w:rsid w:val="006C0B93"/>
    <w:rsid w:val="006C1707"/>
    <w:rsid w:val="006C1AD0"/>
    <w:rsid w:val="006C203C"/>
    <w:rsid w:val="006C2D77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602"/>
    <w:rsid w:val="006C56F6"/>
    <w:rsid w:val="006C5D3A"/>
    <w:rsid w:val="006C6288"/>
    <w:rsid w:val="006C678D"/>
    <w:rsid w:val="006C6D10"/>
    <w:rsid w:val="006C7305"/>
    <w:rsid w:val="006C74E0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F6"/>
    <w:rsid w:val="006D4E65"/>
    <w:rsid w:val="006D501A"/>
    <w:rsid w:val="006D50D8"/>
    <w:rsid w:val="006D572A"/>
    <w:rsid w:val="006D5C30"/>
    <w:rsid w:val="006D67C9"/>
    <w:rsid w:val="006D6884"/>
    <w:rsid w:val="006D6B61"/>
    <w:rsid w:val="006D77D6"/>
    <w:rsid w:val="006D7B90"/>
    <w:rsid w:val="006E06B4"/>
    <w:rsid w:val="006E0CB0"/>
    <w:rsid w:val="006E0FB4"/>
    <w:rsid w:val="006E108D"/>
    <w:rsid w:val="006E15A4"/>
    <w:rsid w:val="006E292F"/>
    <w:rsid w:val="006E2F4B"/>
    <w:rsid w:val="006E3210"/>
    <w:rsid w:val="006E34F4"/>
    <w:rsid w:val="006E3A8B"/>
    <w:rsid w:val="006E47AC"/>
    <w:rsid w:val="006E4D06"/>
    <w:rsid w:val="006E54EA"/>
    <w:rsid w:val="006E5C35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5F2B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795"/>
    <w:rsid w:val="0071506F"/>
    <w:rsid w:val="00715343"/>
    <w:rsid w:val="0071632C"/>
    <w:rsid w:val="007163BD"/>
    <w:rsid w:val="00716511"/>
    <w:rsid w:val="00716F26"/>
    <w:rsid w:val="007173AD"/>
    <w:rsid w:val="00720182"/>
    <w:rsid w:val="007201D9"/>
    <w:rsid w:val="00720467"/>
    <w:rsid w:val="0072082D"/>
    <w:rsid w:val="0072086E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418C"/>
    <w:rsid w:val="0072422D"/>
    <w:rsid w:val="00724449"/>
    <w:rsid w:val="007245AB"/>
    <w:rsid w:val="00724688"/>
    <w:rsid w:val="0072585D"/>
    <w:rsid w:val="0072592F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95"/>
    <w:rsid w:val="007465AA"/>
    <w:rsid w:val="00746699"/>
    <w:rsid w:val="00747A91"/>
    <w:rsid w:val="007500C4"/>
    <w:rsid w:val="00750764"/>
    <w:rsid w:val="00751222"/>
    <w:rsid w:val="00751227"/>
    <w:rsid w:val="007512B9"/>
    <w:rsid w:val="00751E15"/>
    <w:rsid w:val="00752096"/>
    <w:rsid w:val="00753103"/>
    <w:rsid w:val="00753716"/>
    <w:rsid w:val="00753742"/>
    <w:rsid w:val="00753C3C"/>
    <w:rsid w:val="00755F2F"/>
    <w:rsid w:val="0075617A"/>
    <w:rsid w:val="00756283"/>
    <w:rsid w:val="00756B60"/>
    <w:rsid w:val="00757112"/>
    <w:rsid w:val="0075785A"/>
    <w:rsid w:val="00760480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B2B"/>
    <w:rsid w:val="007721BA"/>
    <w:rsid w:val="007724C0"/>
    <w:rsid w:val="00772578"/>
    <w:rsid w:val="00773132"/>
    <w:rsid w:val="0077394E"/>
    <w:rsid w:val="00773D6E"/>
    <w:rsid w:val="0077434A"/>
    <w:rsid w:val="00774CDB"/>
    <w:rsid w:val="0077588B"/>
    <w:rsid w:val="00775B58"/>
    <w:rsid w:val="00775F48"/>
    <w:rsid w:val="00776057"/>
    <w:rsid w:val="007766D4"/>
    <w:rsid w:val="00776956"/>
    <w:rsid w:val="00776A25"/>
    <w:rsid w:val="0077729B"/>
    <w:rsid w:val="00777563"/>
    <w:rsid w:val="0077799B"/>
    <w:rsid w:val="00777B20"/>
    <w:rsid w:val="00777C27"/>
    <w:rsid w:val="00777EA5"/>
    <w:rsid w:val="00780AC8"/>
    <w:rsid w:val="007811C6"/>
    <w:rsid w:val="007815CF"/>
    <w:rsid w:val="007817E7"/>
    <w:rsid w:val="00781977"/>
    <w:rsid w:val="00781C37"/>
    <w:rsid w:val="0078225A"/>
    <w:rsid w:val="007822C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964"/>
    <w:rsid w:val="007871B8"/>
    <w:rsid w:val="007875E6"/>
    <w:rsid w:val="00787826"/>
    <w:rsid w:val="00787A7D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3C3"/>
    <w:rsid w:val="0079654D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F25"/>
    <w:rsid w:val="007A41EA"/>
    <w:rsid w:val="007A45A1"/>
    <w:rsid w:val="007A4EB3"/>
    <w:rsid w:val="007A4F1F"/>
    <w:rsid w:val="007A5CEE"/>
    <w:rsid w:val="007A630E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46F"/>
    <w:rsid w:val="007C07A5"/>
    <w:rsid w:val="007C0C73"/>
    <w:rsid w:val="007C1309"/>
    <w:rsid w:val="007C15B8"/>
    <w:rsid w:val="007C1769"/>
    <w:rsid w:val="007C1952"/>
    <w:rsid w:val="007C237C"/>
    <w:rsid w:val="007C24AD"/>
    <w:rsid w:val="007C2BDF"/>
    <w:rsid w:val="007C2C33"/>
    <w:rsid w:val="007C301B"/>
    <w:rsid w:val="007C3796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7B1"/>
    <w:rsid w:val="007C6879"/>
    <w:rsid w:val="007C6AA3"/>
    <w:rsid w:val="007C6EAD"/>
    <w:rsid w:val="007C6F52"/>
    <w:rsid w:val="007C7016"/>
    <w:rsid w:val="007C735B"/>
    <w:rsid w:val="007D018F"/>
    <w:rsid w:val="007D078D"/>
    <w:rsid w:val="007D08A8"/>
    <w:rsid w:val="007D08F2"/>
    <w:rsid w:val="007D15F6"/>
    <w:rsid w:val="007D1D6B"/>
    <w:rsid w:val="007D1DDF"/>
    <w:rsid w:val="007D26D4"/>
    <w:rsid w:val="007D271C"/>
    <w:rsid w:val="007D2EDA"/>
    <w:rsid w:val="007D35C6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72C"/>
    <w:rsid w:val="007E0860"/>
    <w:rsid w:val="007E0E77"/>
    <w:rsid w:val="007E1156"/>
    <w:rsid w:val="007E11B2"/>
    <w:rsid w:val="007E1256"/>
    <w:rsid w:val="007E15C0"/>
    <w:rsid w:val="007E1EC9"/>
    <w:rsid w:val="007E2694"/>
    <w:rsid w:val="007E26D8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E08"/>
    <w:rsid w:val="007F79CC"/>
    <w:rsid w:val="007F7AFC"/>
    <w:rsid w:val="00800CCD"/>
    <w:rsid w:val="008010D2"/>
    <w:rsid w:val="00801F6D"/>
    <w:rsid w:val="0080331C"/>
    <w:rsid w:val="0080338F"/>
    <w:rsid w:val="008035B8"/>
    <w:rsid w:val="00803B70"/>
    <w:rsid w:val="00803C15"/>
    <w:rsid w:val="00803E2F"/>
    <w:rsid w:val="0080456F"/>
    <w:rsid w:val="008045CD"/>
    <w:rsid w:val="00804BF5"/>
    <w:rsid w:val="00804FBF"/>
    <w:rsid w:val="00805698"/>
    <w:rsid w:val="00805767"/>
    <w:rsid w:val="00806939"/>
    <w:rsid w:val="008074B0"/>
    <w:rsid w:val="008074B8"/>
    <w:rsid w:val="008076E8"/>
    <w:rsid w:val="00807E27"/>
    <w:rsid w:val="0081089C"/>
    <w:rsid w:val="00810AE0"/>
    <w:rsid w:val="00810E67"/>
    <w:rsid w:val="00811193"/>
    <w:rsid w:val="00811506"/>
    <w:rsid w:val="0081267E"/>
    <w:rsid w:val="008126FA"/>
    <w:rsid w:val="00813005"/>
    <w:rsid w:val="008133D6"/>
    <w:rsid w:val="00813B8B"/>
    <w:rsid w:val="0081460E"/>
    <w:rsid w:val="00814E4D"/>
    <w:rsid w:val="00815423"/>
    <w:rsid w:val="008159A8"/>
    <w:rsid w:val="00815FFF"/>
    <w:rsid w:val="0081653A"/>
    <w:rsid w:val="00816797"/>
    <w:rsid w:val="0081688A"/>
    <w:rsid w:val="00816C36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95D"/>
    <w:rsid w:val="00824EDB"/>
    <w:rsid w:val="00825276"/>
    <w:rsid w:val="00825D28"/>
    <w:rsid w:val="00826554"/>
    <w:rsid w:val="00826746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591"/>
    <w:rsid w:val="008358D4"/>
    <w:rsid w:val="00835A48"/>
    <w:rsid w:val="00835C77"/>
    <w:rsid w:val="00835F20"/>
    <w:rsid w:val="008361D3"/>
    <w:rsid w:val="00836D65"/>
    <w:rsid w:val="008376E1"/>
    <w:rsid w:val="00837802"/>
    <w:rsid w:val="00837E0B"/>
    <w:rsid w:val="00841131"/>
    <w:rsid w:val="00841230"/>
    <w:rsid w:val="00841968"/>
    <w:rsid w:val="00841979"/>
    <w:rsid w:val="00841FFD"/>
    <w:rsid w:val="008420A4"/>
    <w:rsid w:val="0084255B"/>
    <w:rsid w:val="0084258B"/>
    <w:rsid w:val="008429CE"/>
    <w:rsid w:val="00842D57"/>
    <w:rsid w:val="0084389F"/>
    <w:rsid w:val="00843E38"/>
    <w:rsid w:val="008446B8"/>
    <w:rsid w:val="00844A45"/>
    <w:rsid w:val="00844BDF"/>
    <w:rsid w:val="0084509F"/>
    <w:rsid w:val="008452A0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500D9"/>
    <w:rsid w:val="00850234"/>
    <w:rsid w:val="00850334"/>
    <w:rsid w:val="00850521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B3D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8A3"/>
    <w:rsid w:val="008644B6"/>
    <w:rsid w:val="008654AB"/>
    <w:rsid w:val="008659C0"/>
    <w:rsid w:val="00865B67"/>
    <w:rsid w:val="0086660D"/>
    <w:rsid w:val="00866894"/>
    <w:rsid w:val="00867101"/>
    <w:rsid w:val="00867272"/>
    <w:rsid w:val="008702D7"/>
    <w:rsid w:val="00870707"/>
    <w:rsid w:val="008707F1"/>
    <w:rsid w:val="00870851"/>
    <w:rsid w:val="0087117B"/>
    <w:rsid w:val="00871748"/>
    <w:rsid w:val="008719D1"/>
    <w:rsid w:val="00871E86"/>
    <w:rsid w:val="008726A0"/>
    <w:rsid w:val="00872CE5"/>
    <w:rsid w:val="00872EC4"/>
    <w:rsid w:val="00873F64"/>
    <w:rsid w:val="0087437E"/>
    <w:rsid w:val="008749D0"/>
    <w:rsid w:val="00874AA1"/>
    <w:rsid w:val="00874B85"/>
    <w:rsid w:val="00874F63"/>
    <w:rsid w:val="00875403"/>
    <w:rsid w:val="00875553"/>
    <w:rsid w:val="00876699"/>
    <w:rsid w:val="0087766B"/>
    <w:rsid w:val="00877D36"/>
    <w:rsid w:val="00877FF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360F"/>
    <w:rsid w:val="008838F7"/>
    <w:rsid w:val="00883D3C"/>
    <w:rsid w:val="00883D76"/>
    <w:rsid w:val="00884034"/>
    <w:rsid w:val="00884129"/>
    <w:rsid w:val="0088465F"/>
    <w:rsid w:val="00884D7A"/>
    <w:rsid w:val="00884F8B"/>
    <w:rsid w:val="00885226"/>
    <w:rsid w:val="008854CC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533D"/>
    <w:rsid w:val="008A578A"/>
    <w:rsid w:val="008A758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B72"/>
    <w:rsid w:val="008B2F65"/>
    <w:rsid w:val="008B3246"/>
    <w:rsid w:val="008B32B0"/>
    <w:rsid w:val="008B37A6"/>
    <w:rsid w:val="008B3AAD"/>
    <w:rsid w:val="008B40BE"/>
    <w:rsid w:val="008B5E2C"/>
    <w:rsid w:val="008B71C6"/>
    <w:rsid w:val="008B730B"/>
    <w:rsid w:val="008B756B"/>
    <w:rsid w:val="008C0551"/>
    <w:rsid w:val="008C0A41"/>
    <w:rsid w:val="008C14A9"/>
    <w:rsid w:val="008C1853"/>
    <w:rsid w:val="008C1995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555"/>
    <w:rsid w:val="008D3CE7"/>
    <w:rsid w:val="008D4039"/>
    <w:rsid w:val="008D40E3"/>
    <w:rsid w:val="008D579F"/>
    <w:rsid w:val="008D632F"/>
    <w:rsid w:val="008D652D"/>
    <w:rsid w:val="008D66E9"/>
    <w:rsid w:val="008D6707"/>
    <w:rsid w:val="008D67AB"/>
    <w:rsid w:val="008D6ED6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5A4"/>
    <w:rsid w:val="008E5A1F"/>
    <w:rsid w:val="008E5CE2"/>
    <w:rsid w:val="008E5F1F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D8C"/>
    <w:rsid w:val="008F5FC4"/>
    <w:rsid w:val="008F678E"/>
    <w:rsid w:val="008F6B66"/>
    <w:rsid w:val="008F7258"/>
    <w:rsid w:val="008F7737"/>
    <w:rsid w:val="008F78EB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B04"/>
    <w:rsid w:val="00905F0C"/>
    <w:rsid w:val="00907464"/>
    <w:rsid w:val="009102CB"/>
    <w:rsid w:val="00910BA8"/>
    <w:rsid w:val="00910BBC"/>
    <w:rsid w:val="00910D1E"/>
    <w:rsid w:val="009113B3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DEB"/>
    <w:rsid w:val="00920F9C"/>
    <w:rsid w:val="0092107D"/>
    <w:rsid w:val="009215A9"/>
    <w:rsid w:val="00921638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7E18"/>
    <w:rsid w:val="0094038F"/>
    <w:rsid w:val="009408D8"/>
    <w:rsid w:val="00940A8B"/>
    <w:rsid w:val="00941C6F"/>
    <w:rsid w:val="00941E35"/>
    <w:rsid w:val="00942063"/>
    <w:rsid w:val="009426DB"/>
    <w:rsid w:val="00942813"/>
    <w:rsid w:val="00942D8E"/>
    <w:rsid w:val="0094394B"/>
    <w:rsid w:val="00943AB6"/>
    <w:rsid w:val="00944725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3B1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D6C"/>
    <w:rsid w:val="00963106"/>
    <w:rsid w:val="009633C6"/>
    <w:rsid w:val="009634E7"/>
    <w:rsid w:val="00963560"/>
    <w:rsid w:val="00963FA0"/>
    <w:rsid w:val="00964482"/>
    <w:rsid w:val="0096450E"/>
    <w:rsid w:val="0096496E"/>
    <w:rsid w:val="00964B7C"/>
    <w:rsid w:val="0096585E"/>
    <w:rsid w:val="00965AC9"/>
    <w:rsid w:val="00965CA7"/>
    <w:rsid w:val="0096641B"/>
    <w:rsid w:val="0096644E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203B"/>
    <w:rsid w:val="0097232B"/>
    <w:rsid w:val="00972899"/>
    <w:rsid w:val="00972B51"/>
    <w:rsid w:val="00973013"/>
    <w:rsid w:val="00973E9C"/>
    <w:rsid w:val="0097417C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16B2"/>
    <w:rsid w:val="00981776"/>
    <w:rsid w:val="00982886"/>
    <w:rsid w:val="00982AD3"/>
    <w:rsid w:val="00983043"/>
    <w:rsid w:val="0098414F"/>
    <w:rsid w:val="00984434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FC3"/>
    <w:rsid w:val="00992FFC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C4A"/>
    <w:rsid w:val="009971A9"/>
    <w:rsid w:val="00997265"/>
    <w:rsid w:val="009977F6"/>
    <w:rsid w:val="00997912"/>
    <w:rsid w:val="009A021A"/>
    <w:rsid w:val="009A0BEF"/>
    <w:rsid w:val="009A0F8B"/>
    <w:rsid w:val="009A11AB"/>
    <w:rsid w:val="009A12D8"/>
    <w:rsid w:val="009A1389"/>
    <w:rsid w:val="009A16E0"/>
    <w:rsid w:val="009A17B0"/>
    <w:rsid w:val="009A1C4D"/>
    <w:rsid w:val="009A22C8"/>
    <w:rsid w:val="009A2F27"/>
    <w:rsid w:val="009A3A77"/>
    <w:rsid w:val="009A3D4D"/>
    <w:rsid w:val="009A3F57"/>
    <w:rsid w:val="009A41A5"/>
    <w:rsid w:val="009A4760"/>
    <w:rsid w:val="009A4E15"/>
    <w:rsid w:val="009A5446"/>
    <w:rsid w:val="009A58C3"/>
    <w:rsid w:val="009A6279"/>
    <w:rsid w:val="009A67B3"/>
    <w:rsid w:val="009A74B1"/>
    <w:rsid w:val="009A7E86"/>
    <w:rsid w:val="009B000C"/>
    <w:rsid w:val="009B027D"/>
    <w:rsid w:val="009B06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56A9"/>
    <w:rsid w:val="009B5CE9"/>
    <w:rsid w:val="009B5D6E"/>
    <w:rsid w:val="009B5D71"/>
    <w:rsid w:val="009B63B6"/>
    <w:rsid w:val="009B63DB"/>
    <w:rsid w:val="009B64AB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611D"/>
    <w:rsid w:val="009C64F5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41E8"/>
    <w:rsid w:val="009D432F"/>
    <w:rsid w:val="009D46DA"/>
    <w:rsid w:val="009D6543"/>
    <w:rsid w:val="009D7289"/>
    <w:rsid w:val="009E0001"/>
    <w:rsid w:val="009E007F"/>
    <w:rsid w:val="009E059C"/>
    <w:rsid w:val="009E05A3"/>
    <w:rsid w:val="009E10B9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F07AC"/>
    <w:rsid w:val="009F0CA1"/>
    <w:rsid w:val="009F120D"/>
    <w:rsid w:val="009F15D6"/>
    <w:rsid w:val="009F162B"/>
    <w:rsid w:val="009F1E25"/>
    <w:rsid w:val="009F2157"/>
    <w:rsid w:val="009F2558"/>
    <w:rsid w:val="009F3153"/>
    <w:rsid w:val="009F38DE"/>
    <w:rsid w:val="009F39C6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257"/>
    <w:rsid w:val="00A038DA"/>
    <w:rsid w:val="00A03FB4"/>
    <w:rsid w:val="00A0400F"/>
    <w:rsid w:val="00A04039"/>
    <w:rsid w:val="00A043EC"/>
    <w:rsid w:val="00A0454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1978"/>
    <w:rsid w:val="00A11ACE"/>
    <w:rsid w:val="00A11CF8"/>
    <w:rsid w:val="00A11D74"/>
    <w:rsid w:val="00A121F3"/>
    <w:rsid w:val="00A12F89"/>
    <w:rsid w:val="00A13393"/>
    <w:rsid w:val="00A13478"/>
    <w:rsid w:val="00A13D20"/>
    <w:rsid w:val="00A13D38"/>
    <w:rsid w:val="00A13FD8"/>
    <w:rsid w:val="00A1419E"/>
    <w:rsid w:val="00A142CD"/>
    <w:rsid w:val="00A1450B"/>
    <w:rsid w:val="00A15232"/>
    <w:rsid w:val="00A159D9"/>
    <w:rsid w:val="00A15BED"/>
    <w:rsid w:val="00A15CBE"/>
    <w:rsid w:val="00A16AE8"/>
    <w:rsid w:val="00A16C5C"/>
    <w:rsid w:val="00A16DA4"/>
    <w:rsid w:val="00A1733C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E21"/>
    <w:rsid w:val="00A31F67"/>
    <w:rsid w:val="00A3255B"/>
    <w:rsid w:val="00A32F91"/>
    <w:rsid w:val="00A333FE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8B2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507A1"/>
    <w:rsid w:val="00A50F16"/>
    <w:rsid w:val="00A51806"/>
    <w:rsid w:val="00A51890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5225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B2E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E6F"/>
    <w:rsid w:val="00AA77D9"/>
    <w:rsid w:val="00AA7A0F"/>
    <w:rsid w:val="00AA7DF4"/>
    <w:rsid w:val="00AB03B2"/>
    <w:rsid w:val="00AB1038"/>
    <w:rsid w:val="00AB11BD"/>
    <w:rsid w:val="00AB1572"/>
    <w:rsid w:val="00AB1645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38E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C7ECF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22F"/>
    <w:rsid w:val="00AD4DE2"/>
    <w:rsid w:val="00AD5B80"/>
    <w:rsid w:val="00AD5B9B"/>
    <w:rsid w:val="00AD63FD"/>
    <w:rsid w:val="00AD6766"/>
    <w:rsid w:val="00AD6CE0"/>
    <w:rsid w:val="00AD6D27"/>
    <w:rsid w:val="00AD7C7B"/>
    <w:rsid w:val="00AD7CE5"/>
    <w:rsid w:val="00AE0B95"/>
    <w:rsid w:val="00AE0DE0"/>
    <w:rsid w:val="00AE10D1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D4D"/>
    <w:rsid w:val="00AE4E03"/>
    <w:rsid w:val="00AE512D"/>
    <w:rsid w:val="00AE5558"/>
    <w:rsid w:val="00AE5563"/>
    <w:rsid w:val="00AE5AA3"/>
    <w:rsid w:val="00AE5ABF"/>
    <w:rsid w:val="00AE5D3D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480"/>
    <w:rsid w:val="00AF58B5"/>
    <w:rsid w:val="00AF597F"/>
    <w:rsid w:val="00AF6208"/>
    <w:rsid w:val="00AF7DD5"/>
    <w:rsid w:val="00AF7E49"/>
    <w:rsid w:val="00B002A8"/>
    <w:rsid w:val="00B0037A"/>
    <w:rsid w:val="00B007A4"/>
    <w:rsid w:val="00B01096"/>
    <w:rsid w:val="00B01B04"/>
    <w:rsid w:val="00B02087"/>
    <w:rsid w:val="00B02311"/>
    <w:rsid w:val="00B02682"/>
    <w:rsid w:val="00B03085"/>
    <w:rsid w:val="00B039BE"/>
    <w:rsid w:val="00B03CA7"/>
    <w:rsid w:val="00B041C1"/>
    <w:rsid w:val="00B04279"/>
    <w:rsid w:val="00B04430"/>
    <w:rsid w:val="00B05673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47B"/>
    <w:rsid w:val="00B14533"/>
    <w:rsid w:val="00B15028"/>
    <w:rsid w:val="00B1513A"/>
    <w:rsid w:val="00B1516A"/>
    <w:rsid w:val="00B17226"/>
    <w:rsid w:val="00B17350"/>
    <w:rsid w:val="00B17E64"/>
    <w:rsid w:val="00B20660"/>
    <w:rsid w:val="00B21577"/>
    <w:rsid w:val="00B21C41"/>
    <w:rsid w:val="00B22420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4CB9"/>
    <w:rsid w:val="00B25C6F"/>
    <w:rsid w:val="00B2615C"/>
    <w:rsid w:val="00B26299"/>
    <w:rsid w:val="00B262E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20FF"/>
    <w:rsid w:val="00B3216C"/>
    <w:rsid w:val="00B3267D"/>
    <w:rsid w:val="00B33592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8E9"/>
    <w:rsid w:val="00B44931"/>
    <w:rsid w:val="00B44F75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163C"/>
    <w:rsid w:val="00B616F6"/>
    <w:rsid w:val="00B6198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AE"/>
    <w:rsid w:val="00B76A55"/>
    <w:rsid w:val="00B76CA3"/>
    <w:rsid w:val="00B76EF9"/>
    <w:rsid w:val="00B772F9"/>
    <w:rsid w:val="00B774C0"/>
    <w:rsid w:val="00B77A25"/>
    <w:rsid w:val="00B77D3C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F22"/>
    <w:rsid w:val="00B850A2"/>
    <w:rsid w:val="00B85C6F"/>
    <w:rsid w:val="00B863D7"/>
    <w:rsid w:val="00B876D3"/>
    <w:rsid w:val="00B9046B"/>
    <w:rsid w:val="00B9057F"/>
    <w:rsid w:val="00B920CB"/>
    <w:rsid w:val="00B925F2"/>
    <w:rsid w:val="00B9273F"/>
    <w:rsid w:val="00B92940"/>
    <w:rsid w:val="00B92C6A"/>
    <w:rsid w:val="00B93989"/>
    <w:rsid w:val="00B94553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D62"/>
    <w:rsid w:val="00BA1052"/>
    <w:rsid w:val="00BA1211"/>
    <w:rsid w:val="00BA1940"/>
    <w:rsid w:val="00BA1AA5"/>
    <w:rsid w:val="00BA1E17"/>
    <w:rsid w:val="00BA249D"/>
    <w:rsid w:val="00BA2E9C"/>
    <w:rsid w:val="00BA3DB2"/>
    <w:rsid w:val="00BA3EF1"/>
    <w:rsid w:val="00BA4370"/>
    <w:rsid w:val="00BA4992"/>
    <w:rsid w:val="00BA4AC8"/>
    <w:rsid w:val="00BA582E"/>
    <w:rsid w:val="00BA5A84"/>
    <w:rsid w:val="00BA60F4"/>
    <w:rsid w:val="00BA692D"/>
    <w:rsid w:val="00BA6E7D"/>
    <w:rsid w:val="00BA7288"/>
    <w:rsid w:val="00BA7A51"/>
    <w:rsid w:val="00BA7A57"/>
    <w:rsid w:val="00BA7AE1"/>
    <w:rsid w:val="00BB0231"/>
    <w:rsid w:val="00BB04F1"/>
    <w:rsid w:val="00BB09BE"/>
    <w:rsid w:val="00BB0A6F"/>
    <w:rsid w:val="00BB1746"/>
    <w:rsid w:val="00BB1D84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75ED"/>
    <w:rsid w:val="00BB7930"/>
    <w:rsid w:val="00BB7B90"/>
    <w:rsid w:val="00BB7BD5"/>
    <w:rsid w:val="00BB7EDD"/>
    <w:rsid w:val="00BC274A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BEC"/>
    <w:rsid w:val="00BD05C2"/>
    <w:rsid w:val="00BD094C"/>
    <w:rsid w:val="00BD0C71"/>
    <w:rsid w:val="00BD1044"/>
    <w:rsid w:val="00BD218A"/>
    <w:rsid w:val="00BD29B2"/>
    <w:rsid w:val="00BD3074"/>
    <w:rsid w:val="00BD3B86"/>
    <w:rsid w:val="00BD3D95"/>
    <w:rsid w:val="00BD40D1"/>
    <w:rsid w:val="00BD47DC"/>
    <w:rsid w:val="00BD5227"/>
    <w:rsid w:val="00BD53F1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5093"/>
    <w:rsid w:val="00BF5778"/>
    <w:rsid w:val="00BF5936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FD7"/>
    <w:rsid w:val="00C0206D"/>
    <w:rsid w:val="00C02421"/>
    <w:rsid w:val="00C02451"/>
    <w:rsid w:val="00C027F6"/>
    <w:rsid w:val="00C02F7E"/>
    <w:rsid w:val="00C030F1"/>
    <w:rsid w:val="00C03740"/>
    <w:rsid w:val="00C044DC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D99"/>
    <w:rsid w:val="00C25DB5"/>
    <w:rsid w:val="00C25E0A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226B"/>
    <w:rsid w:val="00C324A6"/>
    <w:rsid w:val="00C324C4"/>
    <w:rsid w:val="00C32775"/>
    <w:rsid w:val="00C32BC0"/>
    <w:rsid w:val="00C33581"/>
    <w:rsid w:val="00C33A50"/>
    <w:rsid w:val="00C34779"/>
    <w:rsid w:val="00C357AC"/>
    <w:rsid w:val="00C3585C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1C1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B42"/>
    <w:rsid w:val="00C57E5B"/>
    <w:rsid w:val="00C60184"/>
    <w:rsid w:val="00C60A2D"/>
    <w:rsid w:val="00C61036"/>
    <w:rsid w:val="00C619E9"/>
    <w:rsid w:val="00C623E7"/>
    <w:rsid w:val="00C6305C"/>
    <w:rsid w:val="00C631B2"/>
    <w:rsid w:val="00C6321C"/>
    <w:rsid w:val="00C633F6"/>
    <w:rsid w:val="00C639E7"/>
    <w:rsid w:val="00C63E2F"/>
    <w:rsid w:val="00C6410B"/>
    <w:rsid w:val="00C64B3D"/>
    <w:rsid w:val="00C65133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DA8"/>
    <w:rsid w:val="00C72DE1"/>
    <w:rsid w:val="00C72EBA"/>
    <w:rsid w:val="00C73294"/>
    <w:rsid w:val="00C7347B"/>
    <w:rsid w:val="00C73661"/>
    <w:rsid w:val="00C73E3D"/>
    <w:rsid w:val="00C7417B"/>
    <w:rsid w:val="00C7419A"/>
    <w:rsid w:val="00C74524"/>
    <w:rsid w:val="00C74670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6D"/>
    <w:rsid w:val="00C76E4C"/>
    <w:rsid w:val="00C76E64"/>
    <w:rsid w:val="00C76E7E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5D7A"/>
    <w:rsid w:val="00C8642A"/>
    <w:rsid w:val="00C86BBA"/>
    <w:rsid w:val="00C874D2"/>
    <w:rsid w:val="00C87662"/>
    <w:rsid w:val="00C8775D"/>
    <w:rsid w:val="00C87B13"/>
    <w:rsid w:val="00C87FB7"/>
    <w:rsid w:val="00C902CA"/>
    <w:rsid w:val="00C90709"/>
    <w:rsid w:val="00C90B30"/>
    <w:rsid w:val="00C90D6B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9A"/>
    <w:rsid w:val="00CA3ABC"/>
    <w:rsid w:val="00CA3F97"/>
    <w:rsid w:val="00CA444F"/>
    <w:rsid w:val="00CA49C5"/>
    <w:rsid w:val="00CA4D20"/>
    <w:rsid w:val="00CA4F54"/>
    <w:rsid w:val="00CA61E2"/>
    <w:rsid w:val="00CA6515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EC7"/>
    <w:rsid w:val="00CD1418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F6"/>
    <w:rsid w:val="00CD59D8"/>
    <w:rsid w:val="00CD5F7E"/>
    <w:rsid w:val="00CD6011"/>
    <w:rsid w:val="00CD6579"/>
    <w:rsid w:val="00CD7743"/>
    <w:rsid w:val="00CE06A0"/>
    <w:rsid w:val="00CE08E0"/>
    <w:rsid w:val="00CE0C8D"/>
    <w:rsid w:val="00CE15C4"/>
    <w:rsid w:val="00CE1BF2"/>
    <w:rsid w:val="00CE2007"/>
    <w:rsid w:val="00CE24D3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EFC"/>
    <w:rsid w:val="00CF1F0A"/>
    <w:rsid w:val="00CF206C"/>
    <w:rsid w:val="00CF2544"/>
    <w:rsid w:val="00CF261B"/>
    <w:rsid w:val="00CF2B62"/>
    <w:rsid w:val="00CF2D85"/>
    <w:rsid w:val="00CF310A"/>
    <w:rsid w:val="00CF3323"/>
    <w:rsid w:val="00CF34E7"/>
    <w:rsid w:val="00CF35C8"/>
    <w:rsid w:val="00CF3ABE"/>
    <w:rsid w:val="00CF3D72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10576"/>
    <w:rsid w:val="00D10F5C"/>
    <w:rsid w:val="00D1139E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921"/>
    <w:rsid w:val="00D22E6E"/>
    <w:rsid w:val="00D230CD"/>
    <w:rsid w:val="00D231C5"/>
    <w:rsid w:val="00D2365F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D05"/>
    <w:rsid w:val="00D31DC5"/>
    <w:rsid w:val="00D32214"/>
    <w:rsid w:val="00D322C8"/>
    <w:rsid w:val="00D325EC"/>
    <w:rsid w:val="00D32B43"/>
    <w:rsid w:val="00D32D33"/>
    <w:rsid w:val="00D32DE2"/>
    <w:rsid w:val="00D332CE"/>
    <w:rsid w:val="00D335B6"/>
    <w:rsid w:val="00D33E00"/>
    <w:rsid w:val="00D34C3F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D19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D69"/>
    <w:rsid w:val="00D511A3"/>
    <w:rsid w:val="00D512B3"/>
    <w:rsid w:val="00D53245"/>
    <w:rsid w:val="00D532EF"/>
    <w:rsid w:val="00D534A4"/>
    <w:rsid w:val="00D53F09"/>
    <w:rsid w:val="00D54089"/>
    <w:rsid w:val="00D54287"/>
    <w:rsid w:val="00D549D6"/>
    <w:rsid w:val="00D549F0"/>
    <w:rsid w:val="00D55A3C"/>
    <w:rsid w:val="00D567D0"/>
    <w:rsid w:val="00D56E42"/>
    <w:rsid w:val="00D57188"/>
    <w:rsid w:val="00D57506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64C4"/>
    <w:rsid w:val="00D6651A"/>
    <w:rsid w:val="00D66BCD"/>
    <w:rsid w:val="00D67530"/>
    <w:rsid w:val="00D67D70"/>
    <w:rsid w:val="00D7057C"/>
    <w:rsid w:val="00D706A2"/>
    <w:rsid w:val="00D706AC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69F8"/>
    <w:rsid w:val="00D76AC2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AA8"/>
    <w:rsid w:val="00D8112A"/>
    <w:rsid w:val="00D81150"/>
    <w:rsid w:val="00D81509"/>
    <w:rsid w:val="00D81770"/>
    <w:rsid w:val="00D8237A"/>
    <w:rsid w:val="00D82526"/>
    <w:rsid w:val="00D82687"/>
    <w:rsid w:val="00D8284A"/>
    <w:rsid w:val="00D82AFE"/>
    <w:rsid w:val="00D83628"/>
    <w:rsid w:val="00D844EF"/>
    <w:rsid w:val="00D84A89"/>
    <w:rsid w:val="00D84B36"/>
    <w:rsid w:val="00D84CEB"/>
    <w:rsid w:val="00D85463"/>
    <w:rsid w:val="00D85712"/>
    <w:rsid w:val="00D85A6D"/>
    <w:rsid w:val="00D86451"/>
    <w:rsid w:val="00D870A6"/>
    <w:rsid w:val="00D87137"/>
    <w:rsid w:val="00D9131B"/>
    <w:rsid w:val="00D9232E"/>
    <w:rsid w:val="00D92509"/>
    <w:rsid w:val="00D926A8"/>
    <w:rsid w:val="00D92868"/>
    <w:rsid w:val="00D92BA8"/>
    <w:rsid w:val="00D92C85"/>
    <w:rsid w:val="00D935F4"/>
    <w:rsid w:val="00D94F66"/>
    <w:rsid w:val="00D95569"/>
    <w:rsid w:val="00D95B39"/>
    <w:rsid w:val="00D95EE7"/>
    <w:rsid w:val="00D95F1E"/>
    <w:rsid w:val="00D96032"/>
    <w:rsid w:val="00D968ED"/>
    <w:rsid w:val="00D96EE4"/>
    <w:rsid w:val="00D97026"/>
    <w:rsid w:val="00D971E3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6E8"/>
    <w:rsid w:val="00DA383C"/>
    <w:rsid w:val="00DA3DD5"/>
    <w:rsid w:val="00DA3F8D"/>
    <w:rsid w:val="00DA404C"/>
    <w:rsid w:val="00DA410C"/>
    <w:rsid w:val="00DA47B1"/>
    <w:rsid w:val="00DA5284"/>
    <w:rsid w:val="00DA5372"/>
    <w:rsid w:val="00DA5E8C"/>
    <w:rsid w:val="00DA5F0D"/>
    <w:rsid w:val="00DA6B27"/>
    <w:rsid w:val="00DA6F8F"/>
    <w:rsid w:val="00DA7900"/>
    <w:rsid w:val="00DB060E"/>
    <w:rsid w:val="00DB06AE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B3B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240E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B15"/>
    <w:rsid w:val="00DD6B73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99E"/>
    <w:rsid w:val="00DE3D50"/>
    <w:rsid w:val="00DE3E13"/>
    <w:rsid w:val="00DE3E42"/>
    <w:rsid w:val="00DE48F8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54FD"/>
    <w:rsid w:val="00DF5F37"/>
    <w:rsid w:val="00DF6258"/>
    <w:rsid w:val="00DF69AB"/>
    <w:rsid w:val="00DF76FB"/>
    <w:rsid w:val="00DF7D73"/>
    <w:rsid w:val="00E00883"/>
    <w:rsid w:val="00E01022"/>
    <w:rsid w:val="00E010E9"/>
    <w:rsid w:val="00E014D3"/>
    <w:rsid w:val="00E014FC"/>
    <w:rsid w:val="00E01E6C"/>
    <w:rsid w:val="00E02539"/>
    <w:rsid w:val="00E0307A"/>
    <w:rsid w:val="00E04681"/>
    <w:rsid w:val="00E046F3"/>
    <w:rsid w:val="00E04DA2"/>
    <w:rsid w:val="00E04F38"/>
    <w:rsid w:val="00E067B6"/>
    <w:rsid w:val="00E06AB1"/>
    <w:rsid w:val="00E06CCD"/>
    <w:rsid w:val="00E06CE6"/>
    <w:rsid w:val="00E0712C"/>
    <w:rsid w:val="00E07412"/>
    <w:rsid w:val="00E07831"/>
    <w:rsid w:val="00E07BB7"/>
    <w:rsid w:val="00E1040F"/>
    <w:rsid w:val="00E1042C"/>
    <w:rsid w:val="00E10820"/>
    <w:rsid w:val="00E110C4"/>
    <w:rsid w:val="00E11522"/>
    <w:rsid w:val="00E11E5C"/>
    <w:rsid w:val="00E124CD"/>
    <w:rsid w:val="00E12A8C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612E"/>
    <w:rsid w:val="00E16361"/>
    <w:rsid w:val="00E16369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37B2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114"/>
    <w:rsid w:val="00E443B1"/>
    <w:rsid w:val="00E443C6"/>
    <w:rsid w:val="00E4484A"/>
    <w:rsid w:val="00E449F6"/>
    <w:rsid w:val="00E44F50"/>
    <w:rsid w:val="00E4594F"/>
    <w:rsid w:val="00E461A3"/>
    <w:rsid w:val="00E46823"/>
    <w:rsid w:val="00E46892"/>
    <w:rsid w:val="00E46D05"/>
    <w:rsid w:val="00E46F95"/>
    <w:rsid w:val="00E4755D"/>
    <w:rsid w:val="00E477A8"/>
    <w:rsid w:val="00E50180"/>
    <w:rsid w:val="00E505CB"/>
    <w:rsid w:val="00E507C8"/>
    <w:rsid w:val="00E524D6"/>
    <w:rsid w:val="00E527FF"/>
    <w:rsid w:val="00E52A6D"/>
    <w:rsid w:val="00E53BCB"/>
    <w:rsid w:val="00E53E9D"/>
    <w:rsid w:val="00E53F2F"/>
    <w:rsid w:val="00E5409C"/>
    <w:rsid w:val="00E54462"/>
    <w:rsid w:val="00E5470E"/>
    <w:rsid w:val="00E54740"/>
    <w:rsid w:val="00E54A6C"/>
    <w:rsid w:val="00E551B7"/>
    <w:rsid w:val="00E5520D"/>
    <w:rsid w:val="00E554D5"/>
    <w:rsid w:val="00E55526"/>
    <w:rsid w:val="00E55EBE"/>
    <w:rsid w:val="00E560C1"/>
    <w:rsid w:val="00E561E4"/>
    <w:rsid w:val="00E566FF"/>
    <w:rsid w:val="00E569EC"/>
    <w:rsid w:val="00E56F49"/>
    <w:rsid w:val="00E56F4D"/>
    <w:rsid w:val="00E603FA"/>
    <w:rsid w:val="00E60983"/>
    <w:rsid w:val="00E61857"/>
    <w:rsid w:val="00E62AD5"/>
    <w:rsid w:val="00E62BEB"/>
    <w:rsid w:val="00E634A7"/>
    <w:rsid w:val="00E6476F"/>
    <w:rsid w:val="00E65B0F"/>
    <w:rsid w:val="00E65B8D"/>
    <w:rsid w:val="00E664AA"/>
    <w:rsid w:val="00E66665"/>
    <w:rsid w:val="00E67EFD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80C63"/>
    <w:rsid w:val="00E80D75"/>
    <w:rsid w:val="00E80EF9"/>
    <w:rsid w:val="00E80F13"/>
    <w:rsid w:val="00E819D5"/>
    <w:rsid w:val="00E81D16"/>
    <w:rsid w:val="00E81ECB"/>
    <w:rsid w:val="00E8306D"/>
    <w:rsid w:val="00E83658"/>
    <w:rsid w:val="00E83CAF"/>
    <w:rsid w:val="00E83DD9"/>
    <w:rsid w:val="00E84250"/>
    <w:rsid w:val="00E8444B"/>
    <w:rsid w:val="00E844BE"/>
    <w:rsid w:val="00E84EC1"/>
    <w:rsid w:val="00E86054"/>
    <w:rsid w:val="00E878E5"/>
    <w:rsid w:val="00E907B0"/>
    <w:rsid w:val="00E90810"/>
    <w:rsid w:val="00E90D8E"/>
    <w:rsid w:val="00E913FC"/>
    <w:rsid w:val="00E9172E"/>
    <w:rsid w:val="00E91B22"/>
    <w:rsid w:val="00E91B5F"/>
    <w:rsid w:val="00E92568"/>
    <w:rsid w:val="00E92B0C"/>
    <w:rsid w:val="00E9474E"/>
    <w:rsid w:val="00E94808"/>
    <w:rsid w:val="00E94B0E"/>
    <w:rsid w:val="00E9597C"/>
    <w:rsid w:val="00E961AE"/>
    <w:rsid w:val="00E9625C"/>
    <w:rsid w:val="00E9663F"/>
    <w:rsid w:val="00E96975"/>
    <w:rsid w:val="00E96C55"/>
    <w:rsid w:val="00E97894"/>
    <w:rsid w:val="00E97924"/>
    <w:rsid w:val="00E97A0B"/>
    <w:rsid w:val="00E97A29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C73"/>
    <w:rsid w:val="00EC72F0"/>
    <w:rsid w:val="00EC75B7"/>
    <w:rsid w:val="00EC7C31"/>
    <w:rsid w:val="00ED0883"/>
    <w:rsid w:val="00ED08A4"/>
    <w:rsid w:val="00ED0C9E"/>
    <w:rsid w:val="00ED0CB6"/>
    <w:rsid w:val="00ED172B"/>
    <w:rsid w:val="00ED1A76"/>
    <w:rsid w:val="00ED202F"/>
    <w:rsid w:val="00ED3A5B"/>
    <w:rsid w:val="00ED3A83"/>
    <w:rsid w:val="00ED3F00"/>
    <w:rsid w:val="00ED3F29"/>
    <w:rsid w:val="00ED414A"/>
    <w:rsid w:val="00ED419B"/>
    <w:rsid w:val="00ED43E2"/>
    <w:rsid w:val="00ED4814"/>
    <w:rsid w:val="00ED6400"/>
    <w:rsid w:val="00ED678A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962"/>
    <w:rsid w:val="00EE5D9B"/>
    <w:rsid w:val="00EE626E"/>
    <w:rsid w:val="00EE6633"/>
    <w:rsid w:val="00EE6732"/>
    <w:rsid w:val="00EE6D0C"/>
    <w:rsid w:val="00EE6F56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C1F"/>
    <w:rsid w:val="00EF31D3"/>
    <w:rsid w:val="00EF3289"/>
    <w:rsid w:val="00EF3B9D"/>
    <w:rsid w:val="00EF3C02"/>
    <w:rsid w:val="00EF40F0"/>
    <w:rsid w:val="00EF4248"/>
    <w:rsid w:val="00EF4304"/>
    <w:rsid w:val="00EF4379"/>
    <w:rsid w:val="00EF4CD8"/>
    <w:rsid w:val="00EF4FAD"/>
    <w:rsid w:val="00EF5D35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753"/>
    <w:rsid w:val="00F02D4A"/>
    <w:rsid w:val="00F03AF7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1755A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5130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886"/>
    <w:rsid w:val="00F329BC"/>
    <w:rsid w:val="00F33C31"/>
    <w:rsid w:val="00F34061"/>
    <w:rsid w:val="00F3428B"/>
    <w:rsid w:val="00F34542"/>
    <w:rsid w:val="00F35CF7"/>
    <w:rsid w:val="00F35F60"/>
    <w:rsid w:val="00F360FC"/>
    <w:rsid w:val="00F36135"/>
    <w:rsid w:val="00F364D9"/>
    <w:rsid w:val="00F40ABE"/>
    <w:rsid w:val="00F4147E"/>
    <w:rsid w:val="00F414A2"/>
    <w:rsid w:val="00F43509"/>
    <w:rsid w:val="00F43628"/>
    <w:rsid w:val="00F440C6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51163"/>
    <w:rsid w:val="00F5139B"/>
    <w:rsid w:val="00F513A6"/>
    <w:rsid w:val="00F513EF"/>
    <w:rsid w:val="00F51650"/>
    <w:rsid w:val="00F520E1"/>
    <w:rsid w:val="00F52441"/>
    <w:rsid w:val="00F52E58"/>
    <w:rsid w:val="00F5407B"/>
    <w:rsid w:val="00F5421E"/>
    <w:rsid w:val="00F5497F"/>
    <w:rsid w:val="00F560E0"/>
    <w:rsid w:val="00F6033C"/>
    <w:rsid w:val="00F60676"/>
    <w:rsid w:val="00F607C3"/>
    <w:rsid w:val="00F61103"/>
    <w:rsid w:val="00F611EA"/>
    <w:rsid w:val="00F61378"/>
    <w:rsid w:val="00F6179F"/>
    <w:rsid w:val="00F620E5"/>
    <w:rsid w:val="00F6214C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70665"/>
    <w:rsid w:val="00F709B4"/>
    <w:rsid w:val="00F70DA6"/>
    <w:rsid w:val="00F7154F"/>
    <w:rsid w:val="00F71960"/>
    <w:rsid w:val="00F723D8"/>
    <w:rsid w:val="00F72BCD"/>
    <w:rsid w:val="00F72CC3"/>
    <w:rsid w:val="00F7316C"/>
    <w:rsid w:val="00F7321D"/>
    <w:rsid w:val="00F73BE9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B9"/>
    <w:rsid w:val="00F8112C"/>
    <w:rsid w:val="00F812C5"/>
    <w:rsid w:val="00F815F7"/>
    <w:rsid w:val="00F816F1"/>
    <w:rsid w:val="00F81CF6"/>
    <w:rsid w:val="00F82391"/>
    <w:rsid w:val="00F827B4"/>
    <w:rsid w:val="00F82CAD"/>
    <w:rsid w:val="00F8364D"/>
    <w:rsid w:val="00F83A93"/>
    <w:rsid w:val="00F83DD7"/>
    <w:rsid w:val="00F841BE"/>
    <w:rsid w:val="00F84818"/>
    <w:rsid w:val="00F84FC2"/>
    <w:rsid w:val="00F860BF"/>
    <w:rsid w:val="00F8670F"/>
    <w:rsid w:val="00F876A3"/>
    <w:rsid w:val="00F87854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D97"/>
    <w:rsid w:val="00F93F0F"/>
    <w:rsid w:val="00F947DE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B7C"/>
    <w:rsid w:val="00F970F5"/>
    <w:rsid w:val="00F97D0E"/>
    <w:rsid w:val="00F97D4F"/>
    <w:rsid w:val="00FA0576"/>
    <w:rsid w:val="00FA1CCE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145E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4116"/>
    <w:rsid w:val="00FB4302"/>
    <w:rsid w:val="00FB43B1"/>
    <w:rsid w:val="00FB4424"/>
    <w:rsid w:val="00FB4586"/>
    <w:rsid w:val="00FB4A77"/>
    <w:rsid w:val="00FB50EA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4D4"/>
    <w:rsid w:val="00FD454F"/>
    <w:rsid w:val="00FD526B"/>
    <w:rsid w:val="00FD52A4"/>
    <w:rsid w:val="00FD6377"/>
    <w:rsid w:val="00FD663C"/>
    <w:rsid w:val="00FD79BC"/>
    <w:rsid w:val="00FD7AA2"/>
    <w:rsid w:val="00FE0556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  <w15:docId w15:val="{32E6AB95-1FE6-42F1-BEEF-CAA91F13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2344D"/>
    <w:pPr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33E12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 w:line="276" w:lineRule="auto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E33E12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22344D"/>
    <w:rPr>
      <w:rFonts w:ascii="Trebuchet MS" w:hAnsi="Trebuchet MS"/>
      <w:i/>
      <w:iCs/>
      <w:color w:val="808080" w:themeColor="text1" w:themeTint="7F"/>
      <w:sz w:val="16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D2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://elering.ee/limiteeritud-ptr-ide-oksjon-2/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AF5573C33EE4FB6786A3241CA8789" ma:contentTypeVersion="0" ma:contentTypeDescription="Loo uus dokument" ma:contentTypeScope="" ma:versionID="af37c160b9b2f0b72e9f721d54a7e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a46fc3e594b771f5d822278c70fe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15F2-4805-4DD6-ACA1-9A7D5968D531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3947E4-3257-4991-AC45-80C5E19B3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8C3FA-1924-4857-8D6F-202F7D0D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C844C6-05DA-4F9D-B254-97612F6E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1903</Words>
  <Characters>12662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14536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Kajali Kotsar</cp:lastModifiedBy>
  <cp:revision>8</cp:revision>
  <cp:lastPrinted>2016-01-21T12:50:00Z</cp:lastPrinted>
  <dcterms:created xsi:type="dcterms:W3CDTF">2016-01-21T07:11:00Z</dcterms:created>
  <dcterms:modified xsi:type="dcterms:W3CDTF">2016-01-21T12:51:00Z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0x0101007ABAF5573C33EE4FB6786A3241CA8789</vt:lpwstr>
  </property>
</Properties>
</file>