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96" w:rsidRPr="006270D2" w:rsidRDefault="00291059" w:rsidP="00A51821">
      <w:pPr>
        <w:pStyle w:val="Frontpage-title"/>
        <w:rPr>
          <w:lang w:val="en-GB"/>
        </w:rPr>
      </w:pPr>
      <w:bookmarkStart w:id="0" w:name="_GoBack"/>
      <w:bookmarkEnd w:id="0"/>
      <w:r w:rsidRPr="006270D2">
        <w:rPr>
          <w:lang w:val="en-GB"/>
        </w:rPr>
        <w:t>Impact assessment</w:t>
      </w:r>
      <w:r w:rsidR="00576052">
        <w:rPr>
          <w:lang w:val="en-GB"/>
        </w:rPr>
        <w:t xml:space="preserve"> of </w:t>
      </w:r>
      <w:r w:rsidR="00576052">
        <w:rPr>
          <w:lang w:val="en-GB"/>
        </w:rPr>
        <w:br/>
        <w:t>Energy Data Feed Platform</w:t>
      </w:r>
    </w:p>
    <w:p w:rsidR="00690266" w:rsidRPr="006270D2" w:rsidRDefault="00690266" w:rsidP="00291059">
      <w:pPr>
        <w:pStyle w:val="Frontpage-names"/>
      </w:pPr>
    </w:p>
    <w:p w:rsidR="00B73362" w:rsidRPr="006270D2" w:rsidRDefault="00576052" w:rsidP="00291059">
      <w:pPr>
        <w:pStyle w:val="Frontpage-names"/>
        <w:rPr>
          <w:sz w:val="28"/>
        </w:rPr>
      </w:pPr>
      <w:r>
        <w:rPr>
          <w:sz w:val="28"/>
        </w:rPr>
        <w:t>Background study</w:t>
      </w:r>
      <w:r w:rsidR="00EC2588" w:rsidRPr="006270D2">
        <w:rPr>
          <w:sz w:val="28"/>
        </w:rPr>
        <w:br/>
      </w:r>
      <w:r>
        <w:rPr>
          <w:sz w:val="28"/>
        </w:rPr>
        <w:t>17</w:t>
      </w:r>
      <w:r w:rsidR="00444478">
        <w:rPr>
          <w:sz w:val="28"/>
        </w:rPr>
        <w:t xml:space="preserve"> July </w:t>
      </w:r>
      <w:r w:rsidR="00007DBF" w:rsidRPr="006270D2">
        <w:rPr>
          <w:sz w:val="28"/>
        </w:rPr>
        <w:t>20</w:t>
      </w:r>
      <w:r w:rsidR="00654AD0" w:rsidRPr="006270D2">
        <w:rPr>
          <w:sz w:val="28"/>
        </w:rPr>
        <w:t>13</w:t>
      </w:r>
      <w:r w:rsidR="00574296" w:rsidRPr="006270D2">
        <w:rPr>
          <w:sz w:val="28"/>
        </w:rPr>
        <w:br/>
      </w:r>
      <w:r w:rsidR="00654AD0" w:rsidRPr="006270D2">
        <w:rPr>
          <w:sz w:val="28"/>
        </w:rPr>
        <w:t>Julia Illman, Iivo Vehviläinen</w:t>
      </w:r>
      <w:r w:rsidR="009D5537" w:rsidRPr="006270D2">
        <w:rPr>
          <w:sz w:val="28"/>
        </w:rPr>
        <w:t>, Mari Hjelt</w:t>
      </w:r>
      <w:r w:rsidR="00574296" w:rsidRPr="006270D2">
        <w:rPr>
          <w:sz w:val="28"/>
        </w:rPr>
        <w:br/>
      </w:r>
      <w:r w:rsidR="00654AD0" w:rsidRPr="006270D2">
        <w:rPr>
          <w:sz w:val="28"/>
        </w:rPr>
        <w:t>Gaia Consulting Oy</w:t>
      </w:r>
    </w:p>
    <w:p w:rsidR="00373DD8" w:rsidRPr="006270D2" w:rsidRDefault="00373DD8" w:rsidP="00291059">
      <w:pPr>
        <w:pStyle w:val="Frontpage-names"/>
      </w:pPr>
    </w:p>
    <w:p w:rsidR="00373DD8" w:rsidRPr="006270D2" w:rsidRDefault="00373DD8" w:rsidP="00291059">
      <w:pPr>
        <w:pStyle w:val="Frontpage-names"/>
        <w:sectPr w:rsidR="00373DD8" w:rsidRPr="006270D2" w:rsidSect="00E30500">
          <w:headerReference w:type="default" r:id="rId8"/>
          <w:footerReference w:type="even" r:id="rId9"/>
          <w:footerReference w:type="default" r:id="rId10"/>
          <w:headerReference w:type="first" r:id="rId11"/>
          <w:footerReference w:type="first" r:id="rId12"/>
          <w:type w:val="continuous"/>
          <w:pgSz w:w="11906" w:h="16838" w:code="9"/>
          <w:pgMar w:top="567" w:right="567" w:bottom="567" w:left="567" w:header="0" w:footer="567" w:gutter="0"/>
          <w:cols w:space="708"/>
          <w:titlePg/>
          <w:docGrid w:linePitch="360"/>
        </w:sectPr>
      </w:pPr>
    </w:p>
    <w:p w:rsidR="005C6DCB" w:rsidRDefault="005C6DCB" w:rsidP="005C6DCB">
      <w:pPr>
        <w:spacing w:before="0" w:after="0" w:line="240" w:lineRule="auto"/>
        <w:ind w:left="1701" w:right="1418"/>
        <w:rPr>
          <w:b/>
          <w:bCs/>
          <w:sz w:val="26"/>
          <w:szCs w:val="20"/>
          <w:lang w:val="en-GB"/>
        </w:rPr>
      </w:pPr>
      <w:bookmarkStart w:id="1" w:name="_Toc222069772"/>
      <w:bookmarkStart w:id="2" w:name="_Toc223104186"/>
    </w:p>
    <w:p w:rsidR="005C6DCB" w:rsidRDefault="005C6DCB" w:rsidP="005C6DCB">
      <w:pPr>
        <w:spacing w:before="0" w:after="0" w:line="240" w:lineRule="auto"/>
        <w:ind w:left="1701" w:right="1418"/>
        <w:rPr>
          <w:b/>
          <w:bCs/>
          <w:sz w:val="26"/>
          <w:szCs w:val="20"/>
          <w:lang w:val="en-GB"/>
        </w:rPr>
      </w:pPr>
    </w:p>
    <w:p w:rsidR="005C6DCB" w:rsidRDefault="005C6DCB" w:rsidP="005C6DCB">
      <w:pPr>
        <w:spacing w:before="0" w:after="0" w:line="240" w:lineRule="auto"/>
        <w:ind w:left="1701" w:right="1418"/>
        <w:rPr>
          <w:b/>
          <w:bCs/>
          <w:sz w:val="26"/>
          <w:szCs w:val="20"/>
          <w:lang w:val="en-GB"/>
        </w:rPr>
      </w:pPr>
    </w:p>
    <w:p w:rsidR="005C6DCB" w:rsidRDefault="005C6DCB" w:rsidP="005C6DCB">
      <w:pPr>
        <w:spacing w:before="0" w:after="0" w:line="240" w:lineRule="auto"/>
        <w:ind w:left="1701" w:right="1418"/>
        <w:rPr>
          <w:b/>
          <w:bCs/>
          <w:sz w:val="26"/>
          <w:szCs w:val="20"/>
          <w:lang w:val="en-GB"/>
        </w:rPr>
      </w:pPr>
    </w:p>
    <w:p w:rsidR="005C6DCB" w:rsidRDefault="005C6DCB" w:rsidP="005C6DCB">
      <w:pPr>
        <w:spacing w:before="0" w:after="0" w:line="240" w:lineRule="auto"/>
        <w:ind w:left="1701" w:right="1418"/>
        <w:rPr>
          <w:b/>
          <w:bCs/>
          <w:sz w:val="26"/>
          <w:szCs w:val="20"/>
          <w:lang w:val="en-GB"/>
        </w:rPr>
      </w:pPr>
    </w:p>
    <w:p w:rsidR="005C6DCB" w:rsidRDefault="005C6DCB" w:rsidP="005C6DCB">
      <w:pPr>
        <w:spacing w:before="0" w:after="0" w:line="240" w:lineRule="auto"/>
        <w:ind w:left="1701" w:right="1418"/>
        <w:rPr>
          <w:b/>
          <w:bCs/>
          <w:sz w:val="26"/>
          <w:szCs w:val="20"/>
          <w:lang w:val="en-GB"/>
        </w:rPr>
      </w:pPr>
    </w:p>
    <w:p w:rsidR="005C6DCB" w:rsidRPr="005C6DCB" w:rsidRDefault="005C6DCB" w:rsidP="005C6DCB">
      <w:pPr>
        <w:spacing w:before="0" w:after="0" w:line="240" w:lineRule="auto"/>
        <w:ind w:left="1701" w:right="1418"/>
        <w:rPr>
          <w:b/>
          <w:bCs/>
          <w:sz w:val="26"/>
          <w:szCs w:val="20"/>
          <w:lang w:val="en-GB"/>
        </w:rPr>
      </w:pPr>
      <w:r w:rsidRPr="005C6DCB">
        <w:rPr>
          <w:b/>
          <w:bCs/>
          <w:sz w:val="26"/>
          <w:szCs w:val="20"/>
          <w:lang w:val="en-GB"/>
        </w:rPr>
        <w:t>Index</w:t>
      </w:r>
    </w:p>
    <w:p w:rsidR="005C6DCB" w:rsidRPr="005C6DCB" w:rsidRDefault="005C6DCB" w:rsidP="005C6DCB">
      <w:pPr>
        <w:rPr>
          <w:lang w:val="en-GB"/>
        </w:rPr>
      </w:pPr>
    </w:p>
    <w:p w:rsidR="005C6DCB" w:rsidRDefault="00142D42" w:rsidP="005C6DCB">
      <w:pPr>
        <w:pStyle w:val="TOC1"/>
        <w:tabs>
          <w:tab w:val="left" w:pos="7655"/>
        </w:tabs>
        <w:rPr>
          <w:rFonts w:asciiTheme="minorHAnsi" w:eastAsiaTheme="minorEastAsia" w:hAnsiTheme="minorHAnsi" w:cstheme="minorBidi"/>
          <w:bCs w:val="0"/>
          <w:noProof/>
          <w:sz w:val="22"/>
          <w:szCs w:val="22"/>
          <w:lang w:eastAsia="fi-FI"/>
        </w:rPr>
      </w:pPr>
      <w:r w:rsidRPr="005C6DCB">
        <w:rPr>
          <w:lang w:val="en-GB"/>
        </w:rPr>
        <w:fldChar w:fldCharType="begin"/>
      </w:r>
      <w:r w:rsidR="005C6DCB" w:rsidRPr="005C6DCB">
        <w:rPr>
          <w:lang w:val="en-GB"/>
        </w:rPr>
        <w:instrText xml:space="preserve"> TOC \o "1-2" \h \z \u </w:instrText>
      </w:r>
      <w:r w:rsidRPr="005C6DCB">
        <w:rPr>
          <w:lang w:val="en-GB"/>
        </w:rPr>
        <w:fldChar w:fldCharType="separate"/>
      </w:r>
      <w:hyperlink w:anchor="_Toc361737955" w:history="1">
        <w:r w:rsidR="005C6DCB" w:rsidRPr="001F4F69">
          <w:rPr>
            <w:rStyle w:val="Hyperlink"/>
            <w:noProof/>
          </w:rPr>
          <w:t>1</w:t>
        </w:r>
        <w:r w:rsidR="005C6DCB">
          <w:rPr>
            <w:rFonts w:asciiTheme="minorHAnsi" w:eastAsiaTheme="minorEastAsia" w:hAnsiTheme="minorHAnsi" w:cstheme="minorBidi"/>
            <w:bCs w:val="0"/>
            <w:noProof/>
            <w:sz w:val="22"/>
            <w:szCs w:val="22"/>
            <w:lang w:eastAsia="fi-FI"/>
          </w:rPr>
          <w:tab/>
        </w:r>
        <w:r w:rsidR="005C6DCB" w:rsidRPr="001F4F69">
          <w:rPr>
            <w:rStyle w:val="Hyperlink"/>
            <w:noProof/>
          </w:rPr>
          <w:t>Background</w:t>
        </w:r>
        <w:r w:rsidR="005C6DCB">
          <w:rPr>
            <w:noProof/>
            <w:webHidden/>
          </w:rPr>
          <w:tab/>
        </w:r>
        <w:r>
          <w:rPr>
            <w:noProof/>
            <w:webHidden/>
          </w:rPr>
          <w:fldChar w:fldCharType="begin"/>
        </w:r>
        <w:r w:rsidR="005C6DCB">
          <w:rPr>
            <w:noProof/>
            <w:webHidden/>
          </w:rPr>
          <w:instrText xml:space="preserve"> PAGEREF _Toc361737955 \h </w:instrText>
        </w:r>
        <w:r>
          <w:rPr>
            <w:noProof/>
            <w:webHidden/>
          </w:rPr>
        </w:r>
        <w:r>
          <w:rPr>
            <w:noProof/>
            <w:webHidden/>
          </w:rPr>
          <w:fldChar w:fldCharType="separate"/>
        </w:r>
        <w:r w:rsidR="005C6DCB">
          <w:rPr>
            <w:noProof/>
            <w:webHidden/>
          </w:rPr>
          <w:t>3</w:t>
        </w:r>
        <w:r>
          <w:rPr>
            <w:noProof/>
            <w:webHidden/>
          </w:rPr>
          <w:fldChar w:fldCharType="end"/>
        </w:r>
      </w:hyperlink>
    </w:p>
    <w:p w:rsidR="005C6DCB" w:rsidRDefault="007E0531" w:rsidP="005C6DCB">
      <w:pPr>
        <w:pStyle w:val="TOC1"/>
        <w:tabs>
          <w:tab w:val="left" w:pos="7655"/>
        </w:tabs>
        <w:rPr>
          <w:rFonts w:asciiTheme="minorHAnsi" w:eastAsiaTheme="minorEastAsia" w:hAnsiTheme="minorHAnsi" w:cstheme="minorBidi"/>
          <w:bCs w:val="0"/>
          <w:noProof/>
          <w:sz w:val="22"/>
          <w:szCs w:val="22"/>
          <w:lang w:eastAsia="fi-FI"/>
        </w:rPr>
      </w:pPr>
      <w:hyperlink w:anchor="_Toc361737956" w:history="1">
        <w:r w:rsidR="005C6DCB" w:rsidRPr="001F4F69">
          <w:rPr>
            <w:rStyle w:val="Hyperlink"/>
            <w:noProof/>
          </w:rPr>
          <w:t>2</w:t>
        </w:r>
        <w:r w:rsidR="005C6DCB">
          <w:rPr>
            <w:rFonts w:asciiTheme="minorHAnsi" w:eastAsiaTheme="minorEastAsia" w:hAnsiTheme="minorHAnsi" w:cstheme="minorBidi"/>
            <w:bCs w:val="0"/>
            <w:noProof/>
            <w:sz w:val="22"/>
            <w:szCs w:val="22"/>
            <w:lang w:eastAsia="fi-FI"/>
          </w:rPr>
          <w:tab/>
        </w:r>
        <w:r w:rsidR="005C6DCB" w:rsidRPr="001F4F69">
          <w:rPr>
            <w:rStyle w:val="Hyperlink"/>
            <w:noProof/>
          </w:rPr>
          <w:t>General methodologies in impact assessment</w:t>
        </w:r>
        <w:r w:rsidR="005C6DCB">
          <w:rPr>
            <w:noProof/>
            <w:webHidden/>
          </w:rPr>
          <w:tab/>
        </w:r>
        <w:r w:rsidR="00142D42">
          <w:rPr>
            <w:noProof/>
            <w:webHidden/>
          </w:rPr>
          <w:fldChar w:fldCharType="begin"/>
        </w:r>
        <w:r w:rsidR="005C6DCB">
          <w:rPr>
            <w:noProof/>
            <w:webHidden/>
          </w:rPr>
          <w:instrText xml:space="preserve"> PAGEREF _Toc361737956 \h </w:instrText>
        </w:r>
        <w:r w:rsidR="00142D42">
          <w:rPr>
            <w:noProof/>
            <w:webHidden/>
          </w:rPr>
        </w:r>
        <w:r w:rsidR="00142D42">
          <w:rPr>
            <w:noProof/>
            <w:webHidden/>
          </w:rPr>
          <w:fldChar w:fldCharType="separate"/>
        </w:r>
        <w:r w:rsidR="005C6DCB">
          <w:rPr>
            <w:noProof/>
            <w:webHidden/>
          </w:rPr>
          <w:t>4</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57" w:history="1">
        <w:r w:rsidR="005C6DCB" w:rsidRPr="001F4F69">
          <w:rPr>
            <w:rStyle w:val="Hyperlink"/>
            <w:noProof/>
            <w:lang w:val="en-GB"/>
          </w:rPr>
          <w:t>2.1</w:t>
        </w:r>
        <w:r w:rsidR="005C6DCB">
          <w:rPr>
            <w:rFonts w:asciiTheme="minorHAnsi" w:eastAsiaTheme="minorEastAsia" w:hAnsiTheme="minorHAnsi" w:cstheme="minorBidi"/>
            <w:noProof/>
            <w:szCs w:val="22"/>
            <w:lang w:eastAsia="fi-FI"/>
          </w:rPr>
          <w:tab/>
        </w:r>
        <w:r w:rsidR="005C6DCB" w:rsidRPr="001F4F69">
          <w:rPr>
            <w:rStyle w:val="Hyperlink"/>
            <w:noProof/>
            <w:lang w:val="en-GB"/>
          </w:rPr>
          <w:t>Definition of impact assessment</w:t>
        </w:r>
        <w:r w:rsidR="005C6DCB">
          <w:rPr>
            <w:noProof/>
            <w:webHidden/>
          </w:rPr>
          <w:tab/>
        </w:r>
        <w:r w:rsidR="00142D42">
          <w:rPr>
            <w:noProof/>
            <w:webHidden/>
          </w:rPr>
          <w:fldChar w:fldCharType="begin"/>
        </w:r>
        <w:r w:rsidR="005C6DCB">
          <w:rPr>
            <w:noProof/>
            <w:webHidden/>
          </w:rPr>
          <w:instrText xml:space="preserve"> PAGEREF _Toc361737957 \h </w:instrText>
        </w:r>
        <w:r w:rsidR="00142D42">
          <w:rPr>
            <w:noProof/>
            <w:webHidden/>
          </w:rPr>
        </w:r>
        <w:r w:rsidR="00142D42">
          <w:rPr>
            <w:noProof/>
            <w:webHidden/>
          </w:rPr>
          <w:fldChar w:fldCharType="separate"/>
        </w:r>
        <w:r w:rsidR="005C6DCB">
          <w:rPr>
            <w:noProof/>
            <w:webHidden/>
          </w:rPr>
          <w:t>4</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58" w:history="1">
        <w:r w:rsidR="005C6DCB" w:rsidRPr="001F4F69">
          <w:rPr>
            <w:rStyle w:val="Hyperlink"/>
            <w:noProof/>
            <w:lang w:val="en-GB"/>
          </w:rPr>
          <w:t>2.2</w:t>
        </w:r>
        <w:r w:rsidR="005C6DCB">
          <w:rPr>
            <w:rFonts w:asciiTheme="minorHAnsi" w:eastAsiaTheme="minorEastAsia" w:hAnsiTheme="minorHAnsi" w:cstheme="minorBidi"/>
            <w:noProof/>
            <w:szCs w:val="22"/>
            <w:lang w:eastAsia="fi-FI"/>
          </w:rPr>
          <w:tab/>
        </w:r>
        <w:r w:rsidR="005C6DCB" w:rsidRPr="001F4F69">
          <w:rPr>
            <w:rStyle w:val="Hyperlink"/>
            <w:noProof/>
            <w:lang w:val="en-GB"/>
          </w:rPr>
          <w:t>Types of impact assessments</w:t>
        </w:r>
        <w:r w:rsidR="005C6DCB">
          <w:rPr>
            <w:noProof/>
            <w:webHidden/>
          </w:rPr>
          <w:tab/>
        </w:r>
        <w:r w:rsidR="00142D42">
          <w:rPr>
            <w:noProof/>
            <w:webHidden/>
          </w:rPr>
          <w:fldChar w:fldCharType="begin"/>
        </w:r>
        <w:r w:rsidR="005C6DCB">
          <w:rPr>
            <w:noProof/>
            <w:webHidden/>
          </w:rPr>
          <w:instrText xml:space="preserve"> PAGEREF _Toc361737958 \h </w:instrText>
        </w:r>
        <w:r w:rsidR="00142D42">
          <w:rPr>
            <w:noProof/>
            <w:webHidden/>
          </w:rPr>
        </w:r>
        <w:r w:rsidR="00142D42">
          <w:rPr>
            <w:noProof/>
            <w:webHidden/>
          </w:rPr>
          <w:fldChar w:fldCharType="separate"/>
        </w:r>
        <w:r w:rsidR="005C6DCB">
          <w:rPr>
            <w:noProof/>
            <w:webHidden/>
          </w:rPr>
          <w:t>4</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59" w:history="1">
        <w:r w:rsidR="005C6DCB" w:rsidRPr="001F4F69">
          <w:rPr>
            <w:rStyle w:val="Hyperlink"/>
            <w:noProof/>
            <w:lang w:val="en-GB"/>
          </w:rPr>
          <w:t>2.3</w:t>
        </w:r>
        <w:r w:rsidR="005C6DCB">
          <w:rPr>
            <w:rFonts w:asciiTheme="minorHAnsi" w:eastAsiaTheme="minorEastAsia" w:hAnsiTheme="minorHAnsi" w:cstheme="minorBidi"/>
            <w:noProof/>
            <w:szCs w:val="22"/>
            <w:lang w:eastAsia="fi-FI"/>
          </w:rPr>
          <w:tab/>
        </w:r>
        <w:r w:rsidR="005C6DCB" w:rsidRPr="001F4F69">
          <w:rPr>
            <w:rStyle w:val="Hyperlink"/>
            <w:noProof/>
            <w:lang w:val="en-GB"/>
          </w:rPr>
          <w:t>Challenges of impact assessment</w:t>
        </w:r>
        <w:r w:rsidR="005C6DCB">
          <w:rPr>
            <w:noProof/>
            <w:webHidden/>
          </w:rPr>
          <w:tab/>
        </w:r>
        <w:r w:rsidR="00142D42">
          <w:rPr>
            <w:noProof/>
            <w:webHidden/>
          </w:rPr>
          <w:fldChar w:fldCharType="begin"/>
        </w:r>
        <w:r w:rsidR="005C6DCB">
          <w:rPr>
            <w:noProof/>
            <w:webHidden/>
          </w:rPr>
          <w:instrText xml:space="preserve"> PAGEREF _Toc361737959 \h </w:instrText>
        </w:r>
        <w:r w:rsidR="00142D42">
          <w:rPr>
            <w:noProof/>
            <w:webHidden/>
          </w:rPr>
        </w:r>
        <w:r w:rsidR="00142D42">
          <w:rPr>
            <w:noProof/>
            <w:webHidden/>
          </w:rPr>
          <w:fldChar w:fldCharType="separate"/>
        </w:r>
        <w:r w:rsidR="005C6DCB">
          <w:rPr>
            <w:noProof/>
            <w:webHidden/>
          </w:rPr>
          <w:t>5</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60" w:history="1">
        <w:r w:rsidR="005C6DCB" w:rsidRPr="001F4F69">
          <w:rPr>
            <w:rStyle w:val="Hyperlink"/>
            <w:noProof/>
            <w:lang w:val="en-GB"/>
          </w:rPr>
          <w:t>2.4</w:t>
        </w:r>
        <w:r w:rsidR="005C6DCB">
          <w:rPr>
            <w:rFonts w:asciiTheme="minorHAnsi" w:eastAsiaTheme="minorEastAsia" w:hAnsiTheme="minorHAnsi" w:cstheme="minorBidi"/>
            <w:noProof/>
            <w:szCs w:val="22"/>
            <w:lang w:eastAsia="fi-FI"/>
          </w:rPr>
          <w:tab/>
        </w:r>
        <w:r w:rsidR="005C6DCB" w:rsidRPr="001F4F69">
          <w:rPr>
            <w:rStyle w:val="Hyperlink"/>
            <w:noProof/>
            <w:lang w:val="en-GB"/>
          </w:rPr>
          <w:t>Objectives for impact assessment</w:t>
        </w:r>
        <w:r w:rsidR="005C6DCB">
          <w:rPr>
            <w:noProof/>
            <w:webHidden/>
          </w:rPr>
          <w:tab/>
        </w:r>
        <w:r w:rsidR="00142D42">
          <w:rPr>
            <w:noProof/>
            <w:webHidden/>
          </w:rPr>
          <w:fldChar w:fldCharType="begin"/>
        </w:r>
        <w:r w:rsidR="005C6DCB">
          <w:rPr>
            <w:noProof/>
            <w:webHidden/>
          </w:rPr>
          <w:instrText xml:space="preserve"> PAGEREF _Toc361737960 \h </w:instrText>
        </w:r>
        <w:r w:rsidR="00142D42">
          <w:rPr>
            <w:noProof/>
            <w:webHidden/>
          </w:rPr>
        </w:r>
        <w:r w:rsidR="00142D42">
          <w:rPr>
            <w:noProof/>
            <w:webHidden/>
          </w:rPr>
          <w:fldChar w:fldCharType="separate"/>
        </w:r>
        <w:r w:rsidR="005C6DCB">
          <w:rPr>
            <w:noProof/>
            <w:webHidden/>
          </w:rPr>
          <w:t>6</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61" w:history="1">
        <w:r w:rsidR="005C6DCB" w:rsidRPr="001F4F69">
          <w:rPr>
            <w:rStyle w:val="Hyperlink"/>
            <w:noProof/>
            <w:lang w:val="en-GB"/>
          </w:rPr>
          <w:t>2.5</w:t>
        </w:r>
        <w:r w:rsidR="005C6DCB">
          <w:rPr>
            <w:rFonts w:asciiTheme="minorHAnsi" w:eastAsiaTheme="minorEastAsia" w:hAnsiTheme="minorHAnsi" w:cstheme="minorBidi"/>
            <w:noProof/>
            <w:szCs w:val="22"/>
            <w:lang w:eastAsia="fi-FI"/>
          </w:rPr>
          <w:tab/>
        </w:r>
        <w:r w:rsidR="005C6DCB" w:rsidRPr="001F4F69">
          <w:rPr>
            <w:rStyle w:val="Hyperlink"/>
            <w:noProof/>
            <w:lang w:val="en-GB"/>
          </w:rPr>
          <w:t>Impact assessment target groups</w:t>
        </w:r>
        <w:r w:rsidR="005C6DCB">
          <w:rPr>
            <w:noProof/>
            <w:webHidden/>
          </w:rPr>
          <w:tab/>
        </w:r>
        <w:r w:rsidR="00142D42">
          <w:rPr>
            <w:noProof/>
            <w:webHidden/>
          </w:rPr>
          <w:fldChar w:fldCharType="begin"/>
        </w:r>
        <w:r w:rsidR="005C6DCB">
          <w:rPr>
            <w:noProof/>
            <w:webHidden/>
          </w:rPr>
          <w:instrText xml:space="preserve"> PAGEREF _Toc361737961 \h </w:instrText>
        </w:r>
        <w:r w:rsidR="00142D42">
          <w:rPr>
            <w:noProof/>
            <w:webHidden/>
          </w:rPr>
        </w:r>
        <w:r w:rsidR="00142D42">
          <w:rPr>
            <w:noProof/>
            <w:webHidden/>
          </w:rPr>
          <w:fldChar w:fldCharType="separate"/>
        </w:r>
        <w:r w:rsidR="005C6DCB">
          <w:rPr>
            <w:noProof/>
            <w:webHidden/>
          </w:rPr>
          <w:t>6</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62" w:history="1">
        <w:r w:rsidR="005C6DCB" w:rsidRPr="001F4F69">
          <w:rPr>
            <w:rStyle w:val="Hyperlink"/>
            <w:noProof/>
            <w:lang w:val="en-GB"/>
          </w:rPr>
          <w:t>2.6</w:t>
        </w:r>
        <w:r w:rsidR="005C6DCB">
          <w:rPr>
            <w:rFonts w:asciiTheme="minorHAnsi" w:eastAsiaTheme="minorEastAsia" w:hAnsiTheme="minorHAnsi" w:cstheme="minorBidi"/>
            <w:noProof/>
            <w:szCs w:val="22"/>
            <w:lang w:eastAsia="fi-FI"/>
          </w:rPr>
          <w:tab/>
        </w:r>
        <w:r w:rsidR="005C6DCB" w:rsidRPr="001F4F69">
          <w:rPr>
            <w:rStyle w:val="Hyperlink"/>
            <w:noProof/>
            <w:lang w:val="en-GB"/>
          </w:rPr>
          <w:t>Selection of impacts to assess</w:t>
        </w:r>
        <w:r w:rsidR="005C6DCB">
          <w:rPr>
            <w:noProof/>
            <w:webHidden/>
          </w:rPr>
          <w:tab/>
        </w:r>
        <w:r w:rsidR="00142D42">
          <w:rPr>
            <w:noProof/>
            <w:webHidden/>
          </w:rPr>
          <w:fldChar w:fldCharType="begin"/>
        </w:r>
        <w:r w:rsidR="005C6DCB">
          <w:rPr>
            <w:noProof/>
            <w:webHidden/>
          </w:rPr>
          <w:instrText xml:space="preserve"> PAGEREF _Toc361737962 \h </w:instrText>
        </w:r>
        <w:r w:rsidR="00142D42">
          <w:rPr>
            <w:noProof/>
            <w:webHidden/>
          </w:rPr>
        </w:r>
        <w:r w:rsidR="00142D42">
          <w:rPr>
            <w:noProof/>
            <w:webHidden/>
          </w:rPr>
          <w:fldChar w:fldCharType="separate"/>
        </w:r>
        <w:r w:rsidR="005C6DCB">
          <w:rPr>
            <w:noProof/>
            <w:webHidden/>
          </w:rPr>
          <w:t>7</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63" w:history="1">
        <w:r w:rsidR="005C6DCB" w:rsidRPr="001F4F69">
          <w:rPr>
            <w:rStyle w:val="Hyperlink"/>
            <w:noProof/>
            <w:lang w:val="en-GB"/>
          </w:rPr>
          <w:t>2.7</w:t>
        </w:r>
        <w:r w:rsidR="005C6DCB">
          <w:rPr>
            <w:rFonts w:asciiTheme="minorHAnsi" w:eastAsiaTheme="minorEastAsia" w:hAnsiTheme="minorHAnsi" w:cstheme="minorBidi"/>
            <w:noProof/>
            <w:szCs w:val="22"/>
            <w:lang w:eastAsia="fi-FI"/>
          </w:rPr>
          <w:tab/>
        </w:r>
        <w:r w:rsidR="005C6DCB" w:rsidRPr="001F4F69">
          <w:rPr>
            <w:rStyle w:val="Hyperlink"/>
            <w:noProof/>
            <w:lang w:val="en-GB"/>
          </w:rPr>
          <w:t>Impact assessment methodologies</w:t>
        </w:r>
        <w:r w:rsidR="005C6DCB">
          <w:rPr>
            <w:noProof/>
            <w:webHidden/>
          </w:rPr>
          <w:tab/>
        </w:r>
        <w:r w:rsidR="00142D42">
          <w:rPr>
            <w:noProof/>
            <w:webHidden/>
          </w:rPr>
          <w:fldChar w:fldCharType="begin"/>
        </w:r>
        <w:r w:rsidR="005C6DCB">
          <w:rPr>
            <w:noProof/>
            <w:webHidden/>
          </w:rPr>
          <w:instrText xml:space="preserve"> PAGEREF _Toc361737963 \h </w:instrText>
        </w:r>
        <w:r w:rsidR="00142D42">
          <w:rPr>
            <w:noProof/>
            <w:webHidden/>
          </w:rPr>
        </w:r>
        <w:r w:rsidR="00142D42">
          <w:rPr>
            <w:noProof/>
            <w:webHidden/>
          </w:rPr>
          <w:fldChar w:fldCharType="separate"/>
        </w:r>
        <w:r w:rsidR="005C6DCB">
          <w:rPr>
            <w:noProof/>
            <w:webHidden/>
          </w:rPr>
          <w:t>9</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64" w:history="1">
        <w:r w:rsidR="005C6DCB" w:rsidRPr="001F4F69">
          <w:rPr>
            <w:rStyle w:val="Hyperlink"/>
            <w:noProof/>
            <w:lang w:val="en-GB"/>
          </w:rPr>
          <w:t>2.8</w:t>
        </w:r>
        <w:r w:rsidR="005C6DCB">
          <w:rPr>
            <w:rFonts w:asciiTheme="minorHAnsi" w:eastAsiaTheme="minorEastAsia" w:hAnsiTheme="minorHAnsi" w:cstheme="minorBidi"/>
            <w:noProof/>
            <w:szCs w:val="22"/>
            <w:lang w:eastAsia="fi-FI"/>
          </w:rPr>
          <w:tab/>
        </w:r>
        <w:r w:rsidR="005C6DCB" w:rsidRPr="001F4F69">
          <w:rPr>
            <w:rStyle w:val="Hyperlink"/>
            <w:noProof/>
            <w:lang w:val="en-GB"/>
          </w:rPr>
          <w:t>Selection of methodologies</w:t>
        </w:r>
        <w:r w:rsidR="005C6DCB">
          <w:rPr>
            <w:noProof/>
            <w:webHidden/>
          </w:rPr>
          <w:tab/>
        </w:r>
        <w:r w:rsidR="00142D42">
          <w:rPr>
            <w:noProof/>
            <w:webHidden/>
          </w:rPr>
          <w:fldChar w:fldCharType="begin"/>
        </w:r>
        <w:r w:rsidR="005C6DCB">
          <w:rPr>
            <w:noProof/>
            <w:webHidden/>
          </w:rPr>
          <w:instrText xml:space="preserve"> PAGEREF _Toc361737964 \h </w:instrText>
        </w:r>
        <w:r w:rsidR="00142D42">
          <w:rPr>
            <w:noProof/>
            <w:webHidden/>
          </w:rPr>
        </w:r>
        <w:r w:rsidR="00142D42">
          <w:rPr>
            <w:noProof/>
            <w:webHidden/>
          </w:rPr>
          <w:fldChar w:fldCharType="separate"/>
        </w:r>
        <w:r w:rsidR="005C6DCB">
          <w:rPr>
            <w:noProof/>
            <w:webHidden/>
          </w:rPr>
          <w:t>14</w:t>
        </w:r>
        <w:r w:rsidR="00142D42">
          <w:rPr>
            <w:noProof/>
            <w:webHidden/>
          </w:rPr>
          <w:fldChar w:fldCharType="end"/>
        </w:r>
      </w:hyperlink>
    </w:p>
    <w:p w:rsidR="005C6DCB" w:rsidRDefault="007E0531" w:rsidP="005C6DCB">
      <w:pPr>
        <w:pStyle w:val="TOC1"/>
        <w:tabs>
          <w:tab w:val="left" w:pos="7655"/>
        </w:tabs>
        <w:rPr>
          <w:rFonts w:asciiTheme="minorHAnsi" w:eastAsiaTheme="minorEastAsia" w:hAnsiTheme="minorHAnsi" w:cstheme="minorBidi"/>
          <w:bCs w:val="0"/>
          <w:noProof/>
          <w:sz w:val="22"/>
          <w:szCs w:val="22"/>
          <w:lang w:eastAsia="fi-FI"/>
        </w:rPr>
      </w:pPr>
      <w:hyperlink w:anchor="_Toc361737965" w:history="1">
        <w:r w:rsidR="005C6DCB" w:rsidRPr="001F4F69">
          <w:rPr>
            <w:rStyle w:val="Hyperlink"/>
            <w:noProof/>
          </w:rPr>
          <w:t>3</w:t>
        </w:r>
        <w:r w:rsidR="005C6DCB">
          <w:rPr>
            <w:rFonts w:asciiTheme="minorHAnsi" w:eastAsiaTheme="minorEastAsia" w:hAnsiTheme="minorHAnsi" w:cstheme="minorBidi"/>
            <w:bCs w:val="0"/>
            <w:noProof/>
            <w:sz w:val="22"/>
            <w:szCs w:val="22"/>
            <w:lang w:eastAsia="fi-FI"/>
          </w:rPr>
          <w:tab/>
        </w:r>
        <w:r w:rsidR="005C6DCB" w:rsidRPr="001F4F69">
          <w:rPr>
            <w:rStyle w:val="Hyperlink"/>
            <w:noProof/>
          </w:rPr>
          <w:t>Assessing the impacts of the EDF Platform</w:t>
        </w:r>
        <w:r w:rsidR="005C6DCB">
          <w:rPr>
            <w:noProof/>
            <w:webHidden/>
          </w:rPr>
          <w:tab/>
        </w:r>
        <w:r w:rsidR="00142D42">
          <w:rPr>
            <w:noProof/>
            <w:webHidden/>
          </w:rPr>
          <w:fldChar w:fldCharType="begin"/>
        </w:r>
        <w:r w:rsidR="005C6DCB">
          <w:rPr>
            <w:noProof/>
            <w:webHidden/>
          </w:rPr>
          <w:instrText xml:space="preserve"> PAGEREF _Toc361737965 \h </w:instrText>
        </w:r>
        <w:r w:rsidR="00142D42">
          <w:rPr>
            <w:noProof/>
            <w:webHidden/>
          </w:rPr>
        </w:r>
        <w:r w:rsidR="00142D42">
          <w:rPr>
            <w:noProof/>
            <w:webHidden/>
          </w:rPr>
          <w:fldChar w:fldCharType="separate"/>
        </w:r>
        <w:r w:rsidR="005C6DCB">
          <w:rPr>
            <w:noProof/>
            <w:webHidden/>
          </w:rPr>
          <w:t>16</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66" w:history="1">
        <w:r w:rsidR="005C6DCB" w:rsidRPr="001F4F69">
          <w:rPr>
            <w:rStyle w:val="Hyperlink"/>
            <w:noProof/>
            <w:lang w:val="en-GB"/>
          </w:rPr>
          <w:t>3.1</w:t>
        </w:r>
        <w:r w:rsidR="005C6DCB">
          <w:rPr>
            <w:rFonts w:asciiTheme="minorHAnsi" w:eastAsiaTheme="minorEastAsia" w:hAnsiTheme="minorHAnsi" w:cstheme="minorBidi"/>
            <w:noProof/>
            <w:szCs w:val="22"/>
            <w:lang w:eastAsia="fi-FI"/>
          </w:rPr>
          <w:tab/>
        </w:r>
        <w:r w:rsidR="005C6DCB" w:rsidRPr="001F4F69">
          <w:rPr>
            <w:rStyle w:val="Hyperlink"/>
            <w:noProof/>
            <w:lang w:val="en-GB"/>
          </w:rPr>
          <w:t>Scope, objectives, and methodologies</w:t>
        </w:r>
        <w:r w:rsidR="005C6DCB">
          <w:rPr>
            <w:noProof/>
            <w:webHidden/>
          </w:rPr>
          <w:tab/>
        </w:r>
        <w:r w:rsidR="00142D42">
          <w:rPr>
            <w:noProof/>
            <w:webHidden/>
          </w:rPr>
          <w:fldChar w:fldCharType="begin"/>
        </w:r>
        <w:r w:rsidR="005C6DCB">
          <w:rPr>
            <w:noProof/>
            <w:webHidden/>
          </w:rPr>
          <w:instrText xml:space="preserve"> PAGEREF _Toc361737966 \h </w:instrText>
        </w:r>
        <w:r w:rsidR="00142D42">
          <w:rPr>
            <w:noProof/>
            <w:webHidden/>
          </w:rPr>
        </w:r>
        <w:r w:rsidR="00142D42">
          <w:rPr>
            <w:noProof/>
            <w:webHidden/>
          </w:rPr>
          <w:fldChar w:fldCharType="separate"/>
        </w:r>
        <w:r w:rsidR="005C6DCB">
          <w:rPr>
            <w:noProof/>
            <w:webHidden/>
          </w:rPr>
          <w:t>16</w:t>
        </w:r>
        <w:r w:rsidR="00142D42">
          <w:rPr>
            <w:noProof/>
            <w:webHidden/>
          </w:rPr>
          <w:fldChar w:fldCharType="end"/>
        </w:r>
      </w:hyperlink>
    </w:p>
    <w:p w:rsidR="005C6DCB" w:rsidRDefault="007E0531" w:rsidP="005C6DCB">
      <w:pPr>
        <w:pStyle w:val="TOC2"/>
        <w:tabs>
          <w:tab w:val="left" w:pos="7655"/>
        </w:tabs>
        <w:ind w:right="1418"/>
        <w:rPr>
          <w:rFonts w:asciiTheme="minorHAnsi" w:eastAsiaTheme="minorEastAsia" w:hAnsiTheme="minorHAnsi" w:cstheme="minorBidi"/>
          <w:noProof/>
          <w:szCs w:val="22"/>
          <w:lang w:eastAsia="fi-FI"/>
        </w:rPr>
      </w:pPr>
      <w:hyperlink w:anchor="_Toc361737967" w:history="1">
        <w:r w:rsidR="005C6DCB" w:rsidRPr="001F4F69">
          <w:rPr>
            <w:rStyle w:val="Hyperlink"/>
            <w:noProof/>
            <w:lang w:val="en-GB"/>
          </w:rPr>
          <w:t>3.2</w:t>
        </w:r>
        <w:r w:rsidR="005C6DCB">
          <w:rPr>
            <w:rFonts w:asciiTheme="minorHAnsi" w:eastAsiaTheme="minorEastAsia" w:hAnsiTheme="minorHAnsi" w:cstheme="minorBidi"/>
            <w:noProof/>
            <w:szCs w:val="22"/>
            <w:lang w:eastAsia="fi-FI"/>
          </w:rPr>
          <w:tab/>
        </w:r>
        <w:r w:rsidR="005C6DCB" w:rsidRPr="001F4F69">
          <w:rPr>
            <w:rStyle w:val="Hyperlink"/>
            <w:noProof/>
            <w:lang w:val="en-GB"/>
          </w:rPr>
          <w:t>Key Performance Indicators</w:t>
        </w:r>
        <w:r w:rsidR="005C6DCB">
          <w:rPr>
            <w:noProof/>
            <w:webHidden/>
          </w:rPr>
          <w:tab/>
        </w:r>
        <w:r w:rsidR="00142D42">
          <w:rPr>
            <w:noProof/>
            <w:webHidden/>
          </w:rPr>
          <w:fldChar w:fldCharType="begin"/>
        </w:r>
        <w:r w:rsidR="005C6DCB">
          <w:rPr>
            <w:noProof/>
            <w:webHidden/>
          </w:rPr>
          <w:instrText xml:space="preserve"> PAGEREF _Toc361737967 \h </w:instrText>
        </w:r>
        <w:r w:rsidR="00142D42">
          <w:rPr>
            <w:noProof/>
            <w:webHidden/>
          </w:rPr>
        </w:r>
        <w:r w:rsidR="00142D42">
          <w:rPr>
            <w:noProof/>
            <w:webHidden/>
          </w:rPr>
          <w:fldChar w:fldCharType="separate"/>
        </w:r>
        <w:r w:rsidR="005C6DCB">
          <w:rPr>
            <w:noProof/>
            <w:webHidden/>
          </w:rPr>
          <w:t>18</w:t>
        </w:r>
        <w:r w:rsidR="00142D42">
          <w:rPr>
            <w:noProof/>
            <w:webHidden/>
          </w:rPr>
          <w:fldChar w:fldCharType="end"/>
        </w:r>
      </w:hyperlink>
    </w:p>
    <w:p w:rsidR="005C6DCB" w:rsidRDefault="007E0531" w:rsidP="005C6DCB">
      <w:pPr>
        <w:pStyle w:val="TOC1"/>
        <w:tabs>
          <w:tab w:val="left" w:pos="7655"/>
        </w:tabs>
        <w:rPr>
          <w:rFonts w:asciiTheme="minorHAnsi" w:eastAsiaTheme="minorEastAsia" w:hAnsiTheme="minorHAnsi" w:cstheme="minorBidi"/>
          <w:bCs w:val="0"/>
          <w:noProof/>
          <w:sz w:val="22"/>
          <w:szCs w:val="22"/>
          <w:lang w:eastAsia="fi-FI"/>
        </w:rPr>
      </w:pPr>
      <w:hyperlink w:anchor="_Toc361737968" w:history="1">
        <w:r w:rsidR="005C6DCB" w:rsidRPr="001F4F69">
          <w:rPr>
            <w:rStyle w:val="Hyperlink"/>
            <w:noProof/>
          </w:rPr>
          <w:t>References</w:t>
        </w:r>
        <w:r w:rsidR="005C6DCB">
          <w:rPr>
            <w:noProof/>
            <w:webHidden/>
          </w:rPr>
          <w:tab/>
        </w:r>
        <w:r w:rsidR="00142D42">
          <w:rPr>
            <w:noProof/>
            <w:webHidden/>
          </w:rPr>
          <w:fldChar w:fldCharType="begin"/>
        </w:r>
        <w:r w:rsidR="005C6DCB">
          <w:rPr>
            <w:noProof/>
            <w:webHidden/>
          </w:rPr>
          <w:instrText xml:space="preserve"> PAGEREF _Toc361737968 \h </w:instrText>
        </w:r>
        <w:r w:rsidR="00142D42">
          <w:rPr>
            <w:noProof/>
            <w:webHidden/>
          </w:rPr>
        </w:r>
        <w:r w:rsidR="00142D42">
          <w:rPr>
            <w:noProof/>
            <w:webHidden/>
          </w:rPr>
          <w:fldChar w:fldCharType="separate"/>
        </w:r>
        <w:r w:rsidR="005C6DCB">
          <w:rPr>
            <w:noProof/>
            <w:webHidden/>
          </w:rPr>
          <w:t>21</w:t>
        </w:r>
        <w:r w:rsidR="00142D42">
          <w:rPr>
            <w:noProof/>
            <w:webHidden/>
          </w:rPr>
          <w:fldChar w:fldCharType="end"/>
        </w:r>
      </w:hyperlink>
    </w:p>
    <w:p w:rsidR="005C6DCB" w:rsidRDefault="00142D42" w:rsidP="005C6DCB">
      <w:r w:rsidRPr="005C6DCB">
        <w:fldChar w:fldCharType="end"/>
      </w:r>
      <w:bookmarkStart w:id="3" w:name="_Toc361737955"/>
    </w:p>
    <w:p w:rsidR="005C6DCB" w:rsidRDefault="005C6DCB" w:rsidP="005C6DCB">
      <w:pPr>
        <w:rPr>
          <w:lang w:val="en-GB"/>
        </w:rPr>
      </w:pPr>
      <w:r>
        <w:br w:type="page"/>
      </w:r>
    </w:p>
    <w:p w:rsidR="00291059" w:rsidRPr="006270D2" w:rsidRDefault="00291059" w:rsidP="005C6DCB">
      <w:pPr>
        <w:pStyle w:val="Heading1"/>
      </w:pPr>
      <w:r w:rsidRPr="006270D2">
        <w:lastRenderedPageBreak/>
        <w:t>Background</w:t>
      </w:r>
      <w:bookmarkEnd w:id="3"/>
    </w:p>
    <w:p w:rsidR="00291059" w:rsidRPr="006270D2" w:rsidRDefault="00291059" w:rsidP="00291059">
      <w:pPr>
        <w:rPr>
          <w:bCs/>
          <w:lang w:val="en-GB"/>
        </w:rPr>
      </w:pPr>
      <w:r w:rsidRPr="006270D2">
        <w:rPr>
          <w:bCs/>
          <w:lang w:val="en-GB"/>
        </w:rPr>
        <w:t xml:space="preserve">Elering AS is an independent electricity </w:t>
      </w:r>
      <w:r w:rsidR="00EC2588" w:rsidRPr="006270D2">
        <w:rPr>
          <w:bCs/>
          <w:lang w:val="en-GB"/>
        </w:rPr>
        <w:t xml:space="preserve">transmission </w:t>
      </w:r>
      <w:r w:rsidRPr="006270D2">
        <w:rPr>
          <w:bCs/>
          <w:lang w:val="en-GB"/>
        </w:rPr>
        <w:t>system operator in Estonia whose main duty is to guaran</w:t>
      </w:r>
      <w:r w:rsidR="00EC2588" w:rsidRPr="006270D2">
        <w:rPr>
          <w:bCs/>
          <w:lang w:val="en-GB"/>
        </w:rPr>
        <w:t xml:space="preserve">tee high </w:t>
      </w:r>
      <w:r w:rsidRPr="006270D2">
        <w:rPr>
          <w:bCs/>
          <w:lang w:val="en-GB"/>
        </w:rPr>
        <w:t>quality electricity supply to Estonian consumers at all times.</w:t>
      </w:r>
    </w:p>
    <w:p w:rsidR="00F30C94" w:rsidRPr="006270D2" w:rsidRDefault="00291059" w:rsidP="00291059">
      <w:pPr>
        <w:rPr>
          <w:bCs/>
          <w:lang w:val="en-GB"/>
        </w:rPr>
      </w:pPr>
      <w:r w:rsidRPr="006270D2">
        <w:rPr>
          <w:bCs/>
          <w:lang w:val="en-GB"/>
        </w:rPr>
        <w:t xml:space="preserve">Elering is leading a consortium to prepare a development project for </w:t>
      </w:r>
      <w:r w:rsidR="00EC2588" w:rsidRPr="006270D2">
        <w:rPr>
          <w:bCs/>
          <w:lang w:val="en-GB"/>
        </w:rPr>
        <w:t xml:space="preserve">a </w:t>
      </w:r>
      <w:r w:rsidRPr="006270D2">
        <w:rPr>
          <w:bCs/>
          <w:lang w:val="en-GB"/>
        </w:rPr>
        <w:t xml:space="preserve">new innovative energy management service platform in Estonia, named </w:t>
      </w:r>
      <w:r w:rsidRPr="006270D2">
        <w:rPr>
          <w:bCs/>
          <w:i/>
          <w:lang w:val="en-GB"/>
        </w:rPr>
        <w:t>Energy</w:t>
      </w:r>
      <w:r w:rsidRPr="006270D2">
        <w:rPr>
          <w:bCs/>
          <w:lang w:val="en-GB"/>
        </w:rPr>
        <w:t xml:space="preserve"> </w:t>
      </w:r>
      <w:r w:rsidRPr="006270D2">
        <w:rPr>
          <w:bCs/>
          <w:i/>
          <w:lang w:val="en-GB"/>
        </w:rPr>
        <w:t xml:space="preserve">Data Feed </w:t>
      </w:r>
      <w:r w:rsidR="00EC2588" w:rsidRPr="006270D2">
        <w:rPr>
          <w:bCs/>
          <w:i/>
          <w:lang w:val="en-GB"/>
        </w:rPr>
        <w:t xml:space="preserve">(EDF) </w:t>
      </w:r>
      <w:r w:rsidRPr="006270D2">
        <w:rPr>
          <w:bCs/>
          <w:i/>
          <w:lang w:val="en-GB"/>
        </w:rPr>
        <w:t>Platform</w:t>
      </w:r>
      <w:r w:rsidRPr="006270D2">
        <w:rPr>
          <w:bCs/>
          <w:lang w:val="en-GB"/>
        </w:rPr>
        <w:t xml:space="preserve">. </w:t>
      </w:r>
      <w:r w:rsidR="00EC2588" w:rsidRPr="006270D2">
        <w:rPr>
          <w:bCs/>
          <w:lang w:val="en-GB"/>
        </w:rPr>
        <w:t xml:space="preserve">Elering has commissioned Gaia Consulting Ltd. to contribute to the project plan preparation by </w:t>
      </w:r>
    </w:p>
    <w:p w:rsidR="00291059" w:rsidRPr="006270D2" w:rsidRDefault="002452B0" w:rsidP="00F30C94">
      <w:pPr>
        <w:pStyle w:val="ListParagraph"/>
        <w:numPr>
          <w:ilvl w:val="0"/>
          <w:numId w:val="21"/>
        </w:numPr>
        <w:rPr>
          <w:lang w:val="en-GB"/>
        </w:rPr>
      </w:pPr>
      <w:r>
        <w:rPr>
          <w:bCs/>
          <w:lang w:val="en-GB"/>
        </w:rPr>
        <w:t>C</w:t>
      </w:r>
      <w:r w:rsidR="00F30C94" w:rsidRPr="006270D2">
        <w:rPr>
          <w:bCs/>
          <w:lang w:val="en-GB"/>
        </w:rPr>
        <w:t>onducting a market study to identify business opportunities for the EDF Platform; and</w:t>
      </w:r>
    </w:p>
    <w:p w:rsidR="00F30C94" w:rsidRPr="006270D2" w:rsidRDefault="002452B0" w:rsidP="00F30C94">
      <w:pPr>
        <w:pStyle w:val="ListParagraph"/>
        <w:numPr>
          <w:ilvl w:val="0"/>
          <w:numId w:val="21"/>
        </w:numPr>
        <w:rPr>
          <w:lang w:val="en-GB"/>
        </w:rPr>
      </w:pPr>
      <w:r>
        <w:rPr>
          <w:bCs/>
          <w:lang w:val="en-GB"/>
        </w:rPr>
        <w:t>P</w:t>
      </w:r>
      <w:r w:rsidR="00F30C94" w:rsidRPr="006270D2">
        <w:rPr>
          <w:bCs/>
          <w:lang w:val="en-GB"/>
        </w:rPr>
        <w:t xml:space="preserve">resenting an overview of project impact assessment </w:t>
      </w:r>
      <w:r w:rsidR="00621957">
        <w:rPr>
          <w:bCs/>
          <w:lang w:val="en-GB"/>
        </w:rPr>
        <w:t xml:space="preserve">and related </w:t>
      </w:r>
      <w:r w:rsidR="00F30C94" w:rsidRPr="006270D2">
        <w:rPr>
          <w:bCs/>
          <w:lang w:val="en-GB"/>
        </w:rPr>
        <w:t xml:space="preserve">methodologies focusing on </w:t>
      </w:r>
      <w:r w:rsidR="00C502F9" w:rsidRPr="006270D2">
        <w:rPr>
          <w:bCs/>
          <w:lang w:val="en-GB"/>
        </w:rPr>
        <w:t>environmental</w:t>
      </w:r>
      <w:r w:rsidR="00F30C94" w:rsidRPr="006270D2">
        <w:rPr>
          <w:bCs/>
          <w:lang w:val="en-GB"/>
        </w:rPr>
        <w:t xml:space="preserve"> and socio-economic impacts as well as developing preliminary Key Performance Indicators (KPIs) for the project.</w:t>
      </w:r>
    </w:p>
    <w:p w:rsidR="005C6DCB" w:rsidRPr="006270D2" w:rsidRDefault="00F30C94" w:rsidP="00F30C94">
      <w:pPr>
        <w:rPr>
          <w:lang w:val="en-GB"/>
        </w:rPr>
      </w:pPr>
      <w:r w:rsidRPr="006270D2">
        <w:rPr>
          <w:lang w:val="en-GB"/>
        </w:rPr>
        <w:t xml:space="preserve">This report presents </w:t>
      </w:r>
      <w:r w:rsidR="009D5537" w:rsidRPr="006270D2">
        <w:rPr>
          <w:lang w:val="en-GB"/>
        </w:rPr>
        <w:t>part B</w:t>
      </w:r>
      <w:r w:rsidRPr="006270D2">
        <w:rPr>
          <w:lang w:val="en-GB"/>
        </w:rPr>
        <w:t xml:space="preserve"> of the contribution</w:t>
      </w:r>
      <w:r w:rsidR="009D5537" w:rsidRPr="006270D2">
        <w:rPr>
          <w:lang w:val="en-GB"/>
        </w:rPr>
        <w:t>,</w:t>
      </w:r>
      <w:r w:rsidRPr="006270D2">
        <w:rPr>
          <w:lang w:val="en-GB"/>
        </w:rPr>
        <w:t xml:space="preserve"> th</w:t>
      </w:r>
      <w:r w:rsidR="00621957">
        <w:rPr>
          <w:lang w:val="en-GB"/>
        </w:rPr>
        <w:t>e overview of impact assessment</w:t>
      </w:r>
      <w:r w:rsidR="009D5537" w:rsidRPr="0016499F">
        <w:rPr>
          <w:lang w:val="en-GB"/>
        </w:rPr>
        <w:t xml:space="preserve">. </w:t>
      </w:r>
      <w:r w:rsidR="00621957">
        <w:rPr>
          <w:lang w:val="en-GB"/>
        </w:rPr>
        <w:t xml:space="preserve">Chapter 2 gives a thorough overview in the </w:t>
      </w:r>
      <w:r w:rsidR="00621957" w:rsidRPr="00D97516">
        <w:rPr>
          <w:lang w:val="en-GB"/>
        </w:rPr>
        <w:t xml:space="preserve">theoretical background </w:t>
      </w:r>
      <w:r w:rsidR="00621957">
        <w:rPr>
          <w:lang w:val="en-GB"/>
        </w:rPr>
        <w:t>of impact assessment in general and the motivation for the selected methodologies</w:t>
      </w:r>
      <w:r w:rsidR="00621957" w:rsidRPr="00D97516">
        <w:rPr>
          <w:lang w:val="en-GB"/>
        </w:rPr>
        <w:t xml:space="preserve">. </w:t>
      </w:r>
      <w:r w:rsidR="00621957">
        <w:rPr>
          <w:lang w:val="en-GB"/>
        </w:rPr>
        <w:t>Chapter 3</w:t>
      </w:r>
      <w:r w:rsidR="00A54D5A" w:rsidRPr="00D97516">
        <w:rPr>
          <w:lang w:val="en-GB"/>
        </w:rPr>
        <w:t xml:space="preserve"> provides a</w:t>
      </w:r>
      <w:r w:rsidR="00C82F91" w:rsidRPr="00D97516">
        <w:rPr>
          <w:lang w:val="en-GB"/>
        </w:rPr>
        <w:t xml:space="preserve"> short summary </w:t>
      </w:r>
      <w:r w:rsidR="003915A1" w:rsidRPr="00D97516">
        <w:rPr>
          <w:lang w:val="en-GB"/>
        </w:rPr>
        <w:t xml:space="preserve">and scoping </w:t>
      </w:r>
      <w:r w:rsidR="00C82F91" w:rsidRPr="00D97516">
        <w:rPr>
          <w:lang w:val="en-GB"/>
        </w:rPr>
        <w:t xml:space="preserve">of impact assessment focusing on the EDF Platform and on the Key Performance Indicators. </w:t>
      </w:r>
    </w:p>
    <w:p w:rsidR="00F30C94" w:rsidRDefault="009D5537" w:rsidP="00F30C94">
      <w:pPr>
        <w:rPr>
          <w:lang w:val="en-GB"/>
        </w:rPr>
      </w:pPr>
      <w:r w:rsidRPr="006270D2">
        <w:rPr>
          <w:lang w:val="en-GB"/>
        </w:rPr>
        <w:t>This report has been prepared by Julia Illman</w:t>
      </w:r>
      <w:r w:rsidR="00155357">
        <w:rPr>
          <w:lang w:val="en-GB"/>
        </w:rPr>
        <w:t>,</w:t>
      </w:r>
      <w:r w:rsidRPr="006270D2">
        <w:rPr>
          <w:lang w:val="en-GB"/>
        </w:rPr>
        <w:t xml:space="preserve"> Iivo Vehviläinen</w:t>
      </w:r>
      <w:r w:rsidR="00155357">
        <w:rPr>
          <w:lang w:val="en-GB"/>
        </w:rPr>
        <w:t>,</w:t>
      </w:r>
      <w:r w:rsidRPr="006270D2">
        <w:rPr>
          <w:lang w:val="en-GB"/>
        </w:rPr>
        <w:t xml:space="preserve"> and Mari Hjelt. The contents of this report will be revised based on comments received from Elering and the consortium</w:t>
      </w:r>
      <w:r w:rsidR="007C2931" w:rsidRPr="006270D2">
        <w:rPr>
          <w:lang w:val="en-GB"/>
        </w:rPr>
        <w:t xml:space="preserve"> before reporting is finalised </w:t>
      </w:r>
      <w:r w:rsidRPr="006270D2">
        <w:rPr>
          <w:lang w:val="en-GB"/>
        </w:rPr>
        <w:t>as part of the project plan submission.</w:t>
      </w:r>
    </w:p>
    <w:p w:rsidR="00D27AC6" w:rsidRPr="006270D2" w:rsidRDefault="00576052" w:rsidP="005C6DCB">
      <w:pPr>
        <w:pStyle w:val="Heading1"/>
      </w:pPr>
      <w:bookmarkStart w:id="4" w:name="_Toc361737956"/>
      <w:r>
        <w:t xml:space="preserve">General methodologies in </w:t>
      </w:r>
      <w:r w:rsidR="00654AD0" w:rsidRPr="006270D2">
        <w:t>impact assessment</w:t>
      </w:r>
      <w:bookmarkEnd w:id="1"/>
      <w:bookmarkEnd w:id="2"/>
      <w:bookmarkEnd w:id="4"/>
    </w:p>
    <w:p w:rsidR="00D27AC6" w:rsidRPr="006270D2" w:rsidRDefault="00220533" w:rsidP="00373DD8">
      <w:pPr>
        <w:pStyle w:val="Heading2"/>
        <w:rPr>
          <w:lang w:val="en-GB"/>
        </w:rPr>
      </w:pPr>
      <w:bookmarkStart w:id="5" w:name="_Toc361737957"/>
      <w:r w:rsidRPr="006270D2">
        <w:rPr>
          <w:lang w:val="en-GB"/>
        </w:rPr>
        <w:t>Definition of impact assessment</w:t>
      </w:r>
      <w:bookmarkEnd w:id="5"/>
    </w:p>
    <w:p w:rsidR="00512D88" w:rsidRPr="006270D2" w:rsidRDefault="00942716" w:rsidP="00D27AC6">
      <w:pPr>
        <w:rPr>
          <w:lang w:val="en-GB"/>
        </w:rPr>
      </w:pPr>
      <w:r w:rsidRPr="006270D2">
        <w:rPr>
          <w:lang w:val="en-GB"/>
        </w:rPr>
        <w:t>Impact assessment is primarily used to inform decision making related to policies, programs, plans and projects. It is both a technical analytical tool for analysis of consequences and a legal procedure often linked to, for example, environmental permit processes.</w:t>
      </w:r>
      <w:r>
        <w:rPr>
          <w:lang w:val="en-GB"/>
        </w:rPr>
        <w:t xml:space="preserve"> </w:t>
      </w:r>
      <w:r w:rsidR="009D5537" w:rsidRPr="006270D2">
        <w:rPr>
          <w:lang w:val="en-GB"/>
        </w:rPr>
        <w:t>Impact assessment in its simplest form is defined as the process of identifying the future consequences of a current or proposed action</w:t>
      </w:r>
      <w:r w:rsidR="00255BC4" w:rsidRPr="006270D2">
        <w:rPr>
          <w:rStyle w:val="FootnoteReference"/>
          <w:lang w:val="en-GB"/>
        </w:rPr>
        <w:footnoteReference w:id="1"/>
      </w:r>
      <w:r w:rsidR="009D5537" w:rsidRPr="006270D2">
        <w:rPr>
          <w:lang w:val="en-GB"/>
        </w:rPr>
        <w:t>.</w:t>
      </w:r>
      <w:r w:rsidR="00255BC4" w:rsidRPr="006270D2">
        <w:rPr>
          <w:lang w:val="en-GB"/>
        </w:rPr>
        <w:t xml:space="preserve"> </w:t>
      </w:r>
      <w:r w:rsidR="00237C28" w:rsidRPr="006270D2">
        <w:rPr>
          <w:lang w:val="en-GB"/>
        </w:rPr>
        <w:t>Here, i</w:t>
      </w:r>
      <w:r w:rsidR="000C0D19" w:rsidRPr="006270D2">
        <w:rPr>
          <w:lang w:val="en-GB"/>
        </w:rPr>
        <w:t>mpact is defined as the difference between what would happen if the action is implemented and if it is not implemented</w:t>
      </w:r>
      <w:r w:rsidR="000C0D19" w:rsidRPr="006270D2">
        <w:rPr>
          <w:rStyle w:val="FootnoteReference"/>
          <w:lang w:val="en-GB"/>
        </w:rPr>
        <w:footnoteReference w:id="2"/>
      </w:r>
      <w:r w:rsidR="000C0D19" w:rsidRPr="006270D2">
        <w:rPr>
          <w:lang w:val="en-GB"/>
        </w:rPr>
        <w:t xml:space="preserve">. </w:t>
      </w:r>
      <w:r w:rsidR="00512D88" w:rsidRPr="006270D2">
        <w:rPr>
          <w:lang w:val="en-GB"/>
        </w:rPr>
        <w:t>Impact assessment aims to</w:t>
      </w:r>
      <w:r w:rsidR="00512D88" w:rsidRPr="006270D2">
        <w:rPr>
          <w:rStyle w:val="FootnoteReference"/>
          <w:lang w:val="en-GB"/>
        </w:rPr>
        <w:footnoteReference w:id="3"/>
      </w:r>
      <w:r w:rsidR="00512D88" w:rsidRPr="006270D2">
        <w:rPr>
          <w:lang w:val="en-GB"/>
        </w:rPr>
        <w:t>:</w:t>
      </w:r>
    </w:p>
    <w:p w:rsidR="00C82F91" w:rsidRDefault="00512D88">
      <w:pPr>
        <w:pStyle w:val="Bulletedlist"/>
        <w:rPr>
          <w:lang w:val="en-GB"/>
        </w:rPr>
      </w:pPr>
      <w:r w:rsidRPr="006270D2">
        <w:rPr>
          <w:lang w:val="en-GB"/>
        </w:rPr>
        <w:t xml:space="preserve">Provide information for decision making that analyses the biophysical, social, economic and </w:t>
      </w:r>
      <w:r w:rsidR="00576052">
        <w:rPr>
          <w:lang w:val="en-GB"/>
        </w:rPr>
        <w:t xml:space="preserve">sometimes also </w:t>
      </w:r>
      <w:r w:rsidRPr="006270D2">
        <w:rPr>
          <w:lang w:val="en-GB"/>
        </w:rPr>
        <w:t xml:space="preserve">institutional consequences of proposed actions. </w:t>
      </w:r>
    </w:p>
    <w:p w:rsidR="00C82F91" w:rsidRDefault="00512D88">
      <w:pPr>
        <w:pStyle w:val="Bulletedlist"/>
        <w:rPr>
          <w:lang w:val="en-GB"/>
        </w:rPr>
      </w:pPr>
      <w:r w:rsidRPr="006270D2">
        <w:rPr>
          <w:lang w:val="en-GB"/>
        </w:rPr>
        <w:t>Promote transparency and participation of the public in decision making.</w:t>
      </w:r>
    </w:p>
    <w:p w:rsidR="00C82F91" w:rsidRDefault="00512D88">
      <w:pPr>
        <w:pStyle w:val="Bulletedlist"/>
        <w:rPr>
          <w:lang w:val="en-GB"/>
        </w:rPr>
      </w:pPr>
      <w:r w:rsidRPr="006270D2">
        <w:rPr>
          <w:lang w:val="en-GB"/>
        </w:rPr>
        <w:lastRenderedPageBreak/>
        <w:t>Identify procedures and methods for the follow-up (monitoring and mitigation of adverse consequences) in policy, planning and project cycles.</w:t>
      </w:r>
    </w:p>
    <w:p w:rsidR="00C82F91" w:rsidRDefault="00512D88">
      <w:pPr>
        <w:pStyle w:val="Bulletedlist"/>
        <w:rPr>
          <w:lang w:val="en-GB"/>
        </w:rPr>
      </w:pPr>
      <w:r w:rsidRPr="006270D2">
        <w:rPr>
          <w:lang w:val="en-GB"/>
        </w:rPr>
        <w:t>Contribute to environmentally sound and sustainable development.</w:t>
      </w:r>
    </w:p>
    <w:p w:rsidR="00373DD8" w:rsidRPr="006270D2" w:rsidRDefault="00237C28" w:rsidP="00D27AC6">
      <w:pPr>
        <w:rPr>
          <w:lang w:val="en-GB"/>
        </w:rPr>
      </w:pPr>
      <w:r w:rsidRPr="006270D2">
        <w:rPr>
          <w:lang w:val="en-GB"/>
        </w:rPr>
        <w:t>As the aims listed above suggest, many different types of impacts can be assessed and the assessment itself can be used for a multitude of purposes. The following sections will elaborate on the types of impact assessments and the related challenges.</w:t>
      </w:r>
    </w:p>
    <w:p w:rsidR="00220533" w:rsidRPr="006270D2" w:rsidRDefault="00220533" w:rsidP="00373DD8">
      <w:pPr>
        <w:pStyle w:val="Heading2"/>
        <w:rPr>
          <w:lang w:val="en-GB"/>
        </w:rPr>
      </w:pPr>
      <w:bookmarkStart w:id="6" w:name="_Toc361737958"/>
      <w:r w:rsidRPr="006270D2">
        <w:rPr>
          <w:lang w:val="en-GB"/>
        </w:rPr>
        <w:t>Types of impact assessments</w:t>
      </w:r>
      <w:bookmarkEnd w:id="6"/>
    </w:p>
    <w:p w:rsidR="00257294" w:rsidRPr="006270D2" w:rsidRDefault="00036FDD" w:rsidP="00257294">
      <w:pPr>
        <w:rPr>
          <w:lang w:val="en-GB"/>
        </w:rPr>
      </w:pPr>
      <w:r>
        <w:rPr>
          <w:lang w:val="en-GB"/>
        </w:rPr>
        <w:t xml:space="preserve">Given the wide range of application of impact assessment, </w:t>
      </w:r>
      <w:r w:rsidR="0081622E" w:rsidRPr="006270D2">
        <w:rPr>
          <w:lang w:val="en-GB"/>
        </w:rPr>
        <w:t xml:space="preserve">different approaches have been developed to deal with different types of impacts. The most established type of impact assessment is Environmental Impact Assessment (EIA), which </w:t>
      </w:r>
      <w:r w:rsidR="00257294" w:rsidRPr="006270D2">
        <w:rPr>
          <w:lang w:val="en-GB"/>
        </w:rPr>
        <w:t>emerged</w:t>
      </w:r>
      <w:r w:rsidR="0081622E" w:rsidRPr="006270D2">
        <w:rPr>
          <w:lang w:val="en-GB"/>
        </w:rPr>
        <w:t xml:space="preserve"> in the 1960s </w:t>
      </w:r>
      <w:r w:rsidR="00257294" w:rsidRPr="006270D2">
        <w:rPr>
          <w:lang w:val="en-GB"/>
        </w:rPr>
        <w:t xml:space="preserve">in the wake of rising </w:t>
      </w:r>
      <w:r w:rsidR="0081622E" w:rsidRPr="006270D2">
        <w:rPr>
          <w:lang w:val="en-GB"/>
        </w:rPr>
        <w:t>concerns in developed economies about the impact of human activities on human health and on the biophysical environment</w:t>
      </w:r>
      <w:r w:rsidR="00257294" w:rsidRPr="006270D2">
        <w:rPr>
          <w:rStyle w:val="FootnoteReference"/>
          <w:lang w:val="en-GB"/>
        </w:rPr>
        <w:footnoteReference w:id="4"/>
      </w:r>
      <w:r w:rsidR="00257294" w:rsidRPr="006270D2">
        <w:rPr>
          <w:lang w:val="en-GB"/>
        </w:rPr>
        <w:t>. EIA has since developed into a legal requirement in the majority of countries.</w:t>
      </w:r>
    </w:p>
    <w:p w:rsidR="00867F5A" w:rsidRPr="006270D2" w:rsidRDefault="00785864" w:rsidP="00E729BB">
      <w:pPr>
        <w:rPr>
          <w:lang w:val="en-GB"/>
        </w:rPr>
      </w:pPr>
      <w:r w:rsidRPr="006270D2">
        <w:rPr>
          <w:lang w:val="en-GB"/>
        </w:rPr>
        <w:t>Environmental and Social Impact Assessment (ESIA) is an extension of the EIA that also includes social impacts. When economic impacts are also assessed, one can also refer to “Sustainability Assessment”</w:t>
      </w:r>
      <w:r w:rsidRPr="006270D2">
        <w:rPr>
          <w:rStyle w:val="FootnoteReference"/>
          <w:lang w:val="en-GB"/>
        </w:rPr>
        <w:footnoteReference w:id="5"/>
      </w:r>
      <w:r w:rsidRPr="006270D2">
        <w:rPr>
          <w:lang w:val="en-GB"/>
        </w:rPr>
        <w:t xml:space="preserve">. </w:t>
      </w:r>
    </w:p>
    <w:p w:rsidR="00E729BB" w:rsidRPr="006270D2" w:rsidRDefault="00543520" w:rsidP="00E729BB">
      <w:pPr>
        <w:rPr>
          <w:lang w:val="en-GB"/>
        </w:rPr>
      </w:pPr>
      <w:r w:rsidRPr="006270D2">
        <w:rPr>
          <w:lang w:val="en-GB"/>
        </w:rPr>
        <w:t>Impact assessments can be applied to a wide range of actions, for example, to the construction of an industrial facility, to the development of public policy</w:t>
      </w:r>
      <w:r w:rsidR="008859AB" w:rsidRPr="006270D2">
        <w:rPr>
          <w:lang w:val="en-GB"/>
        </w:rPr>
        <w:t xml:space="preserve"> intervention</w:t>
      </w:r>
      <w:r w:rsidRPr="006270D2">
        <w:rPr>
          <w:lang w:val="en-GB"/>
        </w:rPr>
        <w:t>, or to the development of new business ventures.</w:t>
      </w:r>
      <w:r w:rsidR="00A24CEB" w:rsidRPr="006270D2">
        <w:rPr>
          <w:lang w:val="en-GB"/>
        </w:rPr>
        <w:t xml:space="preserve"> The types of methodologies used will therefore depend not only on the type of assessment but on the application.</w:t>
      </w:r>
      <w:r w:rsidR="00DE41A5" w:rsidRPr="006270D2">
        <w:rPr>
          <w:lang w:val="en-GB"/>
        </w:rPr>
        <w:t xml:space="preserve"> This report will focus on methodologies used for impact assessment of new business ventures.</w:t>
      </w:r>
    </w:p>
    <w:p w:rsidR="00220533" w:rsidRPr="006270D2" w:rsidRDefault="00220533" w:rsidP="00373DD8">
      <w:pPr>
        <w:pStyle w:val="Heading2"/>
        <w:rPr>
          <w:lang w:val="en-GB"/>
        </w:rPr>
      </w:pPr>
      <w:bookmarkStart w:id="7" w:name="_Toc361737959"/>
      <w:r w:rsidRPr="006270D2">
        <w:rPr>
          <w:lang w:val="en-GB"/>
        </w:rPr>
        <w:t>Challenges of impact assessment</w:t>
      </w:r>
      <w:bookmarkEnd w:id="7"/>
    </w:p>
    <w:p w:rsidR="00005F15" w:rsidRPr="006270D2" w:rsidRDefault="00E27C0F" w:rsidP="008859AB">
      <w:pPr>
        <w:rPr>
          <w:lang w:val="en-GB"/>
        </w:rPr>
      </w:pPr>
      <w:r w:rsidRPr="006270D2">
        <w:rPr>
          <w:lang w:val="en-GB"/>
        </w:rPr>
        <w:t xml:space="preserve">One of the main challenges of impact assessment is the multitude of impacts that can occur from </w:t>
      </w:r>
      <w:r w:rsidR="00612BB5" w:rsidRPr="006270D2">
        <w:rPr>
          <w:lang w:val="en-GB"/>
        </w:rPr>
        <w:t>one single action</w:t>
      </w:r>
      <w:r w:rsidR="00DE41A5" w:rsidRPr="006270D2">
        <w:rPr>
          <w:lang w:val="en-GB"/>
        </w:rPr>
        <w:t xml:space="preserve">. </w:t>
      </w:r>
      <w:r w:rsidR="00612BB5" w:rsidRPr="006270D2">
        <w:rPr>
          <w:lang w:val="en-GB"/>
        </w:rPr>
        <w:t>Direct impacts (impacts immediately resulting from the action</w:t>
      </w:r>
      <w:r w:rsidR="00612BB5" w:rsidRPr="006270D2">
        <w:rPr>
          <w:rStyle w:val="FootnoteReference"/>
          <w:lang w:val="en-GB"/>
        </w:rPr>
        <w:footnoteReference w:id="6"/>
      </w:r>
      <w:r w:rsidR="00612BB5" w:rsidRPr="006270D2">
        <w:rPr>
          <w:lang w:val="en-GB"/>
        </w:rPr>
        <w:t>) are often easier to identify</w:t>
      </w:r>
      <w:r w:rsidR="00473E24" w:rsidRPr="006270D2">
        <w:rPr>
          <w:lang w:val="en-GB"/>
        </w:rPr>
        <w:t xml:space="preserve"> and measure compared with indirect impacts (consequences of direct impacts</w:t>
      </w:r>
      <w:r w:rsidR="00473E24" w:rsidRPr="006270D2">
        <w:rPr>
          <w:rStyle w:val="FootnoteReference"/>
          <w:lang w:val="en-GB"/>
        </w:rPr>
        <w:footnoteReference w:id="7"/>
      </w:r>
      <w:r w:rsidR="00473E24" w:rsidRPr="006270D2">
        <w:rPr>
          <w:lang w:val="en-GB"/>
        </w:rPr>
        <w:t>). For example, in the case of developing a new business, it is easier to identify and measure the revenues gained from the new business compared to the extent of benefits society as a whole will gain.</w:t>
      </w:r>
      <w:r w:rsidR="00005F15" w:rsidRPr="006270D2">
        <w:rPr>
          <w:lang w:val="en-GB"/>
        </w:rPr>
        <w:t xml:space="preserve"> </w:t>
      </w:r>
      <w:r w:rsidR="00E10712" w:rsidRPr="006270D2">
        <w:rPr>
          <w:lang w:val="en-GB"/>
        </w:rPr>
        <w:t>Different methodologies exist for identifying different types of impacts, but the available data often limits the extent of impacts that can be included in an assessment.</w:t>
      </w:r>
    </w:p>
    <w:p w:rsidR="00DB2C8E" w:rsidRPr="006270D2" w:rsidRDefault="00DB2C8E" w:rsidP="008859AB">
      <w:pPr>
        <w:rPr>
          <w:lang w:val="en-GB"/>
        </w:rPr>
      </w:pPr>
      <w:r w:rsidRPr="006270D2">
        <w:rPr>
          <w:lang w:val="en-GB"/>
        </w:rPr>
        <w:t xml:space="preserve">In addition to the distinction of direct and indirect impacts, </w:t>
      </w:r>
      <w:r w:rsidR="003B1D41" w:rsidRPr="006270D2">
        <w:rPr>
          <w:lang w:val="en-GB"/>
        </w:rPr>
        <w:t>the time span of the action plays a critical role in impact assessment. The impact of some actions will be detectable immediately upon implementation and other</w:t>
      </w:r>
      <w:r w:rsidR="00942716">
        <w:rPr>
          <w:lang w:val="en-GB"/>
        </w:rPr>
        <w:t xml:space="preserve"> impact</w:t>
      </w:r>
      <w:r w:rsidR="003B1D41" w:rsidRPr="006270D2">
        <w:rPr>
          <w:lang w:val="en-GB"/>
        </w:rPr>
        <w:t xml:space="preserve">s will take time to reveal themselves. Not only is it more challenging to </w:t>
      </w:r>
      <w:r w:rsidR="003B1D41" w:rsidRPr="006270D2">
        <w:rPr>
          <w:lang w:val="en-GB"/>
        </w:rPr>
        <w:lastRenderedPageBreak/>
        <w:t xml:space="preserve">identify these slowly emerging impacts, but by the time they </w:t>
      </w:r>
      <w:r w:rsidR="00C45425" w:rsidRPr="006270D2">
        <w:rPr>
          <w:lang w:val="en-GB"/>
        </w:rPr>
        <w:t xml:space="preserve">are observed and their scale </w:t>
      </w:r>
      <w:r w:rsidR="00951C17" w:rsidRPr="006270D2">
        <w:rPr>
          <w:lang w:val="en-GB"/>
        </w:rPr>
        <w:t xml:space="preserve">fully </w:t>
      </w:r>
      <w:r w:rsidR="00C45425" w:rsidRPr="006270D2">
        <w:rPr>
          <w:lang w:val="en-GB"/>
        </w:rPr>
        <w:t xml:space="preserve">understood, it is often too late to influence them. While the main reason to conduct an impact assessment is to identify future consequences, and assessment are often applied to enable decision makers to maximise positive impacts and avoid </w:t>
      </w:r>
      <w:r w:rsidR="00951C17" w:rsidRPr="006270D2">
        <w:rPr>
          <w:lang w:val="en-GB"/>
        </w:rPr>
        <w:t>(</w:t>
      </w:r>
      <w:r w:rsidR="00C45425" w:rsidRPr="006270D2">
        <w:rPr>
          <w:lang w:val="en-GB"/>
        </w:rPr>
        <w:t>or at least min</w:t>
      </w:r>
      <w:r w:rsidR="00951C17" w:rsidRPr="006270D2">
        <w:rPr>
          <w:lang w:val="en-GB"/>
        </w:rPr>
        <w:t xml:space="preserve">imise) negative impacts, the ability to influence future impacts is limited. However, having conducted an impact assessment enables decision makers to better prepare for </w:t>
      </w:r>
      <w:r w:rsidR="00EE27D8" w:rsidRPr="006270D2">
        <w:rPr>
          <w:lang w:val="en-GB"/>
        </w:rPr>
        <w:t>different possible futures and a wider range of potential impacts.</w:t>
      </w:r>
    </w:p>
    <w:p w:rsidR="008859AB" w:rsidRPr="002A0651" w:rsidRDefault="00005F15" w:rsidP="008859AB">
      <w:pPr>
        <w:rPr>
          <w:lang w:val="en-GB"/>
        </w:rPr>
      </w:pPr>
      <w:r w:rsidRPr="006270D2">
        <w:rPr>
          <w:lang w:val="en-GB"/>
        </w:rPr>
        <w:t>Another challenge is the identification and validation of cause-effect relationships</w:t>
      </w:r>
      <w:r w:rsidR="00D20FE4" w:rsidRPr="006270D2">
        <w:rPr>
          <w:lang w:val="en-GB"/>
        </w:rPr>
        <w:t xml:space="preserve">: </w:t>
      </w:r>
      <w:r w:rsidR="00942716">
        <w:rPr>
          <w:lang w:val="en-GB"/>
        </w:rPr>
        <w:t>F</w:t>
      </w:r>
      <w:r w:rsidR="00D20FE4" w:rsidRPr="006270D2">
        <w:rPr>
          <w:lang w:val="en-GB"/>
        </w:rPr>
        <w:t>or example, how can environmental improvements</w:t>
      </w:r>
      <w:r w:rsidR="00BD497E" w:rsidRPr="006270D2">
        <w:rPr>
          <w:lang w:val="en-GB"/>
        </w:rPr>
        <w:t xml:space="preserve"> (e.g. a reduction in energy consumption)</w:t>
      </w:r>
      <w:r w:rsidR="00D20FE4" w:rsidRPr="006270D2">
        <w:rPr>
          <w:lang w:val="en-GB"/>
        </w:rPr>
        <w:t xml:space="preserve"> be traced back and attributed to the provision of a new service by a company</w:t>
      </w:r>
      <w:r w:rsidR="00D20FE4" w:rsidRPr="002A0651">
        <w:rPr>
          <w:lang w:val="en-GB"/>
        </w:rPr>
        <w:t>?</w:t>
      </w:r>
      <w:r w:rsidR="00E10712" w:rsidRPr="002A0651">
        <w:rPr>
          <w:lang w:val="en-GB"/>
        </w:rPr>
        <w:t xml:space="preserve"> Many different types of methodologies have also been developed for mapping these relationships (see </w:t>
      </w:r>
      <w:r w:rsidR="00576052">
        <w:rPr>
          <w:lang w:val="en-GB"/>
        </w:rPr>
        <w:t>section 2</w:t>
      </w:r>
      <w:r w:rsidR="00C16C03" w:rsidRPr="002A0651">
        <w:rPr>
          <w:lang w:val="en-GB"/>
        </w:rPr>
        <w:t>.7</w:t>
      </w:r>
      <w:r w:rsidR="00E10712" w:rsidRPr="002A0651">
        <w:rPr>
          <w:lang w:val="en-GB"/>
        </w:rPr>
        <w:t>)</w:t>
      </w:r>
      <w:r w:rsidR="00DB2C8E" w:rsidRPr="002A0651">
        <w:rPr>
          <w:lang w:val="en-GB"/>
        </w:rPr>
        <w:t>.</w:t>
      </w:r>
      <w:r w:rsidR="00E10712" w:rsidRPr="002A0651">
        <w:rPr>
          <w:lang w:val="en-GB"/>
        </w:rPr>
        <w:t xml:space="preserve"> </w:t>
      </w:r>
      <w:r w:rsidR="00DB2C8E" w:rsidRPr="002A0651">
        <w:rPr>
          <w:lang w:val="en-GB"/>
        </w:rPr>
        <w:t>H</w:t>
      </w:r>
      <w:r w:rsidR="00E10712" w:rsidRPr="002A0651">
        <w:rPr>
          <w:lang w:val="en-GB"/>
        </w:rPr>
        <w:t>owever, the</w:t>
      </w:r>
      <w:r w:rsidR="00EE27D8" w:rsidRPr="002A0651">
        <w:rPr>
          <w:lang w:val="en-GB"/>
        </w:rPr>
        <w:t xml:space="preserve">se are </w:t>
      </w:r>
      <w:r w:rsidR="00576052">
        <w:rPr>
          <w:lang w:val="en-GB"/>
        </w:rPr>
        <w:t xml:space="preserve">often </w:t>
      </w:r>
      <w:r w:rsidR="00EE27D8" w:rsidRPr="002A0651">
        <w:rPr>
          <w:lang w:val="en-GB"/>
        </w:rPr>
        <w:t>complex analytical studies and the</w:t>
      </w:r>
      <w:r w:rsidR="00E10712" w:rsidRPr="002A0651">
        <w:rPr>
          <w:lang w:val="en-GB"/>
        </w:rPr>
        <w:t>oretical approaches always have their limitations when applied to the “real”</w:t>
      </w:r>
      <w:r w:rsidR="00EE27D8" w:rsidRPr="002A0651">
        <w:rPr>
          <w:lang w:val="en-GB"/>
        </w:rPr>
        <w:t xml:space="preserve"> world. Impacts often also result as consequences from </w:t>
      </w:r>
      <w:r w:rsidR="00C502F9" w:rsidRPr="002A0651">
        <w:rPr>
          <w:lang w:val="en-GB"/>
        </w:rPr>
        <w:t>several different</w:t>
      </w:r>
      <w:r w:rsidR="00EE27D8" w:rsidRPr="002A0651">
        <w:rPr>
          <w:lang w:val="en-GB"/>
        </w:rPr>
        <w:t xml:space="preserve"> types of actions</w:t>
      </w:r>
      <w:r w:rsidR="00C502F9" w:rsidRPr="002A0651">
        <w:rPr>
          <w:lang w:val="en-GB"/>
        </w:rPr>
        <w:t>. It can be challenging to argue what the specific contributions of individual actions have been to the final impact.</w:t>
      </w:r>
      <w:r w:rsidR="00BD497E" w:rsidRPr="002A0651">
        <w:rPr>
          <w:lang w:val="en-GB"/>
        </w:rPr>
        <w:t xml:space="preserve"> For example, a reduction in energy consumption may be the result of a new tax incentive</w:t>
      </w:r>
      <w:r w:rsidR="00D94FEE" w:rsidRPr="002A0651">
        <w:rPr>
          <w:lang w:val="en-GB"/>
        </w:rPr>
        <w:t>, an increase in energy prices</w:t>
      </w:r>
      <w:r w:rsidR="00942716" w:rsidRPr="002A0651">
        <w:rPr>
          <w:lang w:val="en-GB"/>
        </w:rPr>
        <w:t>,</w:t>
      </w:r>
      <w:r w:rsidR="00D94FEE" w:rsidRPr="002A0651">
        <w:rPr>
          <w:lang w:val="en-GB"/>
        </w:rPr>
        <w:t xml:space="preserve"> or improved</w:t>
      </w:r>
      <w:r w:rsidR="00E125CA" w:rsidRPr="002A0651">
        <w:rPr>
          <w:lang w:val="en-GB"/>
        </w:rPr>
        <w:t xml:space="preserve"> </w:t>
      </w:r>
      <w:r w:rsidR="00BD497E" w:rsidRPr="002A0651">
        <w:rPr>
          <w:lang w:val="en-GB"/>
        </w:rPr>
        <w:t>access to consumption data</w:t>
      </w:r>
      <w:r w:rsidR="00E125CA" w:rsidRPr="002A0651">
        <w:rPr>
          <w:lang w:val="en-GB"/>
        </w:rPr>
        <w:t xml:space="preserve"> for the consumer, or a combination of these actions/events.</w:t>
      </w:r>
    </w:p>
    <w:p w:rsidR="00E10712" w:rsidRPr="006270D2" w:rsidRDefault="00E10712" w:rsidP="008859AB">
      <w:pPr>
        <w:rPr>
          <w:lang w:val="en-GB"/>
        </w:rPr>
      </w:pPr>
      <w:r w:rsidRPr="002A0651">
        <w:rPr>
          <w:lang w:val="en-GB"/>
        </w:rPr>
        <w:t xml:space="preserve">The impacts of an action also vary depending on the phase of implementation. For example, the impacts of planning a project are very different from those of the pilot, implementation, monitoring and closing </w:t>
      </w:r>
      <w:r w:rsidR="00DB2C8E" w:rsidRPr="002A0651">
        <w:rPr>
          <w:lang w:val="en-GB"/>
        </w:rPr>
        <w:t xml:space="preserve">phases </w:t>
      </w:r>
      <w:r w:rsidRPr="002A0651">
        <w:rPr>
          <w:lang w:val="en-GB"/>
        </w:rPr>
        <w:t xml:space="preserve">of a project. Each phase involves a different group of stakeholders that </w:t>
      </w:r>
      <w:r w:rsidR="00DB2C8E" w:rsidRPr="002A0651">
        <w:rPr>
          <w:lang w:val="en-GB"/>
        </w:rPr>
        <w:t>more or less willingly will influence the impacts. This makes impact assessment a dynamic and iterative process</w:t>
      </w:r>
      <w:r w:rsidRPr="002A0651">
        <w:rPr>
          <w:lang w:val="en-GB"/>
        </w:rPr>
        <w:t xml:space="preserve"> </w:t>
      </w:r>
      <w:r w:rsidR="00DB2C8E" w:rsidRPr="002A0651">
        <w:rPr>
          <w:lang w:val="en-GB"/>
        </w:rPr>
        <w:t>– impacts identified at the planning phase are likely to significantly differ from those of the implementation phase.</w:t>
      </w:r>
      <w:r w:rsidR="00E125CA" w:rsidRPr="002A0651">
        <w:rPr>
          <w:lang w:val="en-GB"/>
        </w:rPr>
        <w:t xml:space="preserve"> This is also why the aim of identifying </w:t>
      </w:r>
      <w:r w:rsidR="00512D88" w:rsidRPr="002A0651">
        <w:rPr>
          <w:lang w:val="en-GB"/>
        </w:rPr>
        <w:t>procedures and methods for follow-up</w:t>
      </w:r>
      <w:r w:rsidR="00E125CA" w:rsidRPr="002A0651">
        <w:rPr>
          <w:lang w:val="en-GB"/>
        </w:rPr>
        <w:t xml:space="preserve"> are</w:t>
      </w:r>
      <w:r w:rsidR="00E125CA" w:rsidRPr="006270D2">
        <w:rPr>
          <w:lang w:val="en-GB"/>
        </w:rPr>
        <w:t xml:space="preserve"> important.</w:t>
      </w:r>
    </w:p>
    <w:p w:rsidR="006270D2" w:rsidRPr="006270D2" w:rsidRDefault="006270D2" w:rsidP="00040850">
      <w:pPr>
        <w:pStyle w:val="Heading2"/>
        <w:rPr>
          <w:lang w:val="en-GB"/>
        </w:rPr>
      </w:pPr>
      <w:bookmarkStart w:id="8" w:name="_Toc361737960"/>
      <w:bookmarkStart w:id="9" w:name="_Toc222069773"/>
      <w:bookmarkStart w:id="10" w:name="_Toc223104187"/>
      <w:r w:rsidRPr="006270D2">
        <w:rPr>
          <w:lang w:val="en-GB"/>
        </w:rPr>
        <w:t>Objectives for impact assessment</w:t>
      </w:r>
      <w:bookmarkEnd w:id="8"/>
    </w:p>
    <w:p w:rsidR="00775348" w:rsidRDefault="006270D2" w:rsidP="006270D2">
      <w:pPr>
        <w:rPr>
          <w:lang w:val="en-GB"/>
        </w:rPr>
      </w:pPr>
      <w:r>
        <w:rPr>
          <w:lang w:val="en-GB"/>
        </w:rPr>
        <w:t xml:space="preserve">As with any analysis exercise, clear objectives must be set at the beginning for an impact assessment. This includes a </w:t>
      </w:r>
      <w:r w:rsidR="00B60A85">
        <w:rPr>
          <w:lang w:val="en-GB"/>
        </w:rPr>
        <w:t xml:space="preserve">statement </w:t>
      </w:r>
      <w:r>
        <w:rPr>
          <w:lang w:val="en-GB"/>
        </w:rPr>
        <w:t xml:space="preserve">of </w:t>
      </w:r>
      <w:r w:rsidR="00B60A85">
        <w:rPr>
          <w:lang w:val="en-GB"/>
        </w:rPr>
        <w:t xml:space="preserve">the purpose of the impact assessment. </w:t>
      </w:r>
      <w:r w:rsidR="00775348">
        <w:rPr>
          <w:lang w:val="en-GB"/>
        </w:rPr>
        <w:t>For example, objectives of an environmental impact assessment could include</w:t>
      </w:r>
      <w:r w:rsidR="00775348">
        <w:rPr>
          <w:rStyle w:val="FootnoteReference"/>
          <w:lang w:val="en-GB"/>
        </w:rPr>
        <w:footnoteReference w:id="8"/>
      </w:r>
      <w:r w:rsidR="00775348">
        <w:rPr>
          <w:lang w:val="en-GB"/>
        </w:rPr>
        <w:t>:</w:t>
      </w:r>
    </w:p>
    <w:p w:rsidR="00C82F91" w:rsidRDefault="00775348">
      <w:pPr>
        <w:pStyle w:val="Bulletedlist"/>
        <w:rPr>
          <w:lang w:val="en-GB"/>
        </w:rPr>
      </w:pPr>
      <w:r w:rsidRPr="00775348">
        <w:rPr>
          <w:lang w:val="en-GB"/>
        </w:rPr>
        <w:t>To ensure that environmental considerations are explicitly addressed and incorporated into the development</w:t>
      </w:r>
      <w:r>
        <w:rPr>
          <w:lang w:val="en-GB"/>
        </w:rPr>
        <w:t xml:space="preserve"> </w:t>
      </w:r>
      <w:r w:rsidRPr="00775348">
        <w:rPr>
          <w:lang w:val="en-GB"/>
        </w:rPr>
        <w:t>decision making process;</w:t>
      </w:r>
    </w:p>
    <w:p w:rsidR="00C82F91" w:rsidRDefault="00775348">
      <w:pPr>
        <w:pStyle w:val="Bulletedlist"/>
        <w:rPr>
          <w:lang w:val="en-GB"/>
        </w:rPr>
      </w:pPr>
      <w:r w:rsidRPr="00775348">
        <w:rPr>
          <w:lang w:val="en-GB"/>
        </w:rPr>
        <w:t>To anticipate and avoid, minimize or offset the adverse significant biophysical, social and other relevant effects of</w:t>
      </w:r>
      <w:r>
        <w:rPr>
          <w:lang w:val="en-GB"/>
        </w:rPr>
        <w:t xml:space="preserve"> </w:t>
      </w:r>
      <w:r w:rsidRPr="00775348">
        <w:rPr>
          <w:lang w:val="en-GB"/>
        </w:rPr>
        <w:t>development proposals;</w:t>
      </w:r>
    </w:p>
    <w:p w:rsidR="00C82F91" w:rsidRDefault="00775348">
      <w:pPr>
        <w:pStyle w:val="Bulletedlist"/>
        <w:rPr>
          <w:lang w:val="en-GB"/>
        </w:rPr>
      </w:pPr>
      <w:r w:rsidRPr="00775348">
        <w:rPr>
          <w:lang w:val="en-GB"/>
        </w:rPr>
        <w:t>To promote development that is sustainable and optimizes resource use and management opportunities.</w:t>
      </w:r>
    </w:p>
    <w:p w:rsidR="00EB396C" w:rsidRDefault="00EB396C" w:rsidP="00EB396C">
      <w:pPr>
        <w:rPr>
          <w:lang w:val="en-GB"/>
        </w:rPr>
      </w:pPr>
      <w:r>
        <w:rPr>
          <w:lang w:val="en-GB"/>
        </w:rPr>
        <w:lastRenderedPageBreak/>
        <w:t>The set objectives will guide the process and help to evaluate whether the impact assessment was successful.</w:t>
      </w:r>
      <w:r w:rsidR="00D111BB">
        <w:rPr>
          <w:lang w:val="en-GB"/>
        </w:rPr>
        <w:t xml:space="preserve"> </w:t>
      </w:r>
      <w:r w:rsidR="009C55D3">
        <w:rPr>
          <w:lang w:val="en-GB"/>
        </w:rPr>
        <w:t>More concrete o</w:t>
      </w:r>
      <w:r w:rsidR="00576052">
        <w:rPr>
          <w:lang w:val="en-GB"/>
        </w:rPr>
        <w:t xml:space="preserve">bjectives for the </w:t>
      </w:r>
      <w:r w:rsidR="009C55D3">
        <w:rPr>
          <w:lang w:val="en-GB"/>
        </w:rPr>
        <w:t>impact assessment for the EDF Platform are proposed in Table 1.</w:t>
      </w:r>
    </w:p>
    <w:p w:rsidR="00D27AC6" w:rsidRPr="006270D2" w:rsidRDefault="00654AD0" w:rsidP="00040850">
      <w:pPr>
        <w:pStyle w:val="Heading2"/>
        <w:rPr>
          <w:lang w:val="en-GB"/>
        </w:rPr>
      </w:pPr>
      <w:bookmarkStart w:id="11" w:name="_Toc361737961"/>
      <w:r w:rsidRPr="006270D2">
        <w:rPr>
          <w:lang w:val="en-GB"/>
        </w:rPr>
        <w:t>Impact assessment target groups</w:t>
      </w:r>
      <w:bookmarkEnd w:id="9"/>
      <w:bookmarkEnd w:id="10"/>
      <w:bookmarkEnd w:id="11"/>
    </w:p>
    <w:p w:rsidR="002C19A6" w:rsidRPr="006270D2" w:rsidRDefault="00E5421F" w:rsidP="00D27AC6">
      <w:pPr>
        <w:rPr>
          <w:lang w:val="en-GB"/>
        </w:rPr>
      </w:pPr>
      <w:r w:rsidRPr="006270D2">
        <w:rPr>
          <w:lang w:val="en-GB"/>
        </w:rPr>
        <w:t xml:space="preserve">In defining the impact assessment target groups, it is important to ensure these provide a balanced view of the </w:t>
      </w:r>
      <w:r w:rsidR="00D111BB">
        <w:rPr>
          <w:lang w:val="en-GB"/>
        </w:rPr>
        <w:t>various</w:t>
      </w:r>
      <w:r w:rsidR="00D111BB" w:rsidRPr="006270D2">
        <w:rPr>
          <w:lang w:val="en-GB"/>
        </w:rPr>
        <w:t xml:space="preserve"> </w:t>
      </w:r>
      <w:r w:rsidRPr="006270D2">
        <w:rPr>
          <w:lang w:val="en-GB"/>
        </w:rPr>
        <w:t xml:space="preserve">impacts. </w:t>
      </w:r>
      <w:r w:rsidR="002C19A6" w:rsidRPr="006270D2">
        <w:rPr>
          <w:lang w:val="en-GB"/>
        </w:rPr>
        <w:t>This includes including</w:t>
      </w:r>
      <w:r w:rsidRPr="006270D2">
        <w:rPr>
          <w:lang w:val="en-GB"/>
        </w:rPr>
        <w:t xml:space="preserve"> target groups with different interests</w:t>
      </w:r>
      <w:r w:rsidR="002C19A6" w:rsidRPr="006270D2">
        <w:rPr>
          <w:lang w:val="en-GB"/>
        </w:rPr>
        <w:t xml:space="preserve"> in the assessment. It should also be noted, that not all target groups will benefit from the actions. However, including them in the assessment can provide valuable insight on what kinds of disadvantages may result from the actions.</w:t>
      </w:r>
    </w:p>
    <w:p w:rsidR="0067178A" w:rsidRPr="006270D2" w:rsidRDefault="00D56E13" w:rsidP="00D27AC6">
      <w:pPr>
        <w:rPr>
          <w:lang w:val="en-GB"/>
        </w:rPr>
      </w:pPr>
      <w:r>
        <w:rPr>
          <w:lang w:val="en-GB"/>
        </w:rPr>
        <w:t>Table 2</w:t>
      </w:r>
      <w:r w:rsidR="002C19A6" w:rsidRPr="006270D2">
        <w:rPr>
          <w:lang w:val="en-GB"/>
        </w:rPr>
        <w:t xml:space="preserve"> presents a generic overview of target groups that may be relevant for EDF Platform actions. Depending on the action, not all will be relevant. Therefore, a first step is to define the relevant target groups for the action being assessed.</w:t>
      </w:r>
      <w:r w:rsidR="007C0830" w:rsidRPr="006270D2">
        <w:rPr>
          <w:lang w:val="en-GB"/>
        </w:rPr>
        <w:t xml:space="preserve"> This will provide a long-list of possible target groups </w:t>
      </w:r>
      <w:r w:rsidR="00713436" w:rsidRPr="006270D2">
        <w:rPr>
          <w:lang w:val="en-GB"/>
        </w:rPr>
        <w:t xml:space="preserve">and it is suggested that this is </w:t>
      </w:r>
      <w:r w:rsidR="006968D1">
        <w:rPr>
          <w:lang w:val="en-GB"/>
        </w:rPr>
        <w:t xml:space="preserve">further </w:t>
      </w:r>
      <w:r w:rsidR="00713436" w:rsidRPr="006270D2">
        <w:rPr>
          <w:lang w:val="en-GB"/>
        </w:rPr>
        <w:t>p</w:t>
      </w:r>
      <w:r w:rsidR="007C0830" w:rsidRPr="006270D2">
        <w:rPr>
          <w:lang w:val="en-GB"/>
        </w:rPr>
        <w:t xml:space="preserve">rioritised </w:t>
      </w:r>
      <w:r w:rsidR="00713436" w:rsidRPr="006270D2">
        <w:rPr>
          <w:lang w:val="en-GB"/>
        </w:rPr>
        <w:t>in order to refine the scope of the assessment.</w:t>
      </w:r>
    </w:p>
    <w:p w:rsidR="0067178A" w:rsidRPr="006270D2" w:rsidRDefault="0067178A" w:rsidP="00D27AC6">
      <w:pPr>
        <w:rPr>
          <w:i/>
          <w:lang w:val="en-GB"/>
        </w:rPr>
      </w:pPr>
      <w:r w:rsidRPr="006270D2">
        <w:rPr>
          <w:b/>
          <w:i/>
          <w:lang w:val="en-GB"/>
        </w:rPr>
        <w:t xml:space="preserve">Table </w:t>
      </w:r>
      <w:r w:rsidR="00D56E13">
        <w:rPr>
          <w:b/>
          <w:i/>
          <w:lang w:val="en-GB"/>
        </w:rPr>
        <w:t>2</w:t>
      </w:r>
      <w:r w:rsidR="00631FD7" w:rsidRPr="006270D2">
        <w:rPr>
          <w:b/>
          <w:i/>
          <w:lang w:val="en-GB"/>
        </w:rPr>
        <w:t>:</w:t>
      </w:r>
      <w:r w:rsidRPr="006270D2">
        <w:rPr>
          <w:i/>
          <w:lang w:val="en-GB"/>
        </w:rPr>
        <w:t xml:space="preserve"> </w:t>
      </w:r>
      <w:r w:rsidR="005C6DCB">
        <w:rPr>
          <w:i/>
          <w:lang w:val="en-GB"/>
        </w:rPr>
        <w:t>Potential</w:t>
      </w:r>
      <w:r w:rsidRPr="006270D2">
        <w:rPr>
          <w:i/>
          <w:lang w:val="en-GB"/>
        </w:rPr>
        <w:t xml:space="preserve"> target groups for EDF Platform actions</w:t>
      </w:r>
      <w:r w:rsidR="00126852" w:rsidRPr="006270D2">
        <w:rPr>
          <w:rStyle w:val="FootnoteReference"/>
          <w:i/>
          <w:lang w:val="en-GB"/>
        </w:rPr>
        <w:footnoteReference w:id="9"/>
      </w:r>
      <w:r w:rsidR="00631FD7" w:rsidRPr="006270D2">
        <w:rPr>
          <w:i/>
          <w:lang w:val="en-GB"/>
        </w:rPr>
        <w:t>.</w:t>
      </w:r>
    </w:p>
    <w:tbl>
      <w:tblPr>
        <w:tblStyle w:val="LightShading-Accent5"/>
        <w:tblW w:w="7674" w:type="dxa"/>
        <w:tblBorders>
          <w:top w:val="single" w:sz="8" w:space="0" w:color="335B9F"/>
          <w:bottom w:val="single" w:sz="8" w:space="0" w:color="335B9F"/>
        </w:tblBorders>
        <w:shd w:val="clear" w:color="auto" w:fill="E6EAF5"/>
        <w:tblLook w:val="04A0" w:firstRow="1" w:lastRow="0" w:firstColumn="1" w:lastColumn="0" w:noHBand="0" w:noVBand="1"/>
      </w:tblPr>
      <w:tblGrid>
        <w:gridCol w:w="2794"/>
        <w:gridCol w:w="4880"/>
      </w:tblGrid>
      <w:tr w:rsidR="00C071B6" w:rsidRPr="005C6DCB" w:rsidTr="0075693F">
        <w:trPr>
          <w:cnfStyle w:val="100000000000" w:firstRow="1" w:lastRow="0" w:firstColumn="0" w:lastColumn="0" w:oddVBand="0" w:evenVBand="0" w:oddHBand="0" w:evenHBand="0" w:firstRowFirstColumn="0" w:firstRowLastColumn="0" w:lastRowFirstColumn="0" w:lastRowLastColumn="0"/>
          <w:cantSplit/>
          <w:trHeight w:val="485"/>
          <w:tblHeader/>
        </w:trPr>
        <w:tc>
          <w:tcPr>
            <w:cnfStyle w:val="001000000000" w:firstRow="0" w:lastRow="0" w:firstColumn="1" w:lastColumn="0" w:oddVBand="0" w:evenVBand="0" w:oddHBand="0" w:evenHBand="0" w:firstRowFirstColumn="0" w:firstRowLastColumn="0" w:lastRowFirstColumn="0" w:lastRowLastColumn="0"/>
            <w:tcW w:w="2794" w:type="dxa"/>
            <w:tcBorders>
              <w:top w:val="single" w:sz="8" w:space="0" w:color="335B9F"/>
              <w:bottom w:val="single" w:sz="8" w:space="0" w:color="335B9F"/>
            </w:tcBorders>
            <w:shd w:val="clear" w:color="auto" w:fill="auto"/>
            <w:vAlign w:val="center"/>
          </w:tcPr>
          <w:p w:rsidR="00C071B6" w:rsidRPr="005C6DCB" w:rsidRDefault="00C071B6" w:rsidP="006968D1">
            <w:pPr>
              <w:spacing w:line="240" w:lineRule="auto"/>
              <w:jc w:val="left"/>
              <w:rPr>
                <w:color w:val="335B9F"/>
                <w:sz w:val="20"/>
                <w:lang w:val="en-GB"/>
              </w:rPr>
            </w:pPr>
            <w:r w:rsidRPr="005C6DCB">
              <w:rPr>
                <w:color w:val="335B9F"/>
                <w:sz w:val="20"/>
                <w:lang w:val="en-GB"/>
              </w:rPr>
              <w:t xml:space="preserve"> Target group</w:t>
            </w:r>
          </w:p>
        </w:tc>
        <w:tc>
          <w:tcPr>
            <w:tcW w:w="4880" w:type="dxa"/>
            <w:tcBorders>
              <w:top w:val="single" w:sz="8" w:space="0" w:color="335B9F"/>
              <w:bottom w:val="single" w:sz="8" w:space="0" w:color="335B9F"/>
            </w:tcBorders>
            <w:shd w:val="clear" w:color="auto" w:fill="auto"/>
            <w:vAlign w:val="center"/>
          </w:tcPr>
          <w:p w:rsidR="00C071B6" w:rsidRPr="005C6DCB" w:rsidRDefault="00C071B6" w:rsidP="006968D1">
            <w:pPr>
              <w:spacing w:line="240" w:lineRule="auto"/>
              <w:jc w:val="left"/>
              <w:cnfStyle w:val="100000000000" w:firstRow="1"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Target sub-group</w:t>
            </w:r>
          </w:p>
        </w:tc>
      </w:tr>
      <w:tr w:rsidR="00C071B6" w:rsidRPr="005C6DCB" w:rsidTr="007F7B37">
        <w:trPr>
          <w:cnfStyle w:val="000000100000" w:firstRow="0" w:lastRow="0" w:firstColumn="0" w:lastColumn="0" w:oddVBand="0" w:evenVBand="0" w:oddHBand="1" w:evenHBand="0" w:firstRowFirstColumn="0" w:firstRowLastColumn="0" w:lastRowFirstColumn="0" w:lastRowLastColumn="0"/>
          <w:cantSplit/>
          <w:trHeight w:val="994"/>
        </w:trPr>
        <w:tc>
          <w:tcPr>
            <w:cnfStyle w:val="001000000000" w:firstRow="0" w:lastRow="0" w:firstColumn="1" w:lastColumn="0" w:oddVBand="0" w:evenVBand="0" w:oddHBand="0" w:evenHBand="0" w:firstRowFirstColumn="0" w:firstRowLastColumn="0" w:lastRowFirstColumn="0" w:lastRowLastColumn="0"/>
            <w:tcW w:w="2794" w:type="dxa"/>
            <w:tcBorders>
              <w:top w:val="single" w:sz="8" w:space="0" w:color="335B9F"/>
            </w:tcBorders>
            <w:shd w:val="clear" w:color="auto" w:fill="E6EAF5"/>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Public authorities</w:t>
            </w:r>
          </w:p>
        </w:tc>
        <w:tc>
          <w:tcPr>
            <w:tcW w:w="4880" w:type="dxa"/>
            <w:tcBorders>
              <w:top w:val="single" w:sz="8" w:space="0" w:color="335B9F"/>
            </w:tcBorders>
            <w:shd w:val="clear" w:color="auto" w:fill="E6EAF5"/>
          </w:tcPr>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National authorities</w:t>
            </w:r>
            <w:r w:rsidR="007F7B37">
              <w:rPr>
                <w:color w:val="335B9F"/>
                <w:sz w:val="20"/>
                <w:lang w:val="en-GB"/>
              </w:rPr>
              <w:t xml:space="preserve"> / ministries</w:t>
            </w:r>
          </w:p>
          <w:p w:rsidR="00C071B6" w:rsidRPr="005C6DCB" w:rsidRDefault="007F7B37"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Pr>
                <w:color w:val="335B9F"/>
                <w:sz w:val="20"/>
                <w:lang w:val="en-GB"/>
              </w:rPr>
              <w:t>Regional, l</w:t>
            </w:r>
            <w:r w:rsidR="00C071B6" w:rsidRPr="005C6DCB">
              <w:rPr>
                <w:color w:val="335B9F"/>
                <w:sz w:val="20"/>
                <w:lang w:val="en-GB"/>
              </w:rPr>
              <w:t>ocal and municipal authorities</w:t>
            </w:r>
          </w:p>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Nordic/Baltic authorities</w:t>
            </w:r>
            <w:r w:rsidR="007F7B37">
              <w:rPr>
                <w:color w:val="335B9F"/>
                <w:sz w:val="20"/>
                <w:lang w:val="en-GB"/>
              </w:rPr>
              <w:t xml:space="preserve"> (NordREG)</w:t>
            </w:r>
          </w:p>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Regulators</w:t>
            </w:r>
            <w:r w:rsidR="007F7B37">
              <w:rPr>
                <w:color w:val="335B9F"/>
                <w:sz w:val="20"/>
                <w:lang w:val="en-GB"/>
              </w:rPr>
              <w:t xml:space="preserve"> (</w:t>
            </w:r>
            <w:r w:rsidR="007F7B37" w:rsidRPr="007F7B37">
              <w:rPr>
                <w:color w:val="335B9F"/>
                <w:sz w:val="20"/>
                <w:lang w:val="en-GB"/>
              </w:rPr>
              <w:t>Konkurentsiamet</w:t>
            </w:r>
            <w:r w:rsidR="007F7B37">
              <w:rPr>
                <w:color w:val="335B9F"/>
                <w:sz w:val="20"/>
                <w:lang w:val="en-GB"/>
              </w:rPr>
              <w:t>, NVE)</w:t>
            </w:r>
          </w:p>
        </w:tc>
      </w:tr>
      <w:tr w:rsidR="00C071B6" w:rsidRPr="005C6DCB" w:rsidTr="007F7B37">
        <w:trPr>
          <w:cantSplit/>
          <w:trHeight w:val="639"/>
        </w:trPr>
        <w:tc>
          <w:tcPr>
            <w:cnfStyle w:val="001000000000" w:firstRow="0" w:lastRow="0" w:firstColumn="1" w:lastColumn="0" w:oddVBand="0" w:evenVBand="0" w:oddHBand="0" w:evenHBand="0" w:firstRowFirstColumn="0" w:firstRowLastColumn="0" w:lastRowFirstColumn="0" w:lastRowLastColumn="0"/>
            <w:tcW w:w="2794" w:type="dxa"/>
            <w:shd w:val="clear" w:color="auto" w:fill="auto"/>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Policy makers</w:t>
            </w:r>
          </w:p>
        </w:tc>
        <w:tc>
          <w:tcPr>
            <w:tcW w:w="4880" w:type="dxa"/>
            <w:shd w:val="clear" w:color="auto" w:fill="auto"/>
          </w:tcPr>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Support scheme managers</w:t>
            </w:r>
            <w:r w:rsidR="0075693F">
              <w:rPr>
                <w:color w:val="335B9F"/>
                <w:sz w:val="20"/>
                <w:lang w:val="en-GB"/>
              </w:rPr>
              <w:t xml:space="preserve"> (Kredex)</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Market analysts and modellers</w:t>
            </w:r>
            <w:r w:rsidR="007F7B37">
              <w:rPr>
                <w:color w:val="335B9F"/>
                <w:sz w:val="20"/>
                <w:lang w:val="en-GB"/>
              </w:rPr>
              <w:t xml:space="preserve"> (SKM, Montel)</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Statistics offices</w:t>
            </w:r>
            <w:r w:rsidR="0075693F">
              <w:rPr>
                <w:color w:val="335B9F"/>
                <w:sz w:val="20"/>
                <w:lang w:val="en-GB"/>
              </w:rPr>
              <w:t xml:space="preserve"> (</w:t>
            </w:r>
            <w:r w:rsidR="0075693F" w:rsidRPr="0075693F">
              <w:rPr>
                <w:color w:val="335B9F"/>
                <w:sz w:val="20"/>
                <w:lang w:val="en-GB"/>
              </w:rPr>
              <w:t>Statistikaamet, Statistisk sentralbyra</w:t>
            </w:r>
            <w:r w:rsidR="0075693F">
              <w:rPr>
                <w:color w:val="335B9F"/>
                <w:sz w:val="20"/>
                <w:lang w:val="en-GB"/>
              </w:rPr>
              <w:t>)</w:t>
            </w:r>
          </w:p>
        </w:tc>
      </w:tr>
      <w:tr w:rsidR="00C071B6" w:rsidRPr="005C6DCB" w:rsidTr="0075693F">
        <w:trPr>
          <w:cnfStyle w:val="000000100000" w:firstRow="0" w:lastRow="0" w:firstColumn="0" w:lastColumn="0" w:oddVBand="0" w:evenVBand="0" w:oddHBand="1" w:evenHBand="0" w:firstRowFirstColumn="0" w:firstRowLastColumn="0" w:lastRowFirstColumn="0" w:lastRowLastColumn="0"/>
          <w:cantSplit/>
          <w:trHeight w:val="1494"/>
        </w:trPr>
        <w:tc>
          <w:tcPr>
            <w:cnfStyle w:val="001000000000" w:firstRow="0" w:lastRow="0" w:firstColumn="1" w:lastColumn="0" w:oddVBand="0" w:evenVBand="0" w:oddHBand="0" w:evenHBand="0" w:firstRowFirstColumn="0" w:firstRowLastColumn="0" w:lastRowFirstColumn="0" w:lastRowLastColumn="0"/>
            <w:tcW w:w="2794" w:type="dxa"/>
            <w:shd w:val="clear" w:color="auto" w:fill="E6EAF5"/>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Utilities</w:t>
            </w:r>
          </w:p>
        </w:tc>
        <w:tc>
          <w:tcPr>
            <w:tcW w:w="4880" w:type="dxa"/>
            <w:shd w:val="clear" w:color="auto" w:fill="E6EAF5"/>
          </w:tcPr>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Distribution System Operators</w:t>
            </w:r>
            <w:r w:rsidR="007F7B37">
              <w:rPr>
                <w:color w:val="335B9F"/>
                <w:sz w:val="20"/>
                <w:lang w:val="en-GB"/>
              </w:rPr>
              <w:t xml:space="preserve"> (Elektrilevi OÜ, Hafslund)</w:t>
            </w:r>
          </w:p>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Transmission System Operator</w:t>
            </w:r>
            <w:r w:rsidR="007F7B37">
              <w:rPr>
                <w:color w:val="335B9F"/>
                <w:sz w:val="20"/>
                <w:lang w:val="en-GB"/>
              </w:rPr>
              <w:t xml:space="preserve"> (Elering, Statnett)</w:t>
            </w:r>
          </w:p>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District heating companies</w:t>
            </w:r>
            <w:r w:rsidR="007F7B37">
              <w:rPr>
                <w:color w:val="335B9F"/>
                <w:sz w:val="20"/>
                <w:lang w:val="en-GB"/>
              </w:rPr>
              <w:t xml:space="preserve"> (Dalkia, Statkraft Värme)</w:t>
            </w:r>
          </w:p>
          <w:p w:rsidR="00C071B6" w:rsidRPr="005C6DCB" w:rsidRDefault="00C071B6" w:rsidP="00B64BAB">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Energy Service Companies (ESCOs)</w:t>
            </w:r>
          </w:p>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Power plants</w:t>
            </w:r>
            <w:r w:rsidR="00AA53C4">
              <w:rPr>
                <w:color w:val="335B9F"/>
                <w:sz w:val="20"/>
                <w:lang w:val="en-GB"/>
              </w:rPr>
              <w:t xml:space="preserve"> (Eesti Energia, Statkraft))</w:t>
            </w:r>
          </w:p>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Renewable energy providers</w:t>
            </w:r>
            <w:r w:rsidR="00AA53C4">
              <w:rPr>
                <w:color w:val="335B9F"/>
                <w:sz w:val="20"/>
                <w:lang w:val="en-GB"/>
              </w:rPr>
              <w:t xml:space="preserve"> </w:t>
            </w:r>
          </w:p>
        </w:tc>
      </w:tr>
      <w:tr w:rsidR="00C071B6" w:rsidRPr="005C6DCB" w:rsidTr="00AA53C4">
        <w:trPr>
          <w:cantSplit/>
          <w:trHeight w:val="529"/>
        </w:trPr>
        <w:tc>
          <w:tcPr>
            <w:cnfStyle w:val="001000000000" w:firstRow="0" w:lastRow="0" w:firstColumn="1" w:lastColumn="0" w:oddVBand="0" w:evenVBand="0" w:oddHBand="0" w:evenHBand="0" w:firstRowFirstColumn="0" w:firstRowLastColumn="0" w:lastRowFirstColumn="0" w:lastRowLastColumn="0"/>
            <w:tcW w:w="2794" w:type="dxa"/>
            <w:shd w:val="clear" w:color="auto" w:fill="auto"/>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Investors</w:t>
            </w:r>
          </w:p>
        </w:tc>
        <w:tc>
          <w:tcPr>
            <w:tcW w:w="4880" w:type="dxa"/>
            <w:shd w:val="clear" w:color="auto" w:fill="auto"/>
          </w:tcPr>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Financial institutions</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Project developers</w:t>
            </w:r>
          </w:p>
        </w:tc>
      </w:tr>
      <w:tr w:rsidR="00C071B6" w:rsidRPr="005C6DCB" w:rsidTr="0075693F">
        <w:trPr>
          <w:cnfStyle w:val="000000100000" w:firstRow="0" w:lastRow="0" w:firstColumn="0" w:lastColumn="0" w:oddVBand="0" w:evenVBand="0" w:oddHBand="1" w:evenHBand="0" w:firstRowFirstColumn="0" w:firstRowLastColumn="0" w:lastRowFirstColumn="0" w:lastRowLastColumn="0"/>
          <w:cantSplit/>
          <w:trHeight w:val="727"/>
        </w:trPr>
        <w:tc>
          <w:tcPr>
            <w:cnfStyle w:val="001000000000" w:firstRow="0" w:lastRow="0" w:firstColumn="1" w:lastColumn="0" w:oddVBand="0" w:evenVBand="0" w:oddHBand="0" w:evenHBand="0" w:firstRowFirstColumn="0" w:firstRowLastColumn="0" w:lastRowFirstColumn="0" w:lastRowLastColumn="0"/>
            <w:tcW w:w="2794" w:type="dxa"/>
            <w:shd w:val="clear" w:color="auto" w:fill="E6EAF5"/>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Civil society</w:t>
            </w:r>
          </w:p>
        </w:tc>
        <w:tc>
          <w:tcPr>
            <w:tcW w:w="4880" w:type="dxa"/>
            <w:shd w:val="clear" w:color="auto" w:fill="E6EAF5"/>
          </w:tcPr>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End users of energy</w:t>
            </w:r>
            <w:r w:rsidR="00AA53C4">
              <w:rPr>
                <w:color w:val="335B9F"/>
                <w:sz w:val="20"/>
                <w:lang w:val="en-GB"/>
              </w:rPr>
              <w:t>, multisite users (e.g. retailers, banks)</w:t>
            </w:r>
          </w:p>
          <w:p w:rsidR="00C071B6" w:rsidRDefault="00C071B6" w:rsidP="00C04263">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NGOs</w:t>
            </w:r>
            <w:r w:rsidR="00C04263">
              <w:rPr>
                <w:color w:val="335B9F"/>
                <w:sz w:val="20"/>
                <w:lang w:val="en-GB"/>
              </w:rPr>
              <w:t>, a</w:t>
            </w:r>
            <w:r w:rsidRPr="005C6DCB">
              <w:rPr>
                <w:color w:val="335B9F"/>
                <w:sz w:val="20"/>
                <w:lang w:val="en-GB"/>
              </w:rPr>
              <w:t>ssociations</w:t>
            </w:r>
          </w:p>
          <w:p w:rsidR="00C04263" w:rsidRPr="005C6DCB" w:rsidRDefault="00C04263" w:rsidP="00C04263">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Pr>
                <w:color w:val="335B9F"/>
                <w:sz w:val="20"/>
                <w:lang w:val="en-GB"/>
              </w:rPr>
              <w:t>Education system</w:t>
            </w:r>
          </w:p>
        </w:tc>
      </w:tr>
      <w:tr w:rsidR="00C071B6" w:rsidRPr="005C6DCB" w:rsidTr="00C04263">
        <w:trPr>
          <w:cantSplit/>
          <w:trHeight w:val="830"/>
        </w:trPr>
        <w:tc>
          <w:tcPr>
            <w:cnfStyle w:val="001000000000" w:firstRow="0" w:lastRow="0" w:firstColumn="1" w:lastColumn="0" w:oddVBand="0" w:evenVBand="0" w:oddHBand="0" w:evenHBand="0" w:firstRowFirstColumn="0" w:firstRowLastColumn="0" w:lastRowFirstColumn="0" w:lastRowLastColumn="0"/>
            <w:tcW w:w="2794" w:type="dxa"/>
            <w:shd w:val="clear" w:color="auto" w:fill="auto"/>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Buildings</w:t>
            </w:r>
          </w:p>
        </w:tc>
        <w:tc>
          <w:tcPr>
            <w:tcW w:w="4880" w:type="dxa"/>
            <w:shd w:val="clear" w:color="auto" w:fill="auto"/>
          </w:tcPr>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Building services engineers</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Building managers/administrators</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Public building owners</w:t>
            </w:r>
            <w:r w:rsidR="00C04263">
              <w:rPr>
                <w:color w:val="335B9F"/>
                <w:sz w:val="20"/>
                <w:lang w:val="en-GB"/>
              </w:rPr>
              <w:t xml:space="preserve"> / homeowners</w:t>
            </w:r>
          </w:p>
        </w:tc>
      </w:tr>
      <w:tr w:rsidR="00C071B6" w:rsidRPr="005C6DCB" w:rsidTr="0075693F">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2794" w:type="dxa"/>
            <w:shd w:val="clear" w:color="auto" w:fill="E6EAF5"/>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Manufacturers</w:t>
            </w:r>
          </w:p>
        </w:tc>
        <w:tc>
          <w:tcPr>
            <w:tcW w:w="4880" w:type="dxa"/>
            <w:shd w:val="clear" w:color="auto" w:fill="E6EAF5"/>
          </w:tcPr>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Manufacturers of smart meters</w:t>
            </w:r>
            <w:r w:rsidR="00AA53C4">
              <w:rPr>
                <w:color w:val="335B9F"/>
                <w:sz w:val="20"/>
                <w:lang w:val="en-GB"/>
              </w:rPr>
              <w:t xml:space="preserve"> (Echelon, Ericsson)</w:t>
            </w:r>
          </w:p>
          <w:p w:rsidR="00C071B6" w:rsidRPr="005C6DCB" w:rsidRDefault="00C071B6"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sidRPr="005C6DCB">
              <w:rPr>
                <w:color w:val="335B9F"/>
                <w:sz w:val="20"/>
                <w:lang w:val="en-GB"/>
              </w:rPr>
              <w:t>Product distributors</w:t>
            </w:r>
          </w:p>
        </w:tc>
      </w:tr>
      <w:tr w:rsidR="00C071B6" w:rsidRPr="005C6DCB" w:rsidTr="0075693F">
        <w:trPr>
          <w:cantSplit/>
          <w:trHeight w:val="145"/>
        </w:trPr>
        <w:tc>
          <w:tcPr>
            <w:cnfStyle w:val="001000000000" w:firstRow="0" w:lastRow="0" w:firstColumn="1" w:lastColumn="0" w:oddVBand="0" w:evenVBand="0" w:oddHBand="0" w:evenHBand="0" w:firstRowFirstColumn="0" w:firstRowLastColumn="0" w:lastRowFirstColumn="0" w:lastRowLastColumn="0"/>
            <w:tcW w:w="2794" w:type="dxa"/>
            <w:shd w:val="clear" w:color="auto" w:fill="auto"/>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Industry</w:t>
            </w:r>
          </w:p>
        </w:tc>
        <w:tc>
          <w:tcPr>
            <w:tcW w:w="4880" w:type="dxa"/>
            <w:shd w:val="clear" w:color="auto" w:fill="auto"/>
          </w:tcPr>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SMEs</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Technology developers</w:t>
            </w:r>
            <w:r w:rsidR="00C91661" w:rsidRPr="005C6DCB">
              <w:rPr>
                <w:color w:val="335B9F"/>
                <w:sz w:val="20"/>
                <w:lang w:val="en-GB"/>
              </w:rPr>
              <w:t xml:space="preserve"> (</w:t>
            </w:r>
            <w:r w:rsidR="00AA53C4">
              <w:rPr>
                <w:color w:val="335B9F"/>
                <w:sz w:val="20"/>
                <w:lang w:val="en-GB"/>
              </w:rPr>
              <w:t>Ericsson</w:t>
            </w:r>
            <w:r w:rsidR="00C91661" w:rsidRPr="005C6DCB">
              <w:rPr>
                <w:color w:val="335B9F"/>
                <w:sz w:val="20"/>
                <w:lang w:val="en-GB"/>
              </w:rPr>
              <w:t>)</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Service providers</w:t>
            </w:r>
            <w:r w:rsidR="00C91661" w:rsidRPr="005C6DCB">
              <w:rPr>
                <w:color w:val="335B9F"/>
                <w:sz w:val="20"/>
                <w:lang w:val="en-GB"/>
              </w:rPr>
              <w:t xml:space="preserve"> (</w:t>
            </w:r>
            <w:r w:rsidR="00AA53C4">
              <w:rPr>
                <w:color w:val="335B9F"/>
                <w:sz w:val="20"/>
                <w:lang w:val="en-GB"/>
              </w:rPr>
              <w:t>CGI</w:t>
            </w:r>
            <w:r w:rsidR="00C91661" w:rsidRPr="005C6DCB">
              <w:rPr>
                <w:color w:val="335B9F"/>
                <w:sz w:val="20"/>
                <w:lang w:val="en-GB"/>
              </w:rPr>
              <w:t>)</w:t>
            </w:r>
          </w:p>
          <w:p w:rsidR="00C071B6" w:rsidRPr="005C6DCB" w:rsidRDefault="00C071B6"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sidRPr="005C6DCB">
              <w:rPr>
                <w:color w:val="335B9F"/>
                <w:sz w:val="20"/>
                <w:lang w:val="en-GB"/>
              </w:rPr>
              <w:t>Industry associations</w:t>
            </w:r>
            <w:r w:rsidR="00AA53C4">
              <w:rPr>
                <w:color w:val="335B9F"/>
                <w:sz w:val="20"/>
                <w:lang w:val="en-GB"/>
              </w:rPr>
              <w:t xml:space="preserve"> (ETL, Energi Norge)</w:t>
            </w:r>
          </w:p>
        </w:tc>
      </w:tr>
      <w:tr w:rsidR="00C071B6" w:rsidRPr="005C6DCB" w:rsidTr="0075693F">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2794" w:type="dxa"/>
            <w:shd w:val="clear" w:color="auto" w:fill="E6EAF5"/>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Standards bodies</w:t>
            </w:r>
          </w:p>
        </w:tc>
        <w:tc>
          <w:tcPr>
            <w:tcW w:w="4880" w:type="dxa"/>
            <w:shd w:val="clear" w:color="auto" w:fill="E6EAF5"/>
          </w:tcPr>
          <w:p w:rsidR="00C071B6" w:rsidRPr="005C6DCB" w:rsidRDefault="00AA53C4" w:rsidP="00E70F02">
            <w:pPr>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335B9F"/>
                <w:sz w:val="20"/>
                <w:lang w:val="en-GB"/>
              </w:rPr>
            </w:pPr>
            <w:r>
              <w:rPr>
                <w:color w:val="335B9F"/>
                <w:sz w:val="20"/>
                <w:lang w:val="en-GB"/>
              </w:rPr>
              <w:t>Estonian Centre for Standardization</w:t>
            </w:r>
          </w:p>
        </w:tc>
      </w:tr>
      <w:tr w:rsidR="00C071B6" w:rsidRPr="005C6DCB" w:rsidTr="0075693F">
        <w:trPr>
          <w:cantSplit/>
          <w:trHeight w:val="145"/>
        </w:trPr>
        <w:tc>
          <w:tcPr>
            <w:cnfStyle w:val="001000000000" w:firstRow="0" w:lastRow="0" w:firstColumn="1" w:lastColumn="0" w:oddVBand="0" w:evenVBand="0" w:oddHBand="0" w:evenHBand="0" w:firstRowFirstColumn="0" w:firstRowLastColumn="0" w:lastRowFirstColumn="0" w:lastRowLastColumn="0"/>
            <w:tcW w:w="2794" w:type="dxa"/>
            <w:shd w:val="clear" w:color="auto" w:fill="auto"/>
          </w:tcPr>
          <w:p w:rsidR="00C071B6" w:rsidRPr="005C6DCB" w:rsidRDefault="00C071B6" w:rsidP="00E70F02">
            <w:pPr>
              <w:spacing w:before="0" w:after="0" w:line="240" w:lineRule="auto"/>
              <w:contextualSpacing/>
              <w:rPr>
                <w:color w:val="335B9F"/>
                <w:sz w:val="20"/>
                <w:lang w:val="en-GB"/>
              </w:rPr>
            </w:pPr>
            <w:r w:rsidRPr="005C6DCB">
              <w:rPr>
                <w:color w:val="335B9F"/>
                <w:sz w:val="20"/>
                <w:lang w:val="en-GB"/>
              </w:rPr>
              <w:t>Media</w:t>
            </w:r>
          </w:p>
        </w:tc>
        <w:tc>
          <w:tcPr>
            <w:tcW w:w="4880" w:type="dxa"/>
            <w:shd w:val="clear" w:color="auto" w:fill="auto"/>
          </w:tcPr>
          <w:p w:rsidR="00C071B6" w:rsidRDefault="00AA53C4"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Pr>
                <w:color w:val="335B9F"/>
                <w:sz w:val="20"/>
                <w:lang w:val="en-GB"/>
              </w:rPr>
              <w:t>Daily newspapers (</w:t>
            </w:r>
            <w:r w:rsidRPr="00AA53C4">
              <w:rPr>
                <w:color w:val="335B9F"/>
                <w:sz w:val="20"/>
                <w:lang w:val="en-GB"/>
              </w:rPr>
              <w:t>Eesti Päevaleht</w:t>
            </w:r>
            <w:r>
              <w:rPr>
                <w:color w:val="335B9F"/>
                <w:sz w:val="20"/>
                <w:lang w:val="en-GB"/>
              </w:rPr>
              <w:t>)</w:t>
            </w:r>
          </w:p>
          <w:p w:rsidR="00AA53C4" w:rsidRPr="005C6DCB" w:rsidRDefault="00AA53C4" w:rsidP="00E70F02">
            <w:p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color w:val="335B9F"/>
                <w:sz w:val="20"/>
                <w:lang w:val="en-GB"/>
              </w:rPr>
            </w:pPr>
            <w:r>
              <w:rPr>
                <w:color w:val="335B9F"/>
                <w:sz w:val="20"/>
                <w:lang w:val="en-GB"/>
              </w:rPr>
              <w:t>Blogs</w:t>
            </w:r>
          </w:p>
        </w:tc>
      </w:tr>
    </w:tbl>
    <w:p w:rsidR="007D05EF" w:rsidRPr="006270D2" w:rsidRDefault="007D05EF" w:rsidP="007D05EF">
      <w:pPr>
        <w:pStyle w:val="Heading2"/>
        <w:rPr>
          <w:lang w:val="en-GB"/>
        </w:rPr>
      </w:pPr>
      <w:bookmarkStart w:id="12" w:name="_Toc222069778"/>
      <w:bookmarkStart w:id="13" w:name="_Toc223104190"/>
      <w:bookmarkStart w:id="14" w:name="_Toc361737962"/>
      <w:r w:rsidRPr="006270D2">
        <w:rPr>
          <w:lang w:val="en-GB"/>
        </w:rPr>
        <w:lastRenderedPageBreak/>
        <w:t>Selection of impacts to assess</w:t>
      </w:r>
      <w:bookmarkEnd w:id="12"/>
      <w:bookmarkEnd w:id="13"/>
      <w:bookmarkEnd w:id="14"/>
    </w:p>
    <w:p w:rsidR="007D05EF" w:rsidRDefault="00D111BB" w:rsidP="007D05EF">
      <w:pPr>
        <w:rPr>
          <w:lang w:val="en-GB"/>
        </w:rPr>
      </w:pPr>
      <w:r>
        <w:rPr>
          <w:lang w:val="en-GB"/>
        </w:rPr>
        <w:t>T</w:t>
      </w:r>
      <w:r w:rsidR="007D05EF" w:rsidRPr="006270D2">
        <w:rPr>
          <w:lang w:val="en-GB"/>
        </w:rPr>
        <w:t>he broad categories of impacts to assess</w:t>
      </w:r>
      <w:r w:rsidR="001148ED">
        <w:rPr>
          <w:lang w:val="en-GB"/>
        </w:rPr>
        <w:t xml:space="preserve"> in EDF Platform development</w:t>
      </w:r>
      <w:r w:rsidR="007D05EF" w:rsidRPr="006270D2">
        <w:rPr>
          <w:lang w:val="en-GB"/>
        </w:rPr>
        <w:t xml:space="preserve"> are environmental impacts and socio-economic impacts. </w:t>
      </w:r>
      <w:r w:rsidR="001148ED">
        <w:rPr>
          <w:lang w:val="en-GB"/>
        </w:rPr>
        <w:t>Both</w:t>
      </w:r>
      <w:r w:rsidR="007D05EF" w:rsidRPr="006270D2">
        <w:rPr>
          <w:lang w:val="en-GB"/>
        </w:rPr>
        <w:t xml:space="preserve"> of these contain a myriad of different types of impacts that can be assessed.</w:t>
      </w:r>
      <w:r w:rsidR="007D05EF">
        <w:rPr>
          <w:lang w:val="en-GB"/>
        </w:rPr>
        <w:t xml:space="preserve"> For scoping the impact assessment, a more refined selection of impacts is needed. A helpful st</w:t>
      </w:r>
      <w:r w:rsidR="006148CC">
        <w:rPr>
          <w:lang w:val="en-GB"/>
        </w:rPr>
        <w:t>arting point is identifying the</w:t>
      </w:r>
      <w:r w:rsidR="007D05EF">
        <w:rPr>
          <w:lang w:val="en-GB"/>
        </w:rPr>
        <w:t xml:space="preserve"> environmental, social and economic </w:t>
      </w:r>
      <w:r w:rsidR="001148ED">
        <w:rPr>
          <w:lang w:val="en-GB"/>
        </w:rPr>
        <w:t xml:space="preserve">objectives of </w:t>
      </w:r>
      <w:r w:rsidR="007D05EF">
        <w:rPr>
          <w:lang w:val="en-GB"/>
        </w:rPr>
        <w:t xml:space="preserve">the actions. </w:t>
      </w:r>
      <w:r w:rsidR="00D56E13">
        <w:rPr>
          <w:lang w:val="en-GB"/>
        </w:rPr>
        <w:t>Table 3</w:t>
      </w:r>
      <w:r w:rsidR="007D05EF" w:rsidRPr="006270D2">
        <w:rPr>
          <w:lang w:val="en-GB"/>
        </w:rPr>
        <w:t xml:space="preserve"> presents </w:t>
      </w:r>
      <w:r w:rsidR="001148ED">
        <w:rPr>
          <w:lang w:val="en-GB"/>
        </w:rPr>
        <w:t xml:space="preserve">some </w:t>
      </w:r>
      <w:r w:rsidR="007D05EF">
        <w:rPr>
          <w:lang w:val="en-GB"/>
        </w:rPr>
        <w:t xml:space="preserve">examples of </w:t>
      </w:r>
      <w:r w:rsidR="001148ED">
        <w:rPr>
          <w:lang w:val="en-GB"/>
        </w:rPr>
        <w:t xml:space="preserve">these </w:t>
      </w:r>
      <w:r w:rsidR="00E5691B">
        <w:rPr>
          <w:lang w:val="en-GB"/>
        </w:rPr>
        <w:t>objectives</w:t>
      </w:r>
      <w:r w:rsidR="007D05EF">
        <w:rPr>
          <w:lang w:val="en-GB"/>
        </w:rPr>
        <w:t>.</w:t>
      </w:r>
    </w:p>
    <w:p w:rsidR="00C16C03" w:rsidRDefault="00C16C03" w:rsidP="00C16C03">
      <w:pPr>
        <w:rPr>
          <w:lang w:val="en-GB"/>
        </w:rPr>
      </w:pPr>
      <w:r>
        <w:rPr>
          <w:lang w:val="en-GB"/>
        </w:rPr>
        <w:t>In addition, impacts can also be categorised and scoped according to their nature (positive and negative impacts), timeliness (short and long-term impacts) and intent (intended and unintended impacts)</w:t>
      </w:r>
      <w:r>
        <w:rPr>
          <w:rStyle w:val="FootnoteReference"/>
          <w:lang w:val="en-GB"/>
        </w:rPr>
        <w:footnoteReference w:id="10"/>
      </w:r>
      <w:r>
        <w:rPr>
          <w:lang w:val="en-GB"/>
        </w:rPr>
        <w:t>. For example, an impact assessment may be limited to short-term, intended, positive impacts. Of course any limitations made need to be aligned to the assessment objectives.</w:t>
      </w:r>
    </w:p>
    <w:p w:rsidR="00064A05" w:rsidRDefault="00064A05" w:rsidP="005C6DCB">
      <w:pPr>
        <w:pStyle w:val="Tableheading"/>
      </w:pPr>
      <w:r w:rsidRPr="006968D1">
        <w:rPr>
          <w:b/>
        </w:rPr>
        <w:t>Table</w:t>
      </w:r>
      <w:r w:rsidR="00D56E13">
        <w:rPr>
          <w:b/>
        </w:rPr>
        <w:t xml:space="preserve"> 3</w:t>
      </w:r>
      <w:r w:rsidRPr="006968D1">
        <w:rPr>
          <w:b/>
        </w:rPr>
        <w:t>:</w:t>
      </w:r>
      <w:r w:rsidRPr="006968D1">
        <w:t xml:space="preserve"> Examples of impact</w:t>
      </w:r>
      <w:r>
        <w:t xml:space="preserve"> </w:t>
      </w:r>
      <w:r w:rsidR="00E5691B">
        <w:t>objectives</w:t>
      </w:r>
      <w:r w:rsidR="009C55D3">
        <w:t>.</w:t>
      </w:r>
    </w:p>
    <w:tbl>
      <w:tblPr>
        <w:tblStyle w:val="LightShading-Accent11"/>
        <w:tblW w:w="0" w:type="auto"/>
        <w:tblBorders>
          <w:top w:val="single" w:sz="8" w:space="0" w:color="444882"/>
          <w:bottom w:val="single" w:sz="8" w:space="0" w:color="444882"/>
          <w:insideH w:val="single" w:sz="8" w:space="0" w:color="444882"/>
        </w:tblBorders>
        <w:shd w:val="clear" w:color="auto" w:fill="DFE0EE"/>
        <w:tblLook w:val="04A0" w:firstRow="1" w:lastRow="0" w:firstColumn="1" w:lastColumn="0" w:noHBand="0" w:noVBand="1"/>
      </w:tblPr>
      <w:tblGrid>
        <w:gridCol w:w="2310"/>
        <w:gridCol w:w="2311"/>
        <w:gridCol w:w="2311"/>
      </w:tblGrid>
      <w:tr w:rsidR="00064A05" w:rsidRPr="005C6DCB" w:rsidTr="00596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right w:val="none" w:sz="0" w:space="0" w:color="auto"/>
            </w:tcBorders>
            <w:shd w:val="clear" w:color="auto" w:fill="auto"/>
          </w:tcPr>
          <w:p w:rsidR="00064A05" w:rsidRPr="005C6DCB" w:rsidRDefault="00064A05" w:rsidP="005C6DCB">
            <w:pPr>
              <w:keepLines/>
              <w:spacing w:line="240" w:lineRule="auto"/>
              <w:jc w:val="left"/>
              <w:rPr>
                <w:color w:val="444882"/>
                <w:lang w:val="en-GB"/>
              </w:rPr>
            </w:pPr>
            <w:r w:rsidRPr="005C6DCB">
              <w:rPr>
                <w:color w:val="444882"/>
                <w:lang w:val="en-GB"/>
              </w:rPr>
              <w:t>Environmental</w:t>
            </w:r>
            <w:r w:rsidRPr="005C6DCB">
              <w:rPr>
                <w:rStyle w:val="FootnoteReference"/>
                <w:color w:val="444882"/>
                <w:lang w:val="en-GB"/>
              </w:rPr>
              <w:footnoteReference w:id="11"/>
            </w:r>
          </w:p>
        </w:tc>
        <w:tc>
          <w:tcPr>
            <w:tcW w:w="2311" w:type="dxa"/>
            <w:tcBorders>
              <w:top w:val="none" w:sz="0" w:space="0" w:color="auto"/>
              <w:left w:val="none" w:sz="0" w:space="0" w:color="auto"/>
              <w:bottom w:val="none" w:sz="0" w:space="0" w:color="auto"/>
              <w:right w:val="none" w:sz="0" w:space="0" w:color="auto"/>
            </w:tcBorders>
            <w:shd w:val="clear" w:color="auto" w:fill="auto"/>
          </w:tcPr>
          <w:p w:rsidR="00064A05" w:rsidRPr="005C6DCB" w:rsidRDefault="00064A05" w:rsidP="005C6DCB">
            <w:pPr>
              <w:keepLines/>
              <w:spacing w:line="240" w:lineRule="auto"/>
              <w:jc w:val="left"/>
              <w:cnfStyle w:val="100000000000" w:firstRow="1" w:lastRow="0" w:firstColumn="0" w:lastColumn="0" w:oddVBand="0" w:evenVBand="0" w:oddHBand="0" w:evenHBand="0" w:firstRowFirstColumn="0" w:firstRowLastColumn="0" w:lastRowFirstColumn="0" w:lastRowLastColumn="0"/>
              <w:rPr>
                <w:color w:val="444882"/>
                <w:lang w:val="en-GB"/>
              </w:rPr>
            </w:pPr>
            <w:r w:rsidRPr="005C6DCB">
              <w:rPr>
                <w:color w:val="444882"/>
                <w:lang w:val="en-GB"/>
              </w:rPr>
              <w:t>Social</w:t>
            </w:r>
            <w:r w:rsidRPr="005C6DCB">
              <w:rPr>
                <w:rStyle w:val="FootnoteReference"/>
                <w:color w:val="444882"/>
                <w:lang w:val="en-GB"/>
              </w:rPr>
              <w:footnoteReference w:id="12"/>
            </w:r>
          </w:p>
        </w:tc>
        <w:tc>
          <w:tcPr>
            <w:tcW w:w="2311" w:type="dxa"/>
            <w:tcBorders>
              <w:top w:val="none" w:sz="0" w:space="0" w:color="auto"/>
              <w:left w:val="none" w:sz="0" w:space="0" w:color="auto"/>
              <w:bottom w:val="none" w:sz="0" w:space="0" w:color="auto"/>
              <w:right w:val="none" w:sz="0" w:space="0" w:color="auto"/>
            </w:tcBorders>
            <w:shd w:val="clear" w:color="auto" w:fill="auto"/>
          </w:tcPr>
          <w:p w:rsidR="00064A05" w:rsidRPr="005C6DCB" w:rsidRDefault="00064A05" w:rsidP="005C6DCB">
            <w:pPr>
              <w:keepLines/>
              <w:spacing w:line="240" w:lineRule="auto"/>
              <w:jc w:val="left"/>
              <w:cnfStyle w:val="100000000000" w:firstRow="1" w:lastRow="0" w:firstColumn="0" w:lastColumn="0" w:oddVBand="0" w:evenVBand="0" w:oddHBand="0" w:evenHBand="0" w:firstRowFirstColumn="0" w:firstRowLastColumn="0" w:lastRowFirstColumn="0" w:lastRowLastColumn="0"/>
              <w:rPr>
                <w:color w:val="444882"/>
                <w:lang w:val="en-GB"/>
              </w:rPr>
            </w:pPr>
            <w:r w:rsidRPr="005C6DCB">
              <w:rPr>
                <w:color w:val="444882"/>
                <w:lang w:val="en-GB"/>
              </w:rPr>
              <w:t>Economic</w:t>
            </w:r>
            <w:r w:rsidRPr="005C6DCB">
              <w:rPr>
                <w:rStyle w:val="FootnoteReference"/>
                <w:color w:val="444882"/>
                <w:lang w:val="en-GB"/>
              </w:rPr>
              <w:footnoteReference w:id="13"/>
            </w:r>
          </w:p>
        </w:tc>
      </w:tr>
      <w:tr w:rsidR="00064A05" w:rsidRPr="005C6DCB" w:rsidTr="00596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shd w:val="clear" w:color="auto" w:fill="DFE0EE"/>
          </w:tcPr>
          <w:p w:rsidR="009C55D3" w:rsidRPr="005C6DCB" w:rsidRDefault="009C55D3" w:rsidP="005C6DCB">
            <w:pPr>
              <w:keepLines/>
              <w:spacing w:before="0" w:after="0" w:line="240" w:lineRule="auto"/>
              <w:contextualSpacing/>
              <w:rPr>
                <w:b w:val="0"/>
                <w:color w:val="444882"/>
                <w:lang w:val="en-GB"/>
              </w:rPr>
            </w:pPr>
            <w:r w:rsidRPr="005C6DCB">
              <w:rPr>
                <w:b w:val="0"/>
                <w:color w:val="444882"/>
                <w:lang w:val="en-GB"/>
              </w:rPr>
              <w:t>Energy use</w:t>
            </w:r>
          </w:p>
          <w:p w:rsidR="009C55D3" w:rsidRPr="005C6DCB" w:rsidRDefault="009C55D3" w:rsidP="005C6DCB">
            <w:pPr>
              <w:keepLines/>
              <w:spacing w:before="0" w:after="0" w:line="240" w:lineRule="auto"/>
              <w:contextualSpacing/>
              <w:rPr>
                <w:b w:val="0"/>
                <w:color w:val="444882"/>
                <w:lang w:val="en-GB"/>
              </w:rPr>
            </w:pPr>
            <w:r w:rsidRPr="005C6DCB">
              <w:rPr>
                <w:b w:val="0"/>
                <w:color w:val="444882"/>
                <w:lang w:val="en-GB"/>
              </w:rPr>
              <w:t>Climate change</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Air pollution</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Resource depletion</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Water Pollution</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Sea-level rise</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Biodiversity</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Toxic substances</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Waste</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Land use</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Ecosystem services</w:t>
            </w:r>
          </w:p>
          <w:p w:rsidR="00064A05" w:rsidRPr="005C6DCB" w:rsidRDefault="00064A05" w:rsidP="005C6DCB">
            <w:pPr>
              <w:keepLines/>
              <w:spacing w:before="0" w:after="0" w:line="240" w:lineRule="auto"/>
              <w:contextualSpacing/>
              <w:rPr>
                <w:b w:val="0"/>
                <w:color w:val="444882"/>
                <w:lang w:val="en-GB"/>
              </w:rPr>
            </w:pPr>
            <w:r w:rsidRPr="005C6DCB">
              <w:rPr>
                <w:b w:val="0"/>
                <w:color w:val="444882"/>
                <w:lang w:val="en-GB"/>
              </w:rPr>
              <w:t>Noise pollution</w:t>
            </w:r>
          </w:p>
          <w:p w:rsidR="00064A05" w:rsidRPr="005C6DCB" w:rsidRDefault="00064A05" w:rsidP="005C6DCB">
            <w:pPr>
              <w:keepLines/>
              <w:spacing w:before="0" w:after="0" w:line="240" w:lineRule="auto"/>
              <w:contextualSpacing/>
              <w:rPr>
                <w:b w:val="0"/>
                <w:color w:val="444882"/>
                <w:lang w:val="en-GB"/>
              </w:rPr>
            </w:pPr>
          </w:p>
        </w:tc>
        <w:tc>
          <w:tcPr>
            <w:tcW w:w="2311" w:type="dxa"/>
            <w:tcBorders>
              <w:left w:val="none" w:sz="0" w:space="0" w:color="auto"/>
              <w:right w:val="none" w:sz="0" w:space="0" w:color="auto"/>
            </w:tcBorders>
            <w:shd w:val="clear" w:color="auto" w:fill="DFE0EE"/>
          </w:tcPr>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Cultural change</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Communities</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Demographic change</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Health and wellbeing</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Infrastructure</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Human rights</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Democracy</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Governance</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Poverty</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Social capital</w:t>
            </w:r>
          </w:p>
          <w:p w:rsidR="009C55D3" w:rsidRPr="005C6DCB" w:rsidRDefault="009C55D3"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Employment</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Equality</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Distribution of wealth</w:t>
            </w:r>
          </w:p>
          <w:p w:rsidR="009C55D3"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Safety</w:t>
            </w:r>
          </w:p>
        </w:tc>
        <w:tc>
          <w:tcPr>
            <w:tcW w:w="2311" w:type="dxa"/>
            <w:tcBorders>
              <w:left w:val="none" w:sz="0" w:space="0" w:color="auto"/>
              <w:right w:val="none" w:sz="0" w:space="0" w:color="auto"/>
            </w:tcBorders>
            <w:shd w:val="clear" w:color="auto" w:fill="DFE0EE"/>
          </w:tcPr>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Outputs</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Value added</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Wealth</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Income (incl. wages)</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Trade (import/export)</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Government revenues and expenditures</w:t>
            </w:r>
          </w:p>
          <w:p w:rsidR="00064A05" w:rsidRPr="005C6DCB" w:rsidRDefault="009C55D3"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r w:rsidRPr="005C6DCB">
              <w:rPr>
                <w:color w:val="444882"/>
                <w:lang w:val="en-GB"/>
              </w:rPr>
              <w:t>Competitiveness</w:t>
            </w: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p>
          <w:p w:rsidR="00064A05" w:rsidRPr="005C6DCB" w:rsidRDefault="00064A05" w:rsidP="005C6DCB">
            <w:pPr>
              <w:keepLines/>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color w:val="444882"/>
                <w:lang w:val="en-GB"/>
              </w:rPr>
            </w:pPr>
          </w:p>
        </w:tc>
      </w:tr>
    </w:tbl>
    <w:p w:rsidR="00972BD9" w:rsidRPr="006270D2" w:rsidRDefault="00110C9B" w:rsidP="00040850">
      <w:pPr>
        <w:pStyle w:val="Heading2"/>
        <w:rPr>
          <w:lang w:val="en-GB"/>
        </w:rPr>
      </w:pPr>
      <w:bookmarkStart w:id="15" w:name="_Toc222242159"/>
      <w:bookmarkStart w:id="16" w:name="_Toc222242160"/>
      <w:bookmarkStart w:id="17" w:name="_Toc222242161"/>
      <w:bookmarkStart w:id="18" w:name="_Toc222242162"/>
      <w:bookmarkStart w:id="19" w:name="_Toc222242163"/>
      <w:bookmarkStart w:id="20" w:name="_Toc223104191"/>
      <w:bookmarkStart w:id="21" w:name="_Toc361737963"/>
      <w:bookmarkEnd w:id="15"/>
      <w:bookmarkEnd w:id="16"/>
      <w:bookmarkEnd w:id="17"/>
      <w:bookmarkEnd w:id="18"/>
      <w:bookmarkEnd w:id="19"/>
      <w:r w:rsidRPr="006270D2">
        <w:rPr>
          <w:lang w:val="en-GB"/>
        </w:rPr>
        <w:t>Impact assessment methodologies</w:t>
      </w:r>
      <w:bookmarkEnd w:id="20"/>
      <w:bookmarkEnd w:id="21"/>
    </w:p>
    <w:p w:rsidR="00643E98" w:rsidRDefault="00110C9B" w:rsidP="00D27AC6">
      <w:pPr>
        <w:rPr>
          <w:lang w:val="en-GB"/>
        </w:rPr>
      </w:pPr>
      <w:r w:rsidRPr="006270D2">
        <w:rPr>
          <w:lang w:val="en-GB"/>
        </w:rPr>
        <w:t xml:space="preserve">Based on the target group and the selected impacts, the appropriate methodologies </w:t>
      </w:r>
      <w:r w:rsidR="00D1181A">
        <w:rPr>
          <w:lang w:val="en-GB"/>
        </w:rPr>
        <w:t>should</w:t>
      </w:r>
      <w:r w:rsidRPr="006270D2">
        <w:rPr>
          <w:lang w:val="en-GB"/>
        </w:rPr>
        <w:t xml:space="preserve"> be selected.</w:t>
      </w:r>
      <w:r w:rsidR="00D1181A">
        <w:rPr>
          <w:lang w:val="en-GB"/>
        </w:rPr>
        <w:t xml:space="preserve"> </w:t>
      </w:r>
      <w:r w:rsidR="00643E98">
        <w:rPr>
          <w:lang w:val="en-GB"/>
        </w:rPr>
        <w:t xml:space="preserve">Criteria can also be established to aid in the selection of methodologies e.g. </w:t>
      </w:r>
      <w:r w:rsidR="00D1181A">
        <w:rPr>
          <w:lang w:val="en-GB"/>
        </w:rPr>
        <w:t>cost efficiency</w:t>
      </w:r>
      <w:r w:rsidR="00643E98">
        <w:rPr>
          <w:lang w:val="en-GB"/>
        </w:rPr>
        <w:t>,</w:t>
      </w:r>
      <w:r w:rsidR="00D1181A">
        <w:rPr>
          <w:lang w:val="en-GB"/>
        </w:rPr>
        <w:t xml:space="preserve"> appropriateness</w:t>
      </w:r>
      <w:r w:rsidR="00643E98">
        <w:rPr>
          <w:lang w:val="en-GB"/>
        </w:rPr>
        <w:t>, comprehensiveness etc. Methodologies can roughly be grouped into four different categories, depending on what they are used for</w:t>
      </w:r>
      <w:r w:rsidR="00F10FD4">
        <w:rPr>
          <w:lang w:val="en-GB"/>
        </w:rPr>
        <w:t>. These will be presented in the following.</w:t>
      </w:r>
    </w:p>
    <w:p w:rsidR="00110C9B" w:rsidRPr="00AC547C" w:rsidRDefault="00643E98" w:rsidP="00C071B6">
      <w:pPr>
        <w:pStyle w:val="Heading4"/>
        <w:rPr>
          <w:lang w:val="en-GB"/>
        </w:rPr>
      </w:pPr>
      <w:r w:rsidRPr="00AC547C">
        <w:rPr>
          <w:lang w:val="en-GB"/>
        </w:rPr>
        <w:lastRenderedPageBreak/>
        <w:t xml:space="preserve">1) </w:t>
      </w:r>
      <w:r w:rsidR="00D1181A" w:rsidRPr="00AC547C">
        <w:rPr>
          <w:lang w:val="en-GB"/>
        </w:rPr>
        <w:t xml:space="preserve"> </w:t>
      </w:r>
      <w:r w:rsidR="00B53703">
        <w:rPr>
          <w:lang w:val="en-GB"/>
        </w:rPr>
        <w:t>D</w:t>
      </w:r>
      <w:r w:rsidRPr="00AC547C">
        <w:rPr>
          <w:lang w:val="en-GB"/>
        </w:rPr>
        <w:t>efining impact mechanisms</w:t>
      </w:r>
    </w:p>
    <w:p w:rsidR="00F10FD4" w:rsidRDefault="005729EF" w:rsidP="00D27AC6">
      <w:pPr>
        <w:rPr>
          <w:lang w:val="en-GB"/>
        </w:rPr>
      </w:pPr>
      <w:r w:rsidRPr="005729EF">
        <w:rPr>
          <w:lang w:val="en-GB"/>
        </w:rPr>
        <w:t xml:space="preserve">This category contains methodologies </w:t>
      </w:r>
      <w:r>
        <w:rPr>
          <w:lang w:val="en-GB"/>
        </w:rPr>
        <w:t xml:space="preserve">used to clarify and validate cause-effect relationships. This is particularly useful at the beginning of the impact assessment helping also to identify what kind of data needs to be collected to prove the impact mechanisms. </w:t>
      </w:r>
      <w:r w:rsidR="002473CE">
        <w:rPr>
          <w:lang w:val="en-GB"/>
        </w:rPr>
        <w:t>Methodologies are based on logical classification of objectives and impacts and results often form a diagram that helps to visualise complex relationships.</w:t>
      </w:r>
    </w:p>
    <w:p w:rsidR="002473CE" w:rsidRDefault="0037210B" w:rsidP="00D27AC6">
      <w:pPr>
        <w:rPr>
          <w:lang w:val="en-GB"/>
        </w:rPr>
      </w:pPr>
      <w:r>
        <w:rPr>
          <w:lang w:val="en-GB"/>
        </w:rPr>
        <w:t>Drawing from research in the Evaluation field, the Effects Diagram</w:t>
      </w:r>
      <w:r w:rsidR="00631BB9">
        <w:rPr>
          <w:lang w:val="en-GB"/>
        </w:rPr>
        <w:t xml:space="preserve"> can be a very powerful tool</w:t>
      </w:r>
      <w:r>
        <w:rPr>
          <w:lang w:val="en-GB"/>
        </w:rPr>
        <w:t>.</w:t>
      </w:r>
      <w:r w:rsidR="00631BB9">
        <w:rPr>
          <w:lang w:val="en-GB"/>
        </w:rPr>
        <w:t xml:space="preserve"> It</w:t>
      </w:r>
      <w:r>
        <w:rPr>
          <w:lang w:val="en-GB"/>
        </w:rPr>
        <w:t xml:space="preserve"> help</w:t>
      </w:r>
      <w:r w:rsidR="00631BB9">
        <w:rPr>
          <w:lang w:val="en-GB"/>
        </w:rPr>
        <w:t>s</w:t>
      </w:r>
      <w:r>
        <w:rPr>
          <w:lang w:val="en-GB"/>
        </w:rPr>
        <w:t xml:space="preserve"> link actions to impacts by examining </w:t>
      </w:r>
      <w:r w:rsidR="00631BB9">
        <w:rPr>
          <w:lang w:val="en-GB"/>
        </w:rPr>
        <w:t>expected outcomes and impacts and relationships between these</w:t>
      </w:r>
      <w:r w:rsidR="00623D97">
        <w:rPr>
          <w:lang w:val="en-GB"/>
        </w:rPr>
        <w:t>.</w:t>
      </w:r>
    </w:p>
    <w:p w:rsidR="00623D97" w:rsidRDefault="00631BB9" w:rsidP="00D27AC6">
      <w:pPr>
        <w:rPr>
          <w:lang w:val="en-GB"/>
        </w:rPr>
      </w:pPr>
      <w:r>
        <w:rPr>
          <w:lang w:val="en-GB"/>
        </w:rPr>
        <w:t>An i</w:t>
      </w:r>
      <w:r w:rsidR="00B53703">
        <w:rPr>
          <w:lang w:val="en-GB"/>
        </w:rPr>
        <w:t>llustration</w:t>
      </w:r>
      <w:r w:rsidR="00623D97">
        <w:rPr>
          <w:lang w:val="en-GB"/>
        </w:rPr>
        <w:t xml:space="preserve"> of the </w:t>
      </w:r>
      <w:r>
        <w:rPr>
          <w:lang w:val="en-GB"/>
        </w:rPr>
        <w:t>Effects D</w:t>
      </w:r>
      <w:r w:rsidR="00623D97">
        <w:rPr>
          <w:lang w:val="en-GB"/>
        </w:rPr>
        <w:t xml:space="preserve">iagram </w:t>
      </w:r>
      <w:r>
        <w:rPr>
          <w:lang w:val="en-GB"/>
        </w:rPr>
        <w:t>is</w:t>
      </w:r>
      <w:r w:rsidR="00623D97">
        <w:rPr>
          <w:lang w:val="en-GB"/>
        </w:rPr>
        <w:t xml:space="preserve"> presented in Figure </w:t>
      </w:r>
      <w:r w:rsidR="00C071B6">
        <w:rPr>
          <w:lang w:val="en-GB"/>
        </w:rPr>
        <w:t>1</w:t>
      </w:r>
      <w:r w:rsidR="00623D97">
        <w:rPr>
          <w:lang w:val="en-GB"/>
        </w:rPr>
        <w:t>.</w:t>
      </w:r>
    </w:p>
    <w:p w:rsidR="00BD444B" w:rsidRDefault="00BB7B78" w:rsidP="00631BB9">
      <w:pPr>
        <w:jc w:val="center"/>
        <w:rPr>
          <w:lang w:val="en-GB"/>
        </w:rPr>
      </w:pPr>
      <w:r>
        <w:rPr>
          <w:noProof/>
          <w:lang w:val="et-EE" w:eastAsia="et-EE"/>
        </w:rPr>
        <w:drawing>
          <wp:inline distT="0" distB="0" distL="0" distR="0">
            <wp:extent cx="3473553" cy="2075291"/>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473070" cy="2075002"/>
                    </a:xfrm>
                    <a:prstGeom prst="rect">
                      <a:avLst/>
                    </a:prstGeom>
                    <a:noFill/>
                    <a:ln w="9525">
                      <a:noFill/>
                      <a:miter lim="800000"/>
                      <a:headEnd/>
                      <a:tailEnd/>
                    </a:ln>
                  </pic:spPr>
                </pic:pic>
              </a:graphicData>
            </a:graphic>
          </wp:inline>
        </w:drawing>
      </w:r>
    </w:p>
    <w:p w:rsidR="00BB7B78" w:rsidRPr="00BB7B78" w:rsidRDefault="00C071B6" w:rsidP="00BB7B78">
      <w:pPr>
        <w:jc w:val="center"/>
        <w:rPr>
          <w:i/>
          <w:lang w:val="en-GB"/>
        </w:rPr>
      </w:pPr>
      <w:r>
        <w:rPr>
          <w:b/>
          <w:i/>
          <w:lang w:val="en-GB"/>
        </w:rPr>
        <w:t>Figure 1</w:t>
      </w:r>
      <w:r w:rsidR="00BB7B78" w:rsidRPr="00BB7B78">
        <w:rPr>
          <w:b/>
          <w:i/>
          <w:lang w:val="en-GB"/>
        </w:rPr>
        <w:t>:</w:t>
      </w:r>
      <w:r w:rsidR="00BB7B78" w:rsidRPr="00BB7B78">
        <w:rPr>
          <w:i/>
          <w:lang w:val="en-GB"/>
        </w:rPr>
        <w:t xml:space="preserve"> </w:t>
      </w:r>
      <w:r w:rsidR="00B53703">
        <w:rPr>
          <w:i/>
          <w:lang w:val="en-GB"/>
        </w:rPr>
        <w:t xml:space="preserve">Illustration of </w:t>
      </w:r>
      <w:r w:rsidR="00BB7B78" w:rsidRPr="00BB7B78">
        <w:rPr>
          <w:i/>
          <w:lang w:val="en-GB"/>
        </w:rPr>
        <w:t>an</w:t>
      </w:r>
      <w:r w:rsidR="00B53703">
        <w:rPr>
          <w:i/>
          <w:lang w:val="en-GB"/>
        </w:rPr>
        <w:t xml:space="preserve"> Effects Diagram</w:t>
      </w:r>
      <w:r w:rsidR="00BB7B78">
        <w:rPr>
          <w:i/>
          <w:lang w:val="en-GB"/>
        </w:rPr>
        <w:t>.</w:t>
      </w:r>
    </w:p>
    <w:p w:rsidR="00AC547C" w:rsidRPr="006E06EF" w:rsidRDefault="00110C9B" w:rsidP="00C071B6">
      <w:pPr>
        <w:pStyle w:val="Heading4"/>
        <w:rPr>
          <w:lang w:val="en-GB"/>
        </w:rPr>
      </w:pPr>
      <w:r w:rsidRPr="006E06EF">
        <w:rPr>
          <w:lang w:val="en-GB"/>
        </w:rPr>
        <w:t xml:space="preserve">2) </w:t>
      </w:r>
      <w:r w:rsidR="00884C57" w:rsidRPr="006E06EF">
        <w:rPr>
          <w:lang w:val="en-GB"/>
        </w:rPr>
        <w:t>D</w:t>
      </w:r>
      <w:r w:rsidR="00AC547C" w:rsidRPr="006E06EF">
        <w:rPr>
          <w:lang w:val="en-GB"/>
        </w:rPr>
        <w:t>ata collection</w:t>
      </w:r>
      <w:r w:rsidR="00884C57" w:rsidRPr="006E06EF">
        <w:rPr>
          <w:lang w:val="en-GB"/>
        </w:rPr>
        <w:t xml:space="preserve"> and description of baseline</w:t>
      </w:r>
    </w:p>
    <w:p w:rsidR="00F10FD4" w:rsidRDefault="00884C57" w:rsidP="00D27AC6">
      <w:pPr>
        <w:rPr>
          <w:lang w:val="en-GB"/>
        </w:rPr>
      </w:pPr>
      <w:r>
        <w:rPr>
          <w:lang w:val="en-GB"/>
        </w:rPr>
        <w:t>While the Effects Diagram help</w:t>
      </w:r>
      <w:r w:rsidR="006E06EF">
        <w:rPr>
          <w:lang w:val="en-GB"/>
        </w:rPr>
        <w:t>s to</w:t>
      </w:r>
      <w:r>
        <w:rPr>
          <w:lang w:val="en-GB"/>
        </w:rPr>
        <w:t xml:space="preserve"> identify links between actions and impacts, it does not help in analysing the extent or significance of</w:t>
      </w:r>
      <w:r w:rsidR="00A13486">
        <w:rPr>
          <w:lang w:val="en-GB"/>
        </w:rPr>
        <w:t xml:space="preserve"> the</w:t>
      </w:r>
      <w:r>
        <w:rPr>
          <w:lang w:val="en-GB"/>
        </w:rPr>
        <w:t xml:space="preserve"> impacts. For this purpose, data needs to be collected in order to gather more insight</w:t>
      </w:r>
      <w:r w:rsidR="00A13486">
        <w:rPr>
          <w:lang w:val="en-GB"/>
        </w:rPr>
        <w:t>, determine baselines for the starting</w:t>
      </w:r>
      <w:r>
        <w:rPr>
          <w:lang w:val="en-GB"/>
        </w:rPr>
        <w:t xml:space="preserve"> </w:t>
      </w:r>
      <w:r w:rsidR="00A13486">
        <w:rPr>
          <w:lang w:val="en-GB"/>
        </w:rPr>
        <w:t xml:space="preserve">point </w:t>
      </w:r>
      <w:r>
        <w:rPr>
          <w:lang w:val="en-GB"/>
        </w:rPr>
        <w:t>and understand the impacts. Several different tools can be used for data collec</w:t>
      </w:r>
      <w:r w:rsidR="00A13486">
        <w:rPr>
          <w:lang w:val="en-GB"/>
        </w:rPr>
        <w:t>tion.</w:t>
      </w:r>
    </w:p>
    <w:p w:rsidR="00A13486" w:rsidRDefault="00A13486" w:rsidP="00D27AC6">
      <w:pPr>
        <w:rPr>
          <w:lang w:val="en-GB"/>
        </w:rPr>
      </w:pPr>
      <w:r>
        <w:rPr>
          <w:lang w:val="en-GB"/>
        </w:rPr>
        <w:t xml:space="preserve">Questionnaires and different types of surveys, when structured logically and designed to be comprehensive, can help gather a large amount of qualitative and quantitative information from different stakeholders. </w:t>
      </w:r>
      <w:r w:rsidR="00847479">
        <w:rPr>
          <w:lang w:val="en-GB"/>
        </w:rPr>
        <w:t xml:space="preserve">Surveys and questionnaires can also be easily combined with other tools such as interviews or focus groups. The advantages and limitations of using surveys are presented in Table </w:t>
      </w:r>
      <w:r w:rsidR="00D56E13">
        <w:rPr>
          <w:lang w:val="en-GB"/>
        </w:rPr>
        <w:t>4</w:t>
      </w:r>
      <w:r w:rsidR="00847479">
        <w:rPr>
          <w:lang w:val="en-GB"/>
        </w:rPr>
        <w:t>.</w:t>
      </w:r>
    </w:p>
    <w:p w:rsidR="00847479" w:rsidRPr="00847479" w:rsidRDefault="00847479" w:rsidP="005C6DCB">
      <w:pPr>
        <w:pStyle w:val="Tableheading"/>
      </w:pPr>
      <w:r w:rsidRPr="00847479">
        <w:rPr>
          <w:b/>
        </w:rPr>
        <w:t xml:space="preserve">Table </w:t>
      </w:r>
      <w:r w:rsidR="00D56E13">
        <w:rPr>
          <w:b/>
        </w:rPr>
        <w:t>4</w:t>
      </w:r>
      <w:r w:rsidRPr="00847479">
        <w:rPr>
          <w:b/>
        </w:rPr>
        <w:t>:</w:t>
      </w:r>
      <w:r w:rsidRPr="00847479">
        <w:t xml:space="preserve"> Advantages and limitations of surveys and questionnaires</w:t>
      </w:r>
      <w:r w:rsidR="00716DAA">
        <w:rPr>
          <w:rStyle w:val="FootnoteReference"/>
          <w:i w:val="0"/>
        </w:rPr>
        <w:footnoteReference w:id="14"/>
      </w:r>
      <w:r w:rsidRPr="00847479">
        <w:t>.</w:t>
      </w:r>
    </w:p>
    <w:tbl>
      <w:tblPr>
        <w:tblStyle w:val="LightShading-Accent5"/>
        <w:tblW w:w="9256" w:type="dxa"/>
        <w:tblLook w:val="04A0" w:firstRow="1" w:lastRow="0" w:firstColumn="1" w:lastColumn="0" w:noHBand="0" w:noVBand="1"/>
      </w:tblPr>
      <w:tblGrid>
        <w:gridCol w:w="4628"/>
        <w:gridCol w:w="4628"/>
      </w:tblGrid>
      <w:tr w:rsidR="00487B88" w:rsidRPr="00A13486" w:rsidTr="002D4B4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28" w:type="dxa"/>
            <w:hideMark/>
          </w:tcPr>
          <w:p w:rsidR="00A13486" w:rsidRPr="00A13486" w:rsidRDefault="00A13486" w:rsidP="00847479">
            <w:pPr>
              <w:spacing w:before="0" w:after="0" w:line="240" w:lineRule="auto"/>
              <w:jc w:val="left"/>
              <w:rPr>
                <w:rFonts w:asciiTheme="minorHAnsi" w:eastAsia="Times New Roman" w:hAnsiTheme="minorHAnsi"/>
                <w:szCs w:val="22"/>
                <w:lang w:val="en-GB" w:eastAsia="en-GB"/>
              </w:rPr>
            </w:pPr>
            <w:r w:rsidRPr="00A13486">
              <w:rPr>
                <w:rFonts w:asciiTheme="minorHAnsi" w:eastAsia="Times New Roman" w:hAnsiTheme="minorHAnsi"/>
                <w:iCs/>
                <w:szCs w:val="22"/>
                <w:lang w:val="en-GB" w:eastAsia="en-GB"/>
              </w:rPr>
              <w:t>Advantages</w:t>
            </w:r>
          </w:p>
        </w:tc>
        <w:tc>
          <w:tcPr>
            <w:tcW w:w="4628" w:type="dxa"/>
            <w:hideMark/>
          </w:tcPr>
          <w:p w:rsidR="00A13486" w:rsidRPr="00A13486" w:rsidRDefault="00A13486" w:rsidP="00847479">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Cs w:val="22"/>
                <w:lang w:val="en-GB" w:eastAsia="en-GB"/>
              </w:rPr>
            </w:pPr>
            <w:r w:rsidRPr="00A13486">
              <w:rPr>
                <w:rFonts w:asciiTheme="minorHAnsi" w:eastAsia="Times New Roman" w:hAnsiTheme="minorHAnsi"/>
                <w:iCs/>
                <w:szCs w:val="22"/>
                <w:lang w:val="en-GB" w:eastAsia="en-GB"/>
              </w:rPr>
              <w:t>Limitations</w:t>
            </w:r>
          </w:p>
        </w:tc>
      </w:tr>
      <w:tr w:rsidR="00487B88" w:rsidRPr="0016499F" w:rsidTr="002D4B4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628" w:type="dxa"/>
            <w:hideMark/>
          </w:tcPr>
          <w:p w:rsidR="00A13486" w:rsidRPr="00A13486" w:rsidRDefault="00A13486" w:rsidP="00847479">
            <w:pPr>
              <w:spacing w:before="0" w:after="0" w:line="240" w:lineRule="auto"/>
              <w:jc w:val="left"/>
              <w:rPr>
                <w:rFonts w:asciiTheme="minorHAnsi" w:eastAsia="Times New Roman" w:hAnsiTheme="minorHAnsi"/>
                <w:b w:val="0"/>
                <w:szCs w:val="22"/>
                <w:lang w:val="en-GB" w:eastAsia="en-GB"/>
              </w:rPr>
            </w:pPr>
            <w:r w:rsidRPr="00A13486">
              <w:rPr>
                <w:rFonts w:asciiTheme="minorHAnsi" w:eastAsia="Times New Roman" w:hAnsiTheme="minorHAnsi"/>
                <w:b w:val="0"/>
                <w:szCs w:val="22"/>
                <w:lang w:val="en-GB" w:eastAsia="en-GB"/>
              </w:rPr>
              <w:t>Yields quantified and reliable data</w:t>
            </w:r>
            <w:r w:rsidR="00716DAA">
              <w:rPr>
                <w:rFonts w:asciiTheme="minorHAnsi" w:eastAsia="Times New Roman" w:hAnsiTheme="minorHAnsi"/>
                <w:b w:val="0"/>
                <w:szCs w:val="22"/>
                <w:lang w:val="en-GB" w:eastAsia="en-GB"/>
              </w:rPr>
              <w:t>, enables surveying a large number of stakeholders</w:t>
            </w:r>
          </w:p>
        </w:tc>
        <w:tc>
          <w:tcPr>
            <w:tcW w:w="4628" w:type="dxa"/>
            <w:hideMark/>
          </w:tcPr>
          <w:p w:rsidR="00A13486" w:rsidRPr="00A13486" w:rsidRDefault="00487B88" w:rsidP="00487B8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lang w:val="en-GB" w:eastAsia="en-GB"/>
              </w:rPr>
            </w:pPr>
            <w:r>
              <w:rPr>
                <w:rFonts w:asciiTheme="minorHAnsi" w:eastAsia="Times New Roman" w:hAnsiTheme="minorHAnsi"/>
                <w:szCs w:val="22"/>
                <w:lang w:val="en-GB" w:eastAsia="en-GB"/>
              </w:rPr>
              <w:t>May require a lot of time to analyse the findings  - depends on survey design</w:t>
            </w:r>
          </w:p>
        </w:tc>
      </w:tr>
      <w:tr w:rsidR="00487B88" w:rsidRPr="0016499F" w:rsidTr="002D4B4F">
        <w:trPr>
          <w:trHeight w:val="137"/>
        </w:trPr>
        <w:tc>
          <w:tcPr>
            <w:cnfStyle w:val="001000000000" w:firstRow="0" w:lastRow="0" w:firstColumn="1" w:lastColumn="0" w:oddVBand="0" w:evenVBand="0" w:oddHBand="0" w:evenHBand="0" w:firstRowFirstColumn="0" w:firstRowLastColumn="0" w:lastRowFirstColumn="0" w:lastRowLastColumn="0"/>
            <w:tcW w:w="4628" w:type="dxa"/>
            <w:hideMark/>
          </w:tcPr>
          <w:p w:rsidR="00A13486" w:rsidRPr="00A13486" w:rsidRDefault="00A13486" w:rsidP="00847479">
            <w:pPr>
              <w:spacing w:before="0" w:after="0" w:line="240" w:lineRule="auto"/>
              <w:jc w:val="left"/>
              <w:rPr>
                <w:rFonts w:asciiTheme="minorHAnsi" w:eastAsia="Times New Roman" w:hAnsiTheme="minorHAnsi"/>
                <w:b w:val="0"/>
                <w:szCs w:val="22"/>
                <w:lang w:val="en-GB" w:eastAsia="en-GB"/>
              </w:rPr>
            </w:pPr>
            <w:r w:rsidRPr="00A13486">
              <w:rPr>
                <w:rFonts w:asciiTheme="minorHAnsi" w:eastAsia="Times New Roman" w:hAnsiTheme="minorHAnsi"/>
                <w:b w:val="0"/>
                <w:szCs w:val="22"/>
                <w:lang w:val="en-GB" w:eastAsia="en-GB"/>
              </w:rPr>
              <w:t>Useful to identify changes</w:t>
            </w:r>
          </w:p>
        </w:tc>
        <w:tc>
          <w:tcPr>
            <w:tcW w:w="4628" w:type="dxa"/>
            <w:hideMark/>
          </w:tcPr>
          <w:p w:rsidR="00A13486" w:rsidRPr="00A13486" w:rsidRDefault="00A13486" w:rsidP="0084747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val="en-GB" w:eastAsia="en-GB"/>
              </w:rPr>
            </w:pPr>
            <w:r w:rsidRPr="00A13486">
              <w:rPr>
                <w:rFonts w:asciiTheme="minorHAnsi" w:eastAsia="Times New Roman" w:hAnsiTheme="minorHAnsi"/>
                <w:szCs w:val="22"/>
                <w:lang w:val="en-GB" w:eastAsia="en-GB"/>
              </w:rPr>
              <w:t>Requires pre-existing data on the initial situation</w:t>
            </w:r>
          </w:p>
        </w:tc>
      </w:tr>
      <w:tr w:rsidR="00487B88" w:rsidRPr="0016499F" w:rsidTr="002D4B4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28" w:type="dxa"/>
            <w:hideMark/>
          </w:tcPr>
          <w:p w:rsidR="00A13486" w:rsidRPr="00A13486" w:rsidRDefault="00487B88" w:rsidP="00487B88">
            <w:pPr>
              <w:spacing w:before="0" w:after="0" w:line="240" w:lineRule="auto"/>
              <w:jc w:val="left"/>
              <w:rPr>
                <w:rFonts w:asciiTheme="minorHAnsi" w:eastAsia="Times New Roman" w:hAnsiTheme="minorHAnsi"/>
                <w:b w:val="0"/>
                <w:szCs w:val="22"/>
                <w:lang w:val="en-GB" w:eastAsia="en-GB"/>
              </w:rPr>
            </w:pPr>
            <w:r>
              <w:rPr>
                <w:rFonts w:asciiTheme="minorHAnsi" w:eastAsia="Times New Roman" w:hAnsiTheme="minorHAnsi"/>
                <w:b w:val="0"/>
                <w:szCs w:val="22"/>
                <w:lang w:val="en-GB" w:eastAsia="en-GB"/>
              </w:rPr>
              <w:lastRenderedPageBreak/>
              <w:t>Enables the assessor</w:t>
            </w:r>
            <w:r w:rsidR="00A13486" w:rsidRPr="00A13486">
              <w:rPr>
                <w:rFonts w:asciiTheme="minorHAnsi" w:eastAsia="Times New Roman" w:hAnsiTheme="minorHAnsi"/>
                <w:b w:val="0"/>
                <w:szCs w:val="22"/>
                <w:lang w:val="en-GB" w:eastAsia="en-GB"/>
              </w:rPr>
              <w:t xml:space="preserve"> to work on a target </w:t>
            </w:r>
            <w:r>
              <w:rPr>
                <w:rFonts w:asciiTheme="minorHAnsi" w:eastAsia="Times New Roman" w:hAnsiTheme="minorHAnsi"/>
                <w:b w:val="0"/>
                <w:szCs w:val="22"/>
                <w:lang w:val="en-GB" w:eastAsia="en-GB"/>
              </w:rPr>
              <w:t>group</w:t>
            </w:r>
            <w:r w:rsidR="00A13486" w:rsidRPr="00A13486">
              <w:rPr>
                <w:rFonts w:asciiTheme="minorHAnsi" w:eastAsia="Times New Roman" w:hAnsiTheme="minorHAnsi"/>
                <w:b w:val="0"/>
                <w:szCs w:val="22"/>
                <w:lang w:val="en-GB" w:eastAsia="en-GB"/>
              </w:rPr>
              <w:t xml:space="preserve"> and on a limited scale</w:t>
            </w:r>
          </w:p>
        </w:tc>
        <w:tc>
          <w:tcPr>
            <w:tcW w:w="4628" w:type="dxa"/>
            <w:hideMark/>
          </w:tcPr>
          <w:p w:rsidR="00A13486" w:rsidRPr="00A13486" w:rsidRDefault="00A13486" w:rsidP="00487B8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lang w:val="en-GB" w:eastAsia="en-GB"/>
              </w:rPr>
            </w:pPr>
            <w:r w:rsidRPr="00A13486">
              <w:rPr>
                <w:rFonts w:asciiTheme="minorHAnsi" w:eastAsia="Times New Roman" w:hAnsiTheme="minorHAnsi"/>
                <w:szCs w:val="22"/>
                <w:lang w:val="en-GB" w:eastAsia="en-GB"/>
              </w:rPr>
              <w:t xml:space="preserve">May present difficulties </w:t>
            </w:r>
            <w:r w:rsidR="00487B88">
              <w:rPr>
                <w:rFonts w:asciiTheme="minorHAnsi" w:eastAsia="Times New Roman" w:hAnsiTheme="minorHAnsi"/>
                <w:szCs w:val="22"/>
                <w:lang w:val="en-GB" w:eastAsia="en-GB"/>
              </w:rPr>
              <w:t>if very only a very limited share of the target group(s) responds</w:t>
            </w:r>
          </w:p>
        </w:tc>
      </w:tr>
      <w:tr w:rsidR="00487B88" w:rsidRPr="0016499F" w:rsidTr="002D4B4F">
        <w:trPr>
          <w:trHeight w:val="70"/>
        </w:trPr>
        <w:tc>
          <w:tcPr>
            <w:cnfStyle w:val="001000000000" w:firstRow="0" w:lastRow="0" w:firstColumn="1" w:lastColumn="0" w:oddVBand="0" w:evenVBand="0" w:oddHBand="0" w:evenHBand="0" w:firstRowFirstColumn="0" w:firstRowLastColumn="0" w:lastRowFirstColumn="0" w:lastRowLastColumn="0"/>
            <w:tcW w:w="4628" w:type="dxa"/>
            <w:hideMark/>
          </w:tcPr>
          <w:p w:rsidR="00A13486" w:rsidRPr="00A13486" w:rsidRDefault="00487B88" w:rsidP="00487B88">
            <w:pPr>
              <w:spacing w:before="0" w:after="0" w:line="240" w:lineRule="auto"/>
              <w:jc w:val="left"/>
              <w:rPr>
                <w:rFonts w:asciiTheme="minorHAnsi" w:eastAsia="Times New Roman" w:hAnsiTheme="minorHAnsi"/>
                <w:b w:val="0"/>
                <w:szCs w:val="22"/>
                <w:lang w:val="en-GB" w:eastAsia="en-GB"/>
              </w:rPr>
            </w:pPr>
            <w:r>
              <w:rPr>
                <w:rFonts w:asciiTheme="minorHAnsi" w:eastAsia="Times New Roman" w:hAnsiTheme="minorHAnsi"/>
                <w:b w:val="0"/>
                <w:szCs w:val="22"/>
                <w:lang w:val="en-GB" w:eastAsia="en-GB"/>
              </w:rPr>
              <w:t>Identifies the outcomes of projects/actions</w:t>
            </w:r>
            <w:r w:rsidR="00A13486" w:rsidRPr="00A13486">
              <w:rPr>
                <w:rFonts w:asciiTheme="minorHAnsi" w:eastAsia="Times New Roman" w:hAnsiTheme="minorHAnsi"/>
                <w:b w:val="0"/>
                <w:szCs w:val="22"/>
                <w:lang w:val="en-GB" w:eastAsia="en-GB"/>
              </w:rPr>
              <w:t xml:space="preserve"> </w:t>
            </w:r>
          </w:p>
        </w:tc>
        <w:tc>
          <w:tcPr>
            <w:tcW w:w="4628" w:type="dxa"/>
            <w:hideMark/>
          </w:tcPr>
          <w:p w:rsidR="00A13486" w:rsidRPr="00A13486" w:rsidRDefault="00A13486" w:rsidP="0084747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val="en-GB" w:eastAsia="en-GB"/>
              </w:rPr>
            </w:pPr>
            <w:r w:rsidRPr="00A13486">
              <w:rPr>
                <w:rFonts w:asciiTheme="minorHAnsi" w:eastAsia="Times New Roman" w:hAnsiTheme="minorHAnsi"/>
                <w:szCs w:val="22"/>
                <w:lang w:val="en-GB" w:eastAsia="en-GB"/>
              </w:rPr>
              <w:t>Yields only a simplistic description of reality</w:t>
            </w:r>
          </w:p>
        </w:tc>
      </w:tr>
    </w:tbl>
    <w:p w:rsidR="00776118" w:rsidRDefault="00716DAA" w:rsidP="00D27AC6">
      <w:pPr>
        <w:rPr>
          <w:lang w:val="en-GB"/>
        </w:rPr>
      </w:pPr>
      <w:r>
        <w:rPr>
          <w:lang w:val="en-GB"/>
        </w:rPr>
        <w:t>Another approach is to develop a set of indicators that describe the impacts.</w:t>
      </w:r>
      <w:r w:rsidR="00776118">
        <w:rPr>
          <w:lang w:val="en-GB"/>
        </w:rPr>
        <w:t xml:space="preserve"> Developing meaningful indicators requires profound understanding on the impacts. Indicators should be simple and easy to understand by the data collector as well as the stakeholder using the indicator.</w:t>
      </w:r>
      <w:r w:rsidR="00D463E7">
        <w:rPr>
          <w:lang w:val="en-GB"/>
        </w:rPr>
        <w:t xml:space="preserve"> Indicators need to be measured regularly to ensure that they reflect changes and can be used to describe the development of the situation. The related advantages and limitations are presented in Table </w:t>
      </w:r>
      <w:r w:rsidR="00D56E13">
        <w:rPr>
          <w:lang w:val="en-GB"/>
        </w:rPr>
        <w:t>5</w:t>
      </w:r>
      <w:r w:rsidR="00D463E7">
        <w:rPr>
          <w:lang w:val="en-GB"/>
        </w:rPr>
        <w:t>.</w:t>
      </w:r>
    </w:p>
    <w:p w:rsidR="00D56E13" w:rsidRDefault="00D56E13" w:rsidP="00D27AC6">
      <w:pPr>
        <w:rPr>
          <w:lang w:val="en-GB"/>
        </w:rPr>
      </w:pPr>
    </w:p>
    <w:p w:rsidR="00776118" w:rsidRPr="00776118" w:rsidRDefault="00776118" w:rsidP="005C6DCB">
      <w:pPr>
        <w:pStyle w:val="Tableheading"/>
      </w:pPr>
      <w:r w:rsidRPr="00776118">
        <w:rPr>
          <w:b/>
        </w:rPr>
        <w:t xml:space="preserve">Table </w:t>
      </w:r>
      <w:r w:rsidR="00D56E13">
        <w:rPr>
          <w:b/>
        </w:rPr>
        <w:t>5</w:t>
      </w:r>
      <w:r w:rsidRPr="00776118">
        <w:rPr>
          <w:b/>
        </w:rPr>
        <w:t>:</w:t>
      </w:r>
      <w:r w:rsidRPr="00776118">
        <w:t xml:space="preserve"> Advantages and limitations of </w:t>
      </w:r>
      <w:r w:rsidR="00D463E7">
        <w:t>indicators</w:t>
      </w:r>
      <w:r w:rsidRPr="00776118">
        <w:rPr>
          <w:vertAlign w:val="superscript"/>
        </w:rPr>
        <w:footnoteReference w:id="15"/>
      </w:r>
      <w:r w:rsidRPr="00776118">
        <w:t>.</w:t>
      </w:r>
    </w:p>
    <w:tbl>
      <w:tblPr>
        <w:tblStyle w:val="LightShading-Accent5"/>
        <w:tblW w:w="9256" w:type="dxa"/>
        <w:tblLook w:val="04A0" w:firstRow="1" w:lastRow="0" w:firstColumn="1" w:lastColumn="0" w:noHBand="0" w:noVBand="1"/>
      </w:tblPr>
      <w:tblGrid>
        <w:gridCol w:w="4628"/>
        <w:gridCol w:w="4628"/>
      </w:tblGrid>
      <w:tr w:rsidR="00D463E7" w:rsidRPr="00776118" w:rsidTr="002D4B4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28" w:type="dxa"/>
            <w:hideMark/>
          </w:tcPr>
          <w:p w:rsidR="00776118" w:rsidRPr="006E06EF" w:rsidRDefault="00776118" w:rsidP="006E06EF">
            <w:pPr>
              <w:spacing w:before="0" w:after="0" w:line="240" w:lineRule="auto"/>
              <w:jc w:val="left"/>
              <w:rPr>
                <w:rFonts w:asciiTheme="minorHAnsi" w:eastAsia="Times New Roman" w:hAnsiTheme="minorHAnsi"/>
                <w:iCs/>
                <w:szCs w:val="22"/>
                <w:lang w:val="en-GB" w:eastAsia="en-GB"/>
              </w:rPr>
            </w:pPr>
            <w:r w:rsidRPr="006E06EF">
              <w:rPr>
                <w:rFonts w:asciiTheme="minorHAnsi" w:eastAsia="Times New Roman" w:hAnsiTheme="minorHAnsi"/>
                <w:iCs/>
                <w:szCs w:val="22"/>
                <w:lang w:val="en-GB" w:eastAsia="en-GB"/>
              </w:rPr>
              <w:t>Advantages</w:t>
            </w:r>
          </w:p>
        </w:tc>
        <w:tc>
          <w:tcPr>
            <w:tcW w:w="4628" w:type="dxa"/>
            <w:hideMark/>
          </w:tcPr>
          <w:p w:rsidR="00776118" w:rsidRPr="006E06EF" w:rsidRDefault="00776118" w:rsidP="006E06EF">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Cs/>
                <w:szCs w:val="22"/>
                <w:lang w:val="en-GB" w:eastAsia="en-GB"/>
              </w:rPr>
            </w:pPr>
            <w:r w:rsidRPr="006E06EF">
              <w:rPr>
                <w:rFonts w:asciiTheme="minorHAnsi" w:eastAsia="Times New Roman" w:hAnsiTheme="minorHAnsi"/>
                <w:iCs/>
                <w:szCs w:val="22"/>
                <w:lang w:val="en-GB" w:eastAsia="en-GB"/>
              </w:rPr>
              <w:t>Limitations</w:t>
            </w:r>
          </w:p>
        </w:tc>
      </w:tr>
      <w:tr w:rsidR="00D463E7" w:rsidRPr="0016499F" w:rsidTr="002D4B4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628" w:type="dxa"/>
            <w:hideMark/>
          </w:tcPr>
          <w:p w:rsidR="00D463E7" w:rsidRPr="00D463E7" w:rsidRDefault="00D463E7" w:rsidP="00D463E7">
            <w:pPr>
              <w:spacing w:before="100" w:beforeAutospacing="1" w:after="100" w:afterAutospacing="1" w:line="240" w:lineRule="auto"/>
              <w:jc w:val="left"/>
              <w:rPr>
                <w:b w:val="0"/>
                <w:lang w:val="en-GB"/>
              </w:rPr>
            </w:pPr>
            <w:r w:rsidRPr="00D463E7">
              <w:rPr>
                <w:b w:val="0"/>
                <w:lang w:val="en-GB"/>
              </w:rPr>
              <w:t>A way to quantify information, preferably in a standardised form, in order to make comparisons in time and space</w:t>
            </w:r>
          </w:p>
        </w:tc>
        <w:tc>
          <w:tcPr>
            <w:tcW w:w="4628" w:type="dxa"/>
            <w:hideMark/>
          </w:tcPr>
          <w:p w:rsidR="00D463E7" w:rsidRPr="00D463E7" w:rsidRDefault="00D463E7" w:rsidP="006E06E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It may be an overly</w:t>
            </w:r>
            <w:r w:rsidRPr="00D463E7">
              <w:rPr>
                <w:lang w:val="en-GB"/>
              </w:rPr>
              <w:t xml:space="preserve"> simplistic explanation of the situation, which, in turn, becomes exaggerated</w:t>
            </w:r>
          </w:p>
        </w:tc>
      </w:tr>
      <w:tr w:rsidR="00D463E7" w:rsidRPr="0016499F" w:rsidTr="002D4B4F">
        <w:trPr>
          <w:trHeight w:val="137"/>
        </w:trPr>
        <w:tc>
          <w:tcPr>
            <w:cnfStyle w:val="001000000000" w:firstRow="0" w:lastRow="0" w:firstColumn="1" w:lastColumn="0" w:oddVBand="0" w:evenVBand="0" w:oddHBand="0" w:evenHBand="0" w:firstRowFirstColumn="0" w:firstRowLastColumn="0" w:lastRowFirstColumn="0" w:lastRowLastColumn="0"/>
            <w:tcW w:w="4628" w:type="dxa"/>
            <w:hideMark/>
          </w:tcPr>
          <w:p w:rsidR="00D463E7" w:rsidRPr="00D463E7" w:rsidRDefault="00D463E7" w:rsidP="00D463E7">
            <w:pPr>
              <w:spacing w:before="100" w:beforeAutospacing="1" w:after="100" w:afterAutospacing="1" w:line="240" w:lineRule="auto"/>
              <w:jc w:val="left"/>
              <w:rPr>
                <w:b w:val="0"/>
                <w:lang w:val="en-GB"/>
              </w:rPr>
            </w:pPr>
            <w:r w:rsidRPr="00D463E7">
              <w:rPr>
                <w:b w:val="0"/>
                <w:lang w:val="en-GB"/>
              </w:rPr>
              <w:t>A way to simplify situations in order to better understand them</w:t>
            </w:r>
          </w:p>
        </w:tc>
        <w:tc>
          <w:tcPr>
            <w:tcW w:w="4628" w:type="dxa"/>
            <w:hideMark/>
          </w:tcPr>
          <w:p w:rsidR="00D463E7" w:rsidRPr="00D463E7" w:rsidRDefault="006E06EF" w:rsidP="006E06E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E06EF">
              <w:rPr>
                <w:lang w:val="en-GB"/>
              </w:rPr>
              <w:t xml:space="preserve">Errors of measurement </w:t>
            </w:r>
            <w:r>
              <w:rPr>
                <w:lang w:val="en-GB"/>
              </w:rPr>
              <w:t>may provide a skewed view of the situation</w:t>
            </w:r>
          </w:p>
        </w:tc>
      </w:tr>
      <w:tr w:rsidR="00D463E7" w:rsidRPr="0016499F" w:rsidTr="002D4B4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28" w:type="dxa"/>
            <w:hideMark/>
          </w:tcPr>
          <w:p w:rsidR="00D463E7" w:rsidRPr="00D463E7" w:rsidRDefault="00D463E7" w:rsidP="00D463E7">
            <w:pPr>
              <w:spacing w:before="100" w:beforeAutospacing="1" w:after="100" w:afterAutospacing="1" w:line="240" w:lineRule="auto"/>
              <w:jc w:val="left"/>
              <w:rPr>
                <w:b w:val="0"/>
                <w:lang w:val="en-GB"/>
              </w:rPr>
            </w:pPr>
            <w:r w:rsidRPr="00D463E7">
              <w:rPr>
                <w:b w:val="0"/>
                <w:lang w:val="en-GB"/>
              </w:rPr>
              <w:t>Elements that can be used as evidence for presentation</w:t>
            </w:r>
          </w:p>
        </w:tc>
        <w:tc>
          <w:tcPr>
            <w:tcW w:w="4628" w:type="dxa"/>
            <w:hideMark/>
          </w:tcPr>
          <w:p w:rsidR="00D463E7" w:rsidRPr="00D463E7" w:rsidRDefault="006E06EF" w:rsidP="006E06EF">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E06EF">
              <w:rPr>
                <w:lang w:val="en-GB"/>
              </w:rPr>
              <w:t>Problems with the availability of reliable and standardised data over a long period of time.</w:t>
            </w:r>
          </w:p>
        </w:tc>
      </w:tr>
      <w:tr w:rsidR="006E06EF" w:rsidRPr="0016499F" w:rsidTr="002D4B4F">
        <w:trPr>
          <w:trHeight w:val="297"/>
        </w:trPr>
        <w:tc>
          <w:tcPr>
            <w:cnfStyle w:val="001000000000" w:firstRow="0" w:lastRow="0" w:firstColumn="1" w:lastColumn="0" w:oddVBand="0" w:evenVBand="0" w:oddHBand="0" w:evenHBand="0" w:firstRowFirstColumn="0" w:firstRowLastColumn="0" w:lastRowFirstColumn="0" w:lastRowLastColumn="0"/>
            <w:tcW w:w="4628" w:type="dxa"/>
            <w:hideMark/>
          </w:tcPr>
          <w:p w:rsidR="006E06EF" w:rsidRPr="00D463E7" w:rsidRDefault="006E06EF" w:rsidP="00D463E7">
            <w:pPr>
              <w:spacing w:before="100" w:beforeAutospacing="1" w:after="100" w:afterAutospacing="1" w:line="240" w:lineRule="auto"/>
              <w:jc w:val="left"/>
              <w:rPr>
                <w:b w:val="0"/>
                <w:lang w:val="en-GB"/>
              </w:rPr>
            </w:pPr>
          </w:p>
        </w:tc>
        <w:tc>
          <w:tcPr>
            <w:tcW w:w="4628" w:type="dxa"/>
            <w:hideMark/>
          </w:tcPr>
          <w:p w:rsidR="006E06EF" w:rsidRPr="006E06EF" w:rsidRDefault="006E06EF" w:rsidP="006E06EF">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E06EF">
              <w:rPr>
                <w:lang w:val="en-GB"/>
              </w:rPr>
              <w:t>Differences in the understanding of the meaning of an indicator between various users</w:t>
            </w:r>
          </w:p>
        </w:tc>
      </w:tr>
    </w:tbl>
    <w:p w:rsidR="00776118" w:rsidRDefault="001D067E" w:rsidP="00D27AC6">
      <w:pPr>
        <w:rPr>
          <w:lang w:val="en-GB"/>
        </w:rPr>
      </w:pPr>
      <w:r>
        <w:rPr>
          <w:lang w:val="en-GB"/>
        </w:rPr>
        <w:t xml:space="preserve">Indicators can be formed based on documented data and information. Many times, however, documented data is limited, outdated and subject to interpretation and does not adequately reflect different points of view. </w:t>
      </w:r>
      <w:r w:rsidR="003E32E3">
        <w:rPr>
          <w:lang w:val="en-GB"/>
        </w:rPr>
        <w:t xml:space="preserve">Methodologies to overcome these hurdles include interviewing and using </w:t>
      </w:r>
      <w:r w:rsidR="00C071B6">
        <w:rPr>
          <w:lang w:val="en-GB"/>
        </w:rPr>
        <w:t xml:space="preserve">expert opinions or </w:t>
      </w:r>
      <w:r w:rsidR="003E32E3">
        <w:rPr>
          <w:lang w:val="en-GB"/>
        </w:rPr>
        <w:t>focus group discussions to complement documented data. As mentioned, these can also be useful (and sometimes necessary) to complement data gathered through surveys, in order to decrease the risk of incorrect interpretations.</w:t>
      </w:r>
    </w:p>
    <w:p w:rsidR="00EA5BD2" w:rsidRDefault="003E32E3" w:rsidP="00D27AC6">
      <w:pPr>
        <w:rPr>
          <w:lang w:val="en-GB"/>
        </w:rPr>
      </w:pPr>
      <w:r>
        <w:rPr>
          <w:lang w:val="en-GB"/>
        </w:rPr>
        <w:t xml:space="preserve">In conducting interviews and focus group discussions, the key is to design the right questions and select the suitable interviewees. </w:t>
      </w:r>
      <w:r w:rsidR="0055725E">
        <w:rPr>
          <w:lang w:val="en-GB"/>
        </w:rPr>
        <w:t xml:space="preserve">Interviewees should represent different stakeholders in order to maintain a balanced view. It is also worth thinking about the order in which interviews will be conducted, for example, is there some information needed from one group of stakeholders that is needed before another group can be involved? </w:t>
      </w:r>
      <w:r>
        <w:rPr>
          <w:lang w:val="en-GB"/>
        </w:rPr>
        <w:t xml:space="preserve">The difference between the two methodologies is </w:t>
      </w:r>
      <w:r w:rsidR="0055725E">
        <w:rPr>
          <w:lang w:val="en-GB"/>
        </w:rPr>
        <w:t>that interviews are mainly used to gather views from one respondent, while focus groups can involve several respondents. Focus groups can better facilitate</w:t>
      </w:r>
      <w:r w:rsidR="00EA5BD2">
        <w:rPr>
          <w:lang w:val="en-GB"/>
        </w:rPr>
        <w:t xml:space="preserve"> collective analysis and discussion about impacts, which might be particularly beneficial in situations where impacts are hard to identify, much less analyse. Interviews and focus groups are generally better methodologies to be used in gathering qualitative data.</w:t>
      </w:r>
    </w:p>
    <w:p w:rsidR="00EA5BD2" w:rsidRDefault="00EA5BD2" w:rsidP="00D27AC6">
      <w:pPr>
        <w:rPr>
          <w:lang w:val="en-GB"/>
        </w:rPr>
      </w:pPr>
      <w:r>
        <w:rPr>
          <w:lang w:val="en-GB"/>
        </w:rPr>
        <w:t xml:space="preserve">The related advantages and limitations are presented in Table </w:t>
      </w:r>
      <w:r w:rsidR="00D56E13">
        <w:rPr>
          <w:lang w:val="en-GB"/>
        </w:rPr>
        <w:t>6</w:t>
      </w:r>
      <w:r>
        <w:rPr>
          <w:lang w:val="en-GB"/>
        </w:rPr>
        <w:t>.</w:t>
      </w:r>
    </w:p>
    <w:p w:rsidR="00D56E13" w:rsidRDefault="00D56E13" w:rsidP="00D56E13">
      <w:pPr>
        <w:rPr>
          <w:lang w:val="en-GB"/>
        </w:rPr>
      </w:pPr>
      <w:r>
        <w:rPr>
          <w:lang w:val="en-GB"/>
        </w:rPr>
        <w:lastRenderedPageBreak/>
        <w:t xml:space="preserve">Finally, case studies can be used to collect data on a more detailed level about certain impacts. They are especially useful </w:t>
      </w:r>
      <w:r w:rsidRPr="002D4B4F">
        <w:rPr>
          <w:lang w:val="en-GB"/>
        </w:rPr>
        <w:t>when quantitative</w:t>
      </w:r>
      <w:r>
        <w:rPr>
          <w:lang w:val="en-GB"/>
        </w:rPr>
        <w:t xml:space="preserve"> data are scarce or unavailable</w:t>
      </w:r>
      <w:r>
        <w:rPr>
          <w:rStyle w:val="FootnoteReference"/>
          <w:lang w:val="en-GB"/>
        </w:rPr>
        <w:footnoteReference w:id="16"/>
      </w:r>
      <w:r>
        <w:rPr>
          <w:lang w:val="en-GB"/>
        </w:rPr>
        <w:t xml:space="preserve"> and when aiming to understand the reasons for and development of impacts, rather than their scale. Case studies can be used to, for example, highlight impacts from the point of view of specific stakeholders. It should be noted, that case studies require that actions have at least been piloted, before they can be constructed to provide any insight. The related advantages and limitations are presented in Table 7.</w:t>
      </w:r>
    </w:p>
    <w:p w:rsidR="00EA5BD2" w:rsidRPr="00EA5BD2" w:rsidRDefault="00EA5BD2" w:rsidP="00EA5BD2">
      <w:pPr>
        <w:rPr>
          <w:i/>
          <w:lang w:val="en-GB"/>
        </w:rPr>
      </w:pPr>
      <w:r w:rsidRPr="00EA5BD2">
        <w:rPr>
          <w:b/>
          <w:i/>
          <w:lang w:val="en-GB"/>
        </w:rPr>
        <w:t xml:space="preserve">Table </w:t>
      </w:r>
      <w:r w:rsidR="00D56E13">
        <w:rPr>
          <w:b/>
          <w:i/>
          <w:lang w:val="en-GB"/>
        </w:rPr>
        <w:t>6</w:t>
      </w:r>
      <w:r w:rsidRPr="00EA5BD2">
        <w:rPr>
          <w:b/>
          <w:i/>
          <w:lang w:val="en-GB"/>
        </w:rPr>
        <w:t>:</w:t>
      </w:r>
      <w:r w:rsidRPr="00EA5BD2">
        <w:rPr>
          <w:i/>
          <w:lang w:val="en-GB"/>
        </w:rPr>
        <w:t xml:space="preserve"> Advantages and limitations of </w:t>
      </w:r>
      <w:r>
        <w:rPr>
          <w:i/>
          <w:lang w:val="en-GB"/>
        </w:rPr>
        <w:t>interviews and focus groups</w:t>
      </w:r>
      <w:r w:rsidRPr="00EA5BD2">
        <w:rPr>
          <w:i/>
          <w:vertAlign w:val="superscript"/>
          <w:lang w:val="en-GB"/>
        </w:rPr>
        <w:footnoteReference w:id="17"/>
      </w:r>
      <w:r w:rsidRPr="00EA5BD2">
        <w:rPr>
          <w:i/>
          <w:lang w:val="en-GB"/>
        </w:rPr>
        <w:t>.</w:t>
      </w:r>
    </w:p>
    <w:tbl>
      <w:tblPr>
        <w:tblStyle w:val="LightShading-Accent5"/>
        <w:tblW w:w="9153" w:type="dxa"/>
        <w:tblLook w:val="04A0" w:firstRow="1" w:lastRow="0" w:firstColumn="1" w:lastColumn="0" w:noHBand="0" w:noVBand="1"/>
      </w:tblPr>
      <w:tblGrid>
        <w:gridCol w:w="1526"/>
        <w:gridCol w:w="3260"/>
        <w:gridCol w:w="4367"/>
      </w:tblGrid>
      <w:tr w:rsidR="00247BE7" w:rsidRPr="00EA5BD2" w:rsidTr="002D4B4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26" w:type="dxa"/>
          </w:tcPr>
          <w:p w:rsidR="00247BE7" w:rsidRPr="00EA5BD2" w:rsidRDefault="00247BE7" w:rsidP="00EA5BD2">
            <w:pPr>
              <w:spacing w:before="0" w:after="0" w:line="240" w:lineRule="auto"/>
              <w:jc w:val="left"/>
              <w:rPr>
                <w:rFonts w:asciiTheme="minorHAnsi" w:eastAsia="Times New Roman" w:hAnsiTheme="minorHAnsi"/>
                <w:b w:val="0"/>
                <w:bCs w:val="0"/>
                <w:iCs/>
                <w:szCs w:val="22"/>
                <w:lang w:val="en-GB" w:eastAsia="en-GB"/>
              </w:rPr>
            </w:pPr>
          </w:p>
        </w:tc>
        <w:tc>
          <w:tcPr>
            <w:tcW w:w="3260" w:type="dxa"/>
            <w:hideMark/>
          </w:tcPr>
          <w:p w:rsidR="00247BE7" w:rsidRPr="00EA5BD2" w:rsidRDefault="00247BE7" w:rsidP="00EA5BD2">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Cs/>
                <w:szCs w:val="22"/>
                <w:lang w:val="en-GB" w:eastAsia="en-GB"/>
              </w:rPr>
            </w:pPr>
            <w:r w:rsidRPr="00EA5BD2">
              <w:rPr>
                <w:rFonts w:asciiTheme="minorHAnsi" w:eastAsia="Times New Roman" w:hAnsiTheme="minorHAnsi"/>
                <w:iCs/>
                <w:szCs w:val="22"/>
                <w:lang w:val="en-GB" w:eastAsia="en-GB"/>
              </w:rPr>
              <w:t>Advantages</w:t>
            </w:r>
          </w:p>
        </w:tc>
        <w:tc>
          <w:tcPr>
            <w:tcW w:w="4367" w:type="dxa"/>
            <w:hideMark/>
          </w:tcPr>
          <w:p w:rsidR="00247BE7" w:rsidRPr="00EA5BD2" w:rsidRDefault="00247BE7" w:rsidP="00EA5BD2">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Cs/>
                <w:szCs w:val="22"/>
                <w:lang w:val="en-GB" w:eastAsia="en-GB"/>
              </w:rPr>
            </w:pPr>
            <w:r w:rsidRPr="00EA5BD2">
              <w:rPr>
                <w:rFonts w:asciiTheme="minorHAnsi" w:eastAsia="Times New Roman" w:hAnsiTheme="minorHAnsi"/>
                <w:iCs/>
                <w:szCs w:val="22"/>
                <w:lang w:val="en-GB" w:eastAsia="en-GB"/>
              </w:rPr>
              <w:t>Limitations</w:t>
            </w:r>
          </w:p>
        </w:tc>
      </w:tr>
      <w:tr w:rsidR="00247BE7" w:rsidRPr="0016499F" w:rsidTr="002D4B4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526" w:type="dxa"/>
          </w:tcPr>
          <w:p w:rsidR="00247BE7" w:rsidRPr="00247BE7" w:rsidRDefault="00247BE7" w:rsidP="00EA5BD2">
            <w:pPr>
              <w:spacing w:before="0" w:after="0" w:line="240" w:lineRule="auto"/>
              <w:jc w:val="left"/>
              <w:rPr>
                <w:rFonts w:asciiTheme="minorHAnsi" w:eastAsia="Times New Roman" w:hAnsiTheme="minorHAnsi"/>
                <w:bCs w:val="0"/>
                <w:iCs/>
                <w:szCs w:val="22"/>
                <w:lang w:val="en-GB" w:eastAsia="en-GB"/>
              </w:rPr>
            </w:pPr>
            <w:r w:rsidRPr="00247BE7">
              <w:rPr>
                <w:rFonts w:asciiTheme="minorHAnsi" w:eastAsia="Times New Roman" w:hAnsiTheme="minorHAnsi"/>
                <w:bCs w:val="0"/>
                <w:iCs/>
                <w:szCs w:val="22"/>
                <w:lang w:val="en-GB" w:eastAsia="en-GB"/>
              </w:rPr>
              <w:t>Interviews</w:t>
            </w:r>
          </w:p>
        </w:tc>
        <w:tc>
          <w:tcPr>
            <w:tcW w:w="3260" w:type="dxa"/>
            <w:hideMark/>
          </w:tcPr>
          <w:p w:rsidR="00107937" w:rsidRDefault="00107937" w:rsidP="00107937">
            <w:pPr>
              <w:pStyle w:val="ListParagraph"/>
              <w:numPr>
                <w:ilvl w:val="0"/>
                <w:numId w:val="29"/>
              </w:numPr>
              <w:spacing w:before="0" w:after="0" w:line="240" w:lineRule="auto"/>
              <w:ind w:left="317" w:hanging="283"/>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iCs/>
                <w:szCs w:val="22"/>
                <w:lang w:val="en-GB" w:eastAsia="en-GB"/>
              </w:rPr>
            </w:pPr>
            <w:r>
              <w:rPr>
                <w:rFonts w:asciiTheme="minorHAnsi" w:eastAsia="Times New Roman" w:hAnsiTheme="minorHAnsi"/>
                <w:bCs/>
                <w:iCs/>
                <w:szCs w:val="22"/>
                <w:lang w:val="en-GB" w:eastAsia="en-GB"/>
              </w:rPr>
              <w:t>Effective tool to improve understanding of quantitative data</w:t>
            </w:r>
          </w:p>
          <w:p w:rsidR="00107937" w:rsidRPr="00247BE7" w:rsidRDefault="00107937" w:rsidP="00107937">
            <w:pPr>
              <w:pStyle w:val="ListParagraph"/>
              <w:numPr>
                <w:ilvl w:val="0"/>
                <w:numId w:val="29"/>
              </w:numPr>
              <w:spacing w:before="0" w:after="0" w:line="240" w:lineRule="auto"/>
              <w:ind w:left="317" w:hanging="283"/>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iCs/>
                <w:szCs w:val="22"/>
                <w:lang w:val="en-GB" w:eastAsia="en-GB"/>
              </w:rPr>
            </w:pPr>
            <w:r>
              <w:rPr>
                <w:rFonts w:asciiTheme="minorHAnsi" w:eastAsia="Times New Roman" w:hAnsiTheme="minorHAnsi"/>
                <w:bCs/>
                <w:iCs/>
                <w:szCs w:val="22"/>
                <w:lang w:val="en-GB" w:eastAsia="en-GB"/>
              </w:rPr>
              <w:t>Relatively quick to conduct</w:t>
            </w:r>
            <w:r w:rsidR="002D4B4F">
              <w:rPr>
                <w:rFonts w:asciiTheme="minorHAnsi" w:eastAsia="Times New Roman" w:hAnsiTheme="minorHAnsi"/>
                <w:bCs/>
                <w:iCs/>
                <w:szCs w:val="22"/>
                <w:lang w:val="en-GB" w:eastAsia="en-GB"/>
              </w:rPr>
              <w:t>, easy tool to use</w:t>
            </w:r>
          </w:p>
          <w:p w:rsidR="00247BE7" w:rsidRPr="00247BE7" w:rsidRDefault="00247BE7" w:rsidP="00EA5BD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iCs/>
                <w:szCs w:val="22"/>
                <w:lang w:val="en-GB" w:eastAsia="en-GB"/>
              </w:rPr>
            </w:pPr>
          </w:p>
        </w:tc>
        <w:tc>
          <w:tcPr>
            <w:tcW w:w="4367" w:type="dxa"/>
            <w:hideMark/>
          </w:tcPr>
          <w:p w:rsidR="00247BE7" w:rsidRDefault="00107937" w:rsidP="00107937">
            <w:pPr>
              <w:pStyle w:val="ListParagraph"/>
              <w:numPr>
                <w:ilvl w:val="0"/>
                <w:numId w:val="29"/>
              </w:numPr>
              <w:spacing w:before="0" w:after="0" w:line="240" w:lineRule="auto"/>
              <w:ind w:left="317" w:hanging="283"/>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Cs/>
                <w:szCs w:val="22"/>
                <w:lang w:val="en-GB" w:eastAsia="en-GB"/>
              </w:rPr>
            </w:pPr>
            <w:r w:rsidRPr="00107937">
              <w:rPr>
                <w:rFonts w:asciiTheme="minorHAnsi" w:eastAsia="Times New Roman" w:hAnsiTheme="minorHAnsi"/>
                <w:bCs/>
                <w:iCs/>
                <w:szCs w:val="22"/>
                <w:lang w:val="en-GB" w:eastAsia="en-GB"/>
              </w:rPr>
              <w:t>A limited number of</w:t>
            </w:r>
            <w:r>
              <w:rPr>
                <w:rFonts w:asciiTheme="minorHAnsi" w:eastAsia="Times New Roman" w:hAnsiTheme="minorHAnsi"/>
                <w:iCs/>
                <w:szCs w:val="22"/>
                <w:lang w:val="en-GB" w:eastAsia="en-GB"/>
              </w:rPr>
              <w:t xml:space="preserve"> respondents can be reached</w:t>
            </w:r>
          </w:p>
          <w:p w:rsidR="00107937" w:rsidRDefault="00107937" w:rsidP="00107937">
            <w:pPr>
              <w:pStyle w:val="ListParagraph"/>
              <w:numPr>
                <w:ilvl w:val="0"/>
                <w:numId w:val="29"/>
              </w:numPr>
              <w:spacing w:before="0" w:after="0" w:line="240" w:lineRule="auto"/>
              <w:ind w:left="317" w:hanging="283"/>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Cs/>
                <w:szCs w:val="22"/>
                <w:lang w:val="en-GB" w:eastAsia="en-GB"/>
              </w:rPr>
            </w:pPr>
            <w:r>
              <w:rPr>
                <w:rFonts w:asciiTheme="minorHAnsi" w:eastAsia="Times New Roman" w:hAnsiTheme="minorHAnsi"/>
                <w:iCs/>
                <w:szCs w:val="22"/>
                <w:lang w:val="en-GB" w:eastAsia="en-GB"/>
              </w:rPr>
              <w:t>The limited representativeness of the respondent may skew the results</w:t>
            </w:r>
          </w:p>
          <w:p w:rsidR="00107937" w:rsidRPr="00247BE7" w:rsidRDefault="00107937" w:rsidP="00107937">
            <w:pPr>
              <w:pStyle w:val="ListParagraph"/>
              <w:numPr>
                <w:ilvl w:val="0"/>
                <w:numId w:val="29"/>
              </w:numPr>
              <w:spacing w:before="0" w:after="0" w:line="240" w:lineRule="auto"/>
              <w:ind w:left="317" w:hanging="283"/>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iCs/>
                <w:szCs w:val="22"/>
                <w:lang w:val="en-GB" w:eastAsia="en-GB"/>
              </w:rPr>
            </w:pPr>
            <w:r>
              <w:rPr>
                <w:rFonts w:asciiTheme="minorHAnsi" w:eastAsia="Times New Roman" w:hAnsiTheme="minorHAnsi"/>
                <w:iCs/>
                <w:szCs w:val="22"/>
                <w:lang w:val="en-GB" w:eastAsia="en-GB"/>
              </w:rPr>
              <w:t>Relies on respondents verbal expression skills</w:t>
            </w:r>
          </w:p>
        </w:tc>
      </w:tr>
      <w:tr w:rsidR="00247BE7" w:rsidRPr="0016499F" w:rsidTr="002D4B4F">
        <w:trPr>
          <w:trHeight w:val="128"/>
        </w:trPr>
        <w:tc>
          <w:tcPr>
            <w:cnfStyle w:val="001000000000" w:firstRow="0" w:lastRow="0" w:firstColumn="1" w:lastColumn="0" w:oddVBand="0" w:evenVBand="0" w:oddHBand="0" w:evenHBand="0" w:firstRowFirstColumn="0" w:firstRowLastColumn="0" w:lastRowFirstColumn="0" w:lastRowLastColumn="0"/>
            <w:tcW w:w="1526" w:type="dxa"/>
          </w:tcPr>
          <w:p w:rsidR="00247BE7" w:rsidRPr="00247BE7" w:rsidRDefault="00247BE7" w:rsidP="00EA5BD2">
            <w:pPr>
              <w:spacing w:before="0" w:after="0" w:line="240" w:lineRule="auto"/>
              <w:jc w:val="left"/>
              <w:rPr>
                <w:rFonts w:asciiTheme="minorHAnsi" w:eastAsia="Times New Roman" w:hAnsiTheme="minorHAnsi"/>
                <w:bCs w:val="0"/>
                <w:iCs/>
                <w:szCs w:val="22"/>
                <w:lang w:val="en-GB" w:eastAsia="en-GB"/>
              </w:rPr>
            </w:pPr>
            <w:r w:rsidRPr="00247BE7">
              <w:rPr>
                <w:rFonts w:asciiTheme="minorHAnsi" w:eastAsia="Times New Roman" w:hAnsiTheme="minorHAnsi"/>
                <w:bCs w:val="0"/>
                <w:iCs/>
                <w:szCs w:val="22"/>
                <w:lang w:val="en-GB" w:eastAsia="en-GB"/>
              </w:rPr>
              <w:t>Focus groups</w:t>
            </w:r>
          </w:p>
        </w:tc>
        <w:tc>
          <w:tcPr>
            <w:tcW w:w="3260" w:type="dxa"/>
            <w:hideMark/>
          </w:tcPr>
          <w:p w:rsidR="00247BE7" w:rsidRPr="00247BE7" w:rsidRDefault="00247BE7" w:rsidP="00247BE7">
            <w:pPr>
              <w:pStyle w:val="ListParagraph"/>
              <w:numPr>
                <w:ilvl w:val="0"/>
                <w:numId w:val="29"/>
              </w:numPr>
              <w:spacing w:before="0" w:after="0" w:line="240" w:lineRule="auto"/>
              <w:ind w:left="317" w:hanging="283"/>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iCs/>
                <w:szCs w:val="22"/>
                <w:lang w:val="en-GB" w:eastAsia="en-GB"/>
              </w:rPr>
            </w:pPr>
            <w:r w:rsidRPr="00247BE7">
              <w:rPr>
                <w:rFonts w:asciiTheme="minorHAnsi" w:eastAsia="Times New Roman" w:hAnsiTheme="minorHAnsi"/>
                <w:bCs/>
                <w:iCs/>
                <w:szCs w:val="22"/>
                <w:lang w:val="en-GB" w:eastAsia="en-GB"/>
              </w:rPr>
              <w:t>A means to interview numerous respondents</w:t>
            </w:r>
          </w:p>
          <w:p w:rsidR="00247BE7" w:rsidRPr="00247BE7" w:rsidRDefault="00247BE7" w:rsidP="00247BE7">
            <w:pPr>
              <w:pStyle w:val="ListParagraph"/>
              <w:numPr>
                <w:ilvl w:val="0"/>
                <w:numId w:val="29"/>
              </w:numPr>
              <w:spacing w:before="0" w:after="0" w:line="240" w:lineRule="auto"/>
              <w:ind w:left="317" w:hanging="283"/>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iCs/>
                <w:szCs w:val="22"/>
                <w:lang w:val="en-GB" w:eastAsia="en-GB"/>
              </w:rPr>
            </w:pPr>
            <w:r w:rsidRPr="00247BE7">
              <w:rPr>
                <w:rFonts w:asciiTheme="minorHAnsi" w:eastAsia="Times New Roman" w:hAnsiTheme="minorHAnsi"/>
                <w:bCs/>
                <w:iCs/>
                <w:szCs w:val="22"/>
                <w:lang w:val="en-GB" w:eastAsia="en-GB"/>
              </w:rPr>
              <w:t>Facilitates discussion on difficult issues</w:t>
            </w:r>
          </w:p>
          <w:p w:rsidR="00247BE7" w:rsidRPr="00247BE7" w:rsidRDefault="00247BE7" w:rsidP="00247BE7">
            <w:pPr>
              <w:pStyle w:val="ListParagraph"/>
              <w:numPr>
                <w:ilvl w:val="0"/>
                <w:numId w:val="29"/>
              </w:numPr>
              <w:spacing w:before="0" w:after="0" w:line="240" w:lineRule="auto"/>
              <w:ind w:left="317" w:hanging="283"/>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iCs/>
                <w:szCs w:val="22"/>
                <w:lang w:val="en-GB" w:eastAsia="en-GB"/>
              </w:rPr>
            </w:pPr>
            <w:r w:rsidRPr="00247BE7">
              <w:rPr>
                <w:rFonts w:asciiTheme="minorHAnsi" w:eastAsia="Times New Roman" w:hAnsiTheme="minorHAnsi"/>
                <w:bCs/>
                <w:iCs/>
                <w:szCs w:val="22"/>
                <w:lang w:val="en-GB" w:eastAsia="en-GB"/>
              </w:rPr>
              <w:t>A source of creativity if group dynamic is controlled</w:t>
            </w:r>
          </w:p>
        </w:tc>
        <w:tc>
          <w:tcPr>
            <w:tcW w:w="4367" w:type="dxa"/>
            <w:hideMark/>
          </w:tcPr>
          <w:p w:rsidR="00247BE7" w:rsidRPr="00247BE7" w:rsidRDefault="00247BE7" w:rsidP="00247BE7">
            <w:pPr>
              <w:pStyle w:val="ListParagraph"/>
              <w:numPr>
                <w:ilvl w:val="0"/>
                <w:numId w:val="29"/>
              </w:numPr>
              <w:spacing w:before="0" w:after="0" w:line="240" w:lineRule="auto"/>
              <w:ind w:left="317" w:hanging="283"/>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iCs/>
                <w:szCs w:val="22"/>
                <w:lang w:val="en-GB" w:eastAsia="en-GB"/>
              </w:rPr>
            </w:pPr>
            <w:r w:rsidRPr="00247BE7">
              <w:rPr>
                <w:rFonts w:asciiTheme="minorHAnsi" w:eastAsia="Times New Roman" w:hAnsiTheme="minorHAnsi"/>
                <w:bCs/>
                <w:iCs/>
                <w:szCs w:val="22"/>
                <w:lang w:val="en-GB" w:eastAsia="en-GB"/>
              </w:rPr>
              <w:t>More complex</w:t>
            </w:r>
            <w:r>
              <w:rPr>
                <w:rFonts w:asciiTheme="minorHAnsi" w:eastAsia="Times New Roman" w:hAnsiTheme="minorHAnsi"/>
                <w:bCs/>
                <w:iCs/>
                <w:szCs w:val="22"/>
                <w:lang w:val="en-GB" w:eastAsia="en-GB"/>
              </w:rPr>
              <w:t xml:space="preserve"> and time</w:t>
            </w:r>
            <w:r w:rsidR="00107937">
              <w:rPr>
                <w:rFonts w:asciiTheme="minorHAnsi" w:eastAsia="Times New Roman" w:hAnsiTheme="minorHAnsi"/>
                <w:bCs/>
                <w:iCs/>
                <w:szCs w:val="22"/>
                <w:lang w:val="en-GB" w:eastAsia="en-GB"/>
              </w:rPr>
              <w:t xml:space="preserve"> </w:t>
            </w:r>
            <w:r>
              <w:rPr>
                <w:rFonts w:asciiTheme="minorHAnsi" w:eastAsia="Times New Roman" w:hAnsiTheme="minorHAnsi"/>
                <w:bCs/>
                <w:iCs/>
                <w:szCs w:val="22"/>
                <w:lang w:val="en-GB" w:eastAsia="en-GB"/>
              </w:rPr>
              <w:t>consuming</w:t>
            </w:r>
            <w:r w:rsidRPr="00247BE7">
              <w:rPr>
                <w:rFonts w:asciiTheme="minorHAnsi" w:eastAsia="Times New Roman" w:hAnsiTheme="minorHAnsi"/>
                <w:bCs/>
                <w:iCs/>
                <w:szCs w:val="22"/>
                <w:lang w:val="en-GB" w:eastAsia="en-GB"/>
              </w:rPr>
              <w:t xml:space="preserve"> to organise and prepare</w:t>
            </w:r>
            <w:r w:rsidR="00107937">
              <w:rPr>
                <w:rFonts w:asciiTheme="minorHAnsi" w:eastAsia="Times New Roman" w:hAnsiTheme="minorHAnsi"/>
                <w:bCs/>
                <w:iCs/>
                <w:szCs w:val="22"/>
                <w:lang w:val="en-GB" w:eastAsia="en-GB"/>
              </w:rPr>
              <w:t xml:space="preserve"> for</w:t>
            </w:r>
          </w:p>
          <w:p w:rsidR="00247BE7" w:rsidRPr="00247BE7" w:rsidRDefault="00247BE7" w:rsidP="00107937">
            <w:pPr>
              <w:pStyle w:val="ListParagraph"/>
              <w:numPr>
                <w:ilvl w:val="0"/>
                <w:numId w:val="29"/>
              </w:numPr>
              <w:spacing w:before="0" w:after="0" w:line="240" w:lineRule="auto"/>
              <w:ind w:left="317" w:hanging="283"/>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Cs/>
                <w:szCs w:val="22"/>
                <w:lang w:val="en-GB" w:eastAsia="en-GB"/>
              </w:rPr>
            </w:pPr>
            <w:r w:rsidRPr="00247BE7">
              <w:rPr>
                <w:rFonts w:asciiTheme="minorHAnsi" w:eastAsia="Times New Roman" w:hAnsiTheme="minorHAnsi"/>
                <w:bCs/>
                <w:iCs/>
                <w:szCs w:val="22"/>
                <w:lang w:val="en-GB" w:eastAsia="en-GB"/>
              </w:rPr>
              <w:t xml:space="preserve">Some participants may not want to share their views </w:t>
            </w:r>
            <w:r>
              <w:rPr>
                <w:rFonts w:asciiTheme="minorHAnsi" w:eastAsia="Times New Roman" w:hAnsiTheme="minorHAnsi"/>
                <w:bCs/>
                <w:iCs/>
                <w:szCs w:val="22"/>
                <w:lang w:val="en-GB" w:eastAsia="en-GB"/>
              </w:rPr>
              <w:t xml:space="preserve">openly </w:t>
            </w:r>
            <w:r w:rsidRPr="00247BE7">
              <w:rPr>
                <w:rFonts w:asciiTheme="minorHAnsi" w:eastAsia="Times New Roman" w:hAnsiTheme="minorHAnsi"/>
                <w:bCs/>
                <w:iCs/>
                <w:szCs w:val="22"/>
                <w:lang w:val="en-GB" w:eastAsia="en-GB"/>
              </w:rPr>
              <w:t>with others</w:t>
            </w:r>
          </w:p>
        </w:tc>
      </w:tr>
    </w:tbl>
    <w:p w:rsidR="00232CB7" w:rsidRPr="00776118" w:rsidRDefault="00232CB7" w:rsidP="00232CB7">
      <w:pPr>
        <w:rPr>
          <w:i/>
          <w:lang w:val="en-GB"/>
        </w:rPr>
      </w:pPr>
      <w:r w:rsidRPr="00776118">
        <w:rPr>
          <w:b/>
          <w:i/>
          <w:lang w:val="en-GB"/>
        </w:rPr>
        <w:t xml:space="preserve">Table </w:t>
      </w:r>
      <w:r w:rsidR="00D56E13">
        <w:rPr>
          <w:b/>
          <w:i/>
          <w:lang w:val="en-GB"/>
        </w:rPr>
        <w:t>7</w:t>
      </w:r>
      <w:r w:rsidRPr="00776118">
        <w:rPr>
          <w:b/>
          <w:i/>
          <w:lang w:val="en-GB"/>
        </w:rPr>
        <w:t>:</w:t>
      </w:r>
      <w:r w:rsidRPr="00776118">
        <w:rPr>
          <w:i/>
          <w:lang w:val="en-GB"/>
        </w:rPr>
        <w:t xml:space="preserve"> Advantages and limitations of </w:t>
      </w:r>
      <w:r>
        <w:rPr>
          <w:i/>
          <w:lang w:val="en-GB"/>
        </w:rPr>
        <w:t>case studies</w:t>
      </w:r>
      <w:r w:rsidRPr="00776118">
        <w:rPr>
          <w:i/>
          <w:vertAlign w:val="superscript"/>
          <w:lang w:val="en-GB"/>
        </w:rPr>
        <w:footnoteReference w:id="18"/>
      </w:r>
      <w:r w:rsidRPr="00776118">
        <w:rPr>
          <w:i/>
          <w:lang w:val="en-GB"/>
        </w:rPr>
        <w:t>.</w:t>
      </w:r>
    </w:p>
    <w:tbl>
      <w:tblPr>
        <w:tblStyle w:val="LightShading-Accent5"/>
        <w:tblW w:w="9256" w:type="dxa"/>
        <w:tblLook w:val="04A0" w:firstRow="1" w:lastRow="0" w:firstColumn="1" w:lastColumn="0" w:noHBand="0" w:noVBand="1"/>
      </w:tblPr>
      <w:tblGrid>
        <w:gridCol w:w="4628"/>
        <w:gridCol w:w="4628"/>
      </w:tblGrid>
      <w:tr w:rsidR="00232CB7" w:rsidRPr="00776118" w:rsidTr="004E562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28" w:type="dxa"/>
            <w:hideMark/>
          </w:tcPr>
          <w:p w:rsidR="00232CB7" w:rsidRPr="006E06EF" w:rsidRDefault="00232CB7" w:rsidP="004E5621">
            <w:pPr>
              <w:spacing w:before="0" w:after="0" w:line="240" w:lineRule="auto"/>
              <w:jc w:val="left"/>
              <w:rPr>
                <w:rFonts w:asciiTheme="minorHAnsi" w:eastAsia="Times New Roman" w:hAnsiTheme="minorHAnsi"/>
                <w:iCs/>
                <w:szCs w:val="22"/>
                <w:lang w:val="en-GB" w:eastAsia="en-GB"/>
              </w:rPr>
            </w:pPr>
            <w:r w:rsidRPr="006E06EF">
              <w:rPr>
                <w:rFonts w:asciiTheme="minorHAnsi" w:eastAsia="Times New Roman" w:hAnsiTheme="minorHAnsi"/>
                <w:iCs/>
                <w:szCs w:val="22"/>
                <w:lang w:val="en-GB" w:eastAsia="en-GB"/>
              </w:rPr>
              <w:t>Advantages</w:t>
            </w:r>
          </w:p>
        </w:tc>
        <w:tc>
          <w:tcPr>
            <w:tcW w:w="4628" w:type="dxa"/>
            <w:hideMark/>
          </w:tcPr>
          <w:p w:rsidR="00232CB7" w:rsidRPr="006E06EF" w:rsidRDefault="00232CB7" w:rsidP="004E5621">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Cs/>
                <w:szCs w:val="22"/>
                <w:lang w:val="en-GB" w:eastAsia="en-GB"/>
              </w:rPr>
            </w:pPr>
            <w:r w:rsidRPr="006E06EF">
              <w:rPr>
                <w:rFonts w:asciiTheme="minorHAnsi" w:eastAsia="Times New Roman" w:hAnsiTheme="minorHAnsi"/>
                <w:iCs/>
                <w:szCs w:val="22"/>
                <w:lang w:val="en-GB" w:eastAsia="en-GB"/>
              </w:rPr>
              <w:t>Limitations</w:t>
            </w:r>
          </w:p>
        </w:tc>
      </w:tr>
      <w:tr w:rsidR="00232CB7" w:rsidRPr="0016499F" w:rsidTr="004E5621">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628" w:type="dxa"/>
            <w:hideMark/>
          </w:tcPr>
          <w:p w:rsidR="00232CB7" w:rsidRPr="00D463E7" w:rsidRDefault="00232CB7" w:rsidP="00232CB7">
            <w:pPr>
              <w:spacing w:before="100" w:beforeAutospacing="1" w:after="100" w:afterAutospacing="1" w:line="240" w:lineRule="auto"/>
              <w:jc w:val="left"/>
              <w:rPr>
                <w:b w:val="0"/>
                <w:lang w:val="en-GB"/>
              </w:rPr>
            </w:pPr>
            <w:r>
              <w:rPr>
                <w:b w:val="0"/>
                <w:lang w:val="en-GB"/>
              </w:rPr>
              <w:t>Case studies can provide a lot more detailed information on an impact</w:t>
            </w:r>
          </w:p>
        </w:tc>
        <w:tc>
          <w:tcPr>
            <w:tcW w:w="4628" w:type="dxa"/>
            <w:hideMark/>
          </w:tcPr>
          <w:p w:rsidR="00232CB7" w:rsidRPr="00D463E7" w:rsidRDefault="00232CB7" w:rsidP="004E5621">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Data gathering for a case study often requires the use of other tools as well (e.g. interviews)</w:t>
            </w:r>
          </w:p>
        </w:tc>
      </w:tr>
      <w:tr w:rsidR="00232CB7" w:rsidRPr="0016499F" w:rsidTr="004E5621">
        <w:trPr>
          <w:trHeight w:val="137"/>
        </w:trPr>
        <w:tc>
          <w:tcPr>
            <w:cnfStyle w:val="001000000000" w:firstRow="0" w:lastRow="0" w:firstColumn="1" w:lastColumn="0" w:oddVBand="0" w:evenVBand="0" w:oddHBand="0" w:evenHBand="0" w:firstRowFirstColumn="0" w:firstRowLastColumn="0" w:lastRowFirstColumn="0" w:lastRowLastColumn="0"/>
            <w:tcW w:w="4628" w:type="dxa"/>
            <w:hideMark/>
          </w:tcPr>
          <w:p w:rsidR="00232CB7" w:rsidRPr="00D463E7" w:rsidRDefault="00232CB7" w:rsidP="004E5621">
            <w:pPr>
              <w:spacing w:before="100" w:beforeAutospacing="1" w:after="100" w:afterAutospacing="1" w:line="240" w:lineRule="auto"/>
              <w:jc w:val="left"/>
              <w:rPr>
                <w:b w:val="0"/>
                <w:lang w:val="en-GB"/>
              </w:rPr>
            </w:pPr>
            <w:r>
              <w:rPr>
                <w:b w:val="0"/>
                <w:lang w:val="en-GB"/>
              </w:rPr>
              <w:t>It is easily communicated</w:t>
            </w:r>
          </w:p>
        </w:tc>
        <w:tc>
          <w:tcPr>
            <w:tcW w:w="4628" w:type="dxa"/>
            <w:hideMark/>
          </w:tcPr>
          <w:p w:rsidR="00232CB7" w:rsidRPr="00D463E7" w:rsidRDefault="00232CB7" w:rsidP="004E5621">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By default, case studies </w:t>
            </w:r>
            <w:r w:rsidR="00891A6E">
              <w:rPr>
                <w:lang w:val="en-GB"/>
              </w:rPr>
              <w:t>are not representative of the whole situation, requires that case studies are selected and used carefully in order to give an unbiased view</w:t>
            </w:r>
          </w:p>
        </w:tc>
      </w:tr>
      <w:tr w:rsidR="00232CB7" w:rsidRPr="0016499F" w:rsidTr="004E562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28" w:type="dxa"/>
            <w:hideMark/>
          </w:tcPr>
          <w:p w:rsidR="00232CB7" w:rsidRPr="00D463E7" w:rsidRDefault="00232CB7" w:rsidP="004E5621">
            <w:pPr>
              <w:spacing w:before="100" w:beforeAutospacing="1" w:after="100" w:afterAutospacing="1" w:line="240" w:lineRule="auto"/>
              <w:jc w:val="left"/>
              <w:rPr>
                <w:b w:val="0"/>
                <w:lang w:val="en-GB"/>
              </w:rPr>
            </w:pPr>
            <w:r>
              <w:rPr>
                <w:b w:val="0"/>
                <w:lang w:val="en-GB"/>
              </w:rPr>
              <w:t>It can provide practical examples and illustrations helping to clarify complex action-impact chains</w:t>
            </w:r>
          </w:p>
        </w:tc>
        <w:tc>
          <w:tcPr>
            <w:tcW w:w="4628" w:type="dxa"/>
            <w:hideMark/>
          </w:tcPr>
          <w:p w:rsidR="00232CB7" w:rsidRPr="00D463E7" w:rsidRDefault="00891A6E" w:rsidP="004E5621">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Hard to generalise impacts based on single case studies</w:t>
            </w:r>
          </w:p>
        </w:tc>
      </w:tr>
      <w:tr w:rsidR="00232CB7" w:rsidRPr="0016499F" w:rsidTr="004E5621">
        <w:trPr>
          <w:trHeight w:val="297"/>
        </w:trPr>
        <w:tc>
          <w:tcPr>
            <w:cnfStyle w:val="001000000000" w:firstRow="0" w:lastRow="0" w:firstColumn="1" w:lastColumn="0" w:oddVBand="0" w:evenVBand="0" w:oddHBand="0" w:evenHBand="0" w:firstRowFirstColumn="0" w:firstRowLastColumn="0" w:lastRowFirstColumn="0" w:lastRowLastColumn="0"/>
            <w:tcW w:w="4628" w:type="dxa"/>
            <w:hideMark/>
          </w:tcPr>
          <w:p w:rsidR="00232CB7" w:rsidRPr="00D463E7" w:rsidRDefault="00232CB7" w:rsidP="004E5621">
            <w:pPr>
              <w:spacing w:before="100" w:beforeAutospacing="1" w:after="100" w:afterAutospacing="1" w:line="240" w:lineRule="auto"/>
              <w:jc w:val="left"/>
              <w:rPr>
                <w:b w:val="0"/>
                <w:lang w:val="en-GB"/>
              </w:rPr>
            </w:pPr>
          </w:p>
        </w:tc>
        <w:tc>
          <w:tcPr>
            <w:tcW w:w="4628" w:type="dxa"/>
            <w:hideMark/>
          </w:tcPr>
          <w:p w:rsidR="00232CB7" w:rsidRPr="006E06EF" w:rsidRDefault="00891A6E" w:rsidP="004E5621">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Case studies often do not provide insight extending over significant periods of time (rather they are snapshots of impacts in a certain time and context)</w:t>
            </w:r>
          </w:p>
        </w:tc>
      </w:tr>
    </w:tbl>
    <w:p w:rsidR="00110C9B" w:rsidRPr="00891A6E" w:rsidRDefault="00110C9B" w:rsidP="00C071B6">
      <w:pPr>
        <w:pStyle w:val="Heading4"/>
        <w:rPr>
          <w:lang w:val="en-GB"/>
        </w:rPr>
      </w:pPr>
      <w:r w:rsidRPr="00891A6E">
        <w:rPr>
          <w:lang w:val="en-GB"/>
        </w:rPr>
        <w:t xml:space="preserve">3) </w:t>
      </w:r>
      <w:r w:rsidR="00AC547C" w:rsidRPr="00891A6E">
        <w:rPr>
          <w:lang w:val="en-GB"/>
        </w:rPr>
        <w:t>Methodologies for analysis</w:t>
      </w:r>
    </w:p>
    <w:p w:rsidR="00A935F1" w:rsidRDefault="00891A6E" w:rsidP="00D27AC6">
      <w:pPr>
        <w:rPr>
          <w:lang w:val="en-GB"/>
        </w:rPr>
      </w:pPr>
      <w:r>
        <w:rPr>
          <w:lang w:val="en-GB"/>
        </w:rPr>
        <w:t xml:space="preserve">Once data has been gathered, it needs to be analysed in order to be useful to the assessor. Here is where the expertise of the assessor plays a significant role. </w:t>
      </w:r>
      <w:r w:rsidR="00F65A2F">
        <w:rPr>
          <w:lang w:val="en-GB"/>
        </w:rPr>
        <w:t xml:space="preserve">Analysis relies heavily on the ability of the assessor to connect data gathered using different tools and methodologies and to make justified </w:t>
      </w:r>
      <w:r w:rsidR="00F65A2F">
        <w:rPr>
          <w:lang w:val="en-GB"/>
        </w:rPr>
        <w:lastRenderedPageBreak/>
        <w:t xml:space="preserve">conclusions. </w:t>
      </w:r>
      <w:r w:rsidR="00A935F1">
        <w:rPr>
          <w:lang w:val="en-GB"/>
        </w:rPr>
        <w:t xml:space="preserve">However, methodologies also exist to help in analysis. </w:t>
      </w:r>
      <w:r w:rsidR="009D5132">
        <w:rPr>
          <w:lang w:val="en-GB"/>
        </w:rPr>
        <w:t>One example is cost-effectiveness analysis which compares the impact of the action with the cost for the stakeholders concerned</w:t>
      </w:r>
      <w:r w:rsidR="009D5132">
        <w:rPr>
          <w:rStyle w:val="FootnoteReference"/>
          <w:lang w:val="en-GB"/>
        </w:rPr>
        <w:footnoteReference w:id="19"/>
      </w:r>
      <w:r w:rsidR="009D5132">
        <w:rPr>
          <w:lang w:val="en-GB"/>
        </w:rPr>
        <w:t>. This analysis includes evaluating the costs of the action (both direct and indirect) and the impacts that can be derived from results and outcomes of the action.</w:t>
      </w:r>
      <w:r w:rsidR="00105362">
        <w:rPr>
          <w:lang w:val="en-GB"/>
        </w:rPr>
        <w:t xml:space="preserve"> The related advantages and limitations are presented in Table </w:t>
      </w:r>
      <w:r w:rsidR="00D56E13">
        <w:rPr>
          <w:lang w:val="en-GB"/>
        </w:rPr>
        <w:t>8</w:t>
      </w:r>
      <w:r w:rsidR="00105362">
        <w:rPr>
          <w:lang w:val="en-GB"/>
        </w:rPr>
        <w:t>.</w:t>
      </w:r>
    </w:p>
    <w:p w:rsidR="00105362" w:rsidRPr="00776118" w:rsidRDefault="00105362" w:rsidP="00105362">
      <w:pPr>
        <w:rPr>
          <w:i/>
          <w:lang w:val="en-GB"/>
        </w:rPr>
      </w:pPr>
      <w:r w:rsidRPr="00776118">
        <w:rPr>
          <w:b/>
          <w:i/>
          <w:lang w:val="en-GB"/>
        </w:rPr>
        <w:t xml:space="preserve">Table </w:t>
      </w:r>
      <w:r w:rsidR="00D56E13">
        <w:rPr>
          <w:b/>
          <w:i/>
          <w:lang w:val="en-GB"/>
        </w:rPr>
        <w:t>8</w:t>
      </w:r>
      <w:r w:rsidRPr="00776118">
        <w:rPr>
          <w:b/>
          <w:i/>
          <w:lang w:val="en-GB"/>
        </w:rPr>
        <w:t>:</w:t>
      </w:r>
      <w:r w:rsidRPr="00776118">
        <w:rPr>
          <w:i/>
          <w:lang w:val="en-GB"/>
        </w:rPr>
        <w:t xml:space="preserve"> Advantages and limitations of </w:t>
      </w:r>
      <w:r>
        <w:rPr>
          <w:i/>
          <w:lang w:val="en-GB"/>
        </w:rPr>
        <w:t>cost-effectiveness analysis</w:t>
      </w:r>
      <w:r w:rsidRPr="00776118">
        <w:rPr>
          <w:i/>
          <w:vertAlign w:val="superscript"/>
          <w:lang w:val="en-GB"/>
        </w:rPr>
        <w:footnoteReference w:id="20"/>
      </w:r>
      <w:r w:rsidRPr="00776118">
        <w:rPr>
          <w:i/>
          <w:lang w:val="en-GB"/>
        </w:rPr>
        <w:t>.</w:t>
      </w:r>
    </w:p>
    <w:tbl>
      <w:tblPr>
        <w:tblStyle w:val="LightShading-Accent5"/>
        <w:tblW w:w="9256" w:type="dxa"/>
        <w:tblLook w:val="04A0" w:firstRow="1" w:lastRow="0" w:firstColumn="1" w:lastColumn="0" w:noHBand="0" w:noVBand="1"/>
      </w:tblPr>
      <w:tblGrid>
        <w:gridCol w:w="4628"/>
        <w:gridCol w:w="4628"/>
      </w:tblGrid>
      <w:tr w:rsidR="00105362" w:rsidRPr="00776118" w:rsidTr="004E562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28" w:type="dxa"/>
            <w:hideMark/>
          </w:tcPr>
          <w:p w:rsidR="00105362" w:rsidRPr="006E06EF" w:rsidRDefault="00105362" w:rsidP="004E5621">
            <w:pPr>
              <w:spacing w:before="0" w:after="0" w:line="240" w:lineRule="auto"/>
              <w:jc w:val="left"/>
              <w:rPr>
                <w:rFonts w:asciiTheme="minorHAnsi" w:eastAsia="Times New Roman" w:hAnsiTheme="minorHAnsi"/>
                <w:iCs/>
                <w:szCs w:val="22"/>
                <w:lang w:val="en-GB" w:eastAsia="en-GB"/>
              </w:rPr>
            </w:pPr>
            <w:r w:rsidRPr="006E06EF">
              <w:rPr>
                <w:rFonts w:asciiTheme="minorHAnsi" w:eastAsia="Times New Roman" w:hAnsiTheme="minorHAnsi"/>
                <w:iCs/>
                <w:szCs w:val="22"/>
                <w:lang w:val="en-GB" w:eastAsia="en-GB"/>
              </w:rPr>
              <w:t>Advantages</w:t>
            </w:r>
          </w:p>
        </w:tc>
        <w:tc>
          <w:tcPr>
            <w:tcW w:w="4628" w:type="dxa"/>
            <w:hideMark/>
          </w:tcPr>
          <w:p w:rsidR="00105362" w:rsidRPr="006E06EF" w:rsidRDefault="00105362" w:rsidP="004E5621">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iCs/>
                <w:szCs w:val="22"/>
                <w:lang w:val="en-GB" w:eastAsia="en-GB"/>
              </w:rPr>
            </w:pPr>
            <w:r w:rsidRPr="006E06EF">
              <w:rPr>
                <w:rFonts w:asciiTheme="minorHAnsi" w:eastAsia="Times New Roman" w:hAnsiTheme="minorHAnsi"/>
                <w:iCs/>
                <w:szCs w:val="22"/>
                <w:lang w:val="en-GB" w:eastAsia="en-GB"/>
              </w:rPr>
              <w:t>Limitations</w:t>
            </w:r>
          </w:p>
        </w:tc>
      </w:tr>
      <w:tr w:rsidR="00105362" w:rsidRPr="0016499F" w:rsidTr="004E5621">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628" w:type="dxa"/>
            <w:hideMark/>
          </w:tcPr>
          <w:p w:rsidR="00105362" w:rsidRPr="00105362" w:rsidRDefault="00105362" w:rsidP="00105362">
            <w:pPr>
              <w:spacing w:before="100" w:beforeAutospacing="1" w:after="100" w:afterAutospacing="1" w:line="240" w:lineRule="auto"/>
              <w:jc w:val="left"/>
              <w:rPr>
                <w:b w:val="0"/>
                <w:lang w:val="en-GB"/>
              </w:rPr>
            </w:pPr>
            <w:r w:rsidRPr="00105362">
              <w:rPr>
                <w:b w:val="0"/>
                <w:lang w:val="en-GB"/>
              </w:rPr>
              <w:t xml:space="preserve">A simple and effective tool which compares different </w:t>
            </w:r>
            <w:r>
              <w:rPr>
                <w:b w:val="0"/>
                <w:lang w:val="en-GB"/>
              </w:rPr>
              <w:t xml:space="preserve">actions </w:t>
            </w:r>
            <w:r w:rsidRPr="00105362">
              <w:rPr>
                <w:b w:val="0"/>
                <w:lang w:val="en-GB"/>
              </w:rPr>
              <w:t>with identical objec</w:t>
            </w:r>
            <w:r>
              <w:rPr>
                <w:b w:val="0"/>
                <w:lang w:val="en-GB"/>
              </w:rPr>
              <w:t>tives</w:t>
            </w:r>
          </w:p>
        </w:tc>
        <w:tc>
          <w:tcPr>
            <w:tcW w:w="4628" w:type="dxa"/>
            <w:hideMark/>
          </w:tcPr>
          <w:p w:rsidR="00105362" w:rsidRPr="00105362" w:rsidRDefault="00105362" w:rsidP="00CE4C53">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105362">
              <w:rPr>
                <w:lang w:val="en-GB"/>
              </w:rPr>
              <w:t xml:space="preserve">Cost-effectiveness analysis focuses on the main direct </w:t>
            </w:r>
            <w:r w:rsidR="00CE4C53">
              <w:rPr>
                <w:lang w:val="en-GB"/>
              </w:rPr>
              <w:t>impact</w:t>
            </w:r>
            <w:r w:rsidRPr="00105362">
              <w:rPr>
                <w:lang w:val="en-GB"/>
              </w:rPr>
              <w:t xml:space="preserve"> of the </w:t>
            </w:r>
            <w:r w:rsidR="00CE4C53">
              <w:rPr>
                <w:lang w:val="en-GB"/>
              </w:rPr>
              <w:t>action</w:t>
            </w:r>
            <w:r w:rsidRPr="00105362">
              <w:rPr>
                <w:lang w:val="en-GB"/>
              </w:rPr>
              <w:t xml:space="preserve">. When an </w:t>
            </w:r>
            <w:r w:rsidR="00CE4C53">
              <w:rPr>
                <w:lang w:val="en-GB"/>
              </w:rPr>
              <w:t>action</w:t>
            </w:r>
            <w:r w:rsidRPr="00105362">
              <w:rPr>
                <w:lang w:val="en-GB"/>
              </w:rPr>
              <w:t xml:space="preserve"> generates indirect </w:t>
            </w:r>
            <w:r w:rsidR="00CE4C53">
              <w:rPr>
                <w:lang w:val="en-GB"/>
              </w:rPr>
              <w:t>impacts</w:t>
            </w:r>
            <w:r w:rsidRPr="00105362">
              <w:rPr>
                <w:lang w:val="en-GB"/>
              </w:rPr>
              <w:t>, the use of cost-effectiveness analysis may be irrele</w:t>
            </w:r>
            <w:r w:rsidR="00CE4C53">
              <w:rPr>
                <w:lang w:val="en-GB"/>
              </w:rPr>
              <w:t>vant or counter-productive</w:t>
            </w:r>
          </w:p>
        </w:tc>
      </w:tr>
      <w:tr w:rsidR="00105362" w:rsidRPr="0016499F" w:rsidTr="004E5621">
        <w:trPr>
          <w:trHeight w:val="137"/>
        </w:trPr>
        <w:tc>
          <w:tcPr>
            <w:cnfStyle w:val="001000000000" w:firstRow="0" w:lastRow="0" w:firstColumn="1" w:lastColumn="0" w:oddVBand="0" w:evenVBand="0" w:oddHBand="0" w:evenHBand="0" w:firstRowFirstColumn="0" w:firstRowLastColumn="0" w:lastRowFirstColumn="0" w:lastRowLastColumn="0"/>
            <w:tcW w:w="4628" w:type="dxa"/>
            <w:hideMark/>
          </w:tcPr>
          <w:p w:rsidR="00105362" w:rsidRPr="00105362" w:rsidRDefault="00105362" w:rsidP="00105362">
            <w:pPr>
              <w:spacing w:before="100" w:beforeAutospacing="1" w:after="100" w:afterAutospacing="1" w:line="240" w:lineRule="auto"/>
              <w:jc w:val="left"/>
              <w:rPr>
                <w:b w:val="0"/>
                <w:lang w:val="en-GB"/>
              </w:rPr>
            </w:pPr>
            <w:r>
              <w:rPr>
                <w:b w:val="0"/>
                <w:lang w:val="en-GB"/>
              </w:rPr>
              <w:t>A</w:t>
            </w:r>
            <w:r w:rsidRPr="00105362">
              <w:rPr>
                <w:b w:val="0"/>
                <w:lang w:val="en-GB"/>
              </w:rPr>
              <w:t xml:space="preserve"> communicational tool which summarises the outcomes using a single quantifiable indicator</w:t>
            </w:r>
          </w:p>
        </w:tc>
        <w:tc>
          <w:tcPr>
            <w:tcW w:w="4628" w:type="dxa"/>
            <w:hideMark/>
          </w:tcPr>
          <w:p w:rsidR="00105362" w:rsidRPr="00D463E7" w:rsidRDefault="00CE4C53" w:rsidP="004E5621">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CE4C53">
              <w:rPr>
                <w:lang w:val="en-GB"/>
              </w:rPr>
              <w:t>Analysis of the effectiveness, not the relevance</w:t>
            </w:r>
            <w:r>
              <w:rPr>
                <w:lang w:val="en-GB"/>
              </w:rPr>
              <w:t xml:space="preserve"> of the action</w:t>
            </w:r>
          </w:p>
        </w:tc>
      </w:tr>
      <w:tr w:rsidR="00105362" w:rsidRPr="0016499F" w:rsidTr="004E562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28" w:type="dxa"/>
            <w:hideMark/>
          </w:tcPr>
          <w:p w:rsidR="00105362" w:rsidRPr="00105362" w:rsidRDefault="00105362" w:rsidP="00105362">
            <w:pPr>
              <w:spacing w:before="100" w:beforeAutospacing="1" w:after="100" w:afterAutospacing="1" w:line="240" w:lineRule="auto"/>
              <w:jc w:val="left"/>
              <w:rPr>
                <w:b w:val="0"/>
                <w:lang w:val="en-GB"/>
              </w:rPr>
            </w:pPr>
            <w:r>
              <w:rPr>
                <w:b w:val="0"/>
                <w:lang w:val="en-GB"/>
              </w:rPr>
              <w:t>Provides v</w:t>
            </w:r>
            <w:r w:rsidRPr="00105362">
              <w:rPr>
                <w:b w:val="0"/>
                <w:lang w:val="en-GB"/>
              </w:rPr>
              <w:t xml:space="preserve">isibility of the </w:t>
            </w:r>
            <w:r>
              <w:rPr>
                <w:b w:val="0"/>
                <w:lang w:val="en-GB"/>
              </w:rPr>
              <w:t>action</w:t>
            </w:r>
            <w:r w:rsidRPr="00105362">
              <w:rPr>
                <w:b w:val="0"/>
                <w:lang w:val="en-GB"/>
              </w:rPr>
              <w:t>'s effectiveness</w:t>
            </w:r>
          </w:p>
        </w:tc>
        <w:tc>
          <w:tcPr>
            <w:tcW w:w="4628" w:type="dxa"/>
            <w:hideMark/>
          </w:tcPr>
          <w:p w:rsidR="00105362" w:rsidRPr="00D463E7" w:rsidRDefault="00CE4C53" w:rsidP="00CE4C53">
            <w:p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105362">
              <w:rPr>
                <w:lang w:val="en-GB"/>
              </w:rPr>
              <w:t>The data collection for costs and impacts is difficult</w:t>
            </w:r>
          </w:p>
        </w:tc>
      </w:tr>
    </w:tbl>
    <w:p w:rsidR="00110C9B" w:rsidRPr="006270D2" w:rsidRDefault="00F65A2F" w:rsidP="00CE4C53">
      <w:pPr>
        <w:rPr>
          <w:lang w:val="en-GB"/>
        </w:rPr>
      </w:pPr>
      <w:r>
        <w:rPr>
          <w:lang w:val="en-GB"/>
        </w:rPr>
        <w:t>Several tools</w:t>
      </w:r>
      <w:r w:rsidR="00CE4C53">
        <w:rPr>
          <w:lang w:val="en-GB"/>
        </w:rPr>
        <w:t xml:space="preserve"> also</w:t>
      </w:r>
      <w:r>
        <w:rPr>
          <w:lang w:val="en-GB"/>
        </w:rPr>
        <w:t xml:space="preserve"> exist to help with data structuring</w:t>
      </w:r>
      <w:r w:rsidR="009C02B5">
        <w:rPr>
          <w:lang w:val="en-GB"/>
        </w:rPr>
        <w:t>, for example, once data has been gathered, the Effects Diagram can be refined</w:t>
      </w:r>
      <w:r w:rsidR="00CE4C53">
        <w:rPr>
          <w:lang w:val="en-GB"/>
        </w:rPr>
        <w:t xml:space="preserve"> and impacts can be grouped in tables according to stakeholders that are affected.</w:t>
      </w:r>
      <w:r w:rsidR="009C02B5">
        <w:rPr>
          <w:lang w:val="en-GB"/>
        </w:rPr>
        <w:t xml:space="preserve"> </w:t>
      </w:r>
    </w:p>
    <w:p w:rsidR="00110C9B" w:rsidRPr="00603A51" w:rsidRDefault="00110C9B" w:rsidP="00C071B6">
      <w:pPr>
        <w:pStyle w:val="Heading4"/>
        <w:rPr>
          <w:lang w:val="en-GB"/>
        </w:rPr>
      </w:pPr>
      <w:r w:rsidRPr="00603A51">
        <w:rPr>
          <w:lang w:val="en-GB"/>
        </w:rPr>
        <w:t xml:space="preserve">4) </w:t>
      </w:r>
      <w:r w:rsidR="00CE4C53" w:rsidRPr="00603A51">
        <w:rPr>
          <w:lang w:val="en-GB"/>
        </w:rPr>
        <w:t>S</w:t>
      </w:r>
      <w:r w:rsidRPr="00603A51">
        <w:rPr>
          <w:lang w:val="en-GB"/>
        </w:rPr>
        <w:t>eparate research projects</w:t>
      </w:r>
    </w:p>
    <w:p w:rsidR="00CE4C53" w:rsidRPr="006270D2" w:rsidRDefault="00CE4C53" w:rsidP="00D27AC6">
      <w:pPr>
        <w:rPr>
          <w:lang w:val="en-GB"/>
        </w:rPr>
      </w:pPr>
      <w:r>
        <w:rPr>
          <w:lang w:val="en-GB"/>
        </w:rPr>
        <w:t>In addition to the methodologies and tools presented above, a whole host of separate research projects can be carried out to focus in on certain impacts. For example, with regards to environmental impacts, carbon footprint c</w:t>
      </w:r>
      <w:r w:rsidR="00B733E3">
        <w:rPr>
          <w:lang w:val="en-GB"/>
        </w:rPr>
        <w:t>alculations can be conducted to analyse the impacts on greenhouse gas emissions</w:t>
      </w:r>
      <w:r w:rsidR="00603A51">
        <w:rPr>
          <w:lang w:val="en-GB"/>
        </w:rPr>
        <w:t>. However, these kinds of approaches require substantial quantitative data and often have to rely on estimations in order to provide a holistic view of emissions impacts. Nonetheless they can be useful to demonstrate environmental benefits of new services.</w:t>
      </w:r>
    </w:p>
    <w:p w:rsidR="00603A51" w:rsidRDefault="00603A51" w:rsidP="00603A51">
      <w:pPr>
        <w:pStyle w:val="Heading2"/>
        <w:rPr>
          <w:lang w:val="en-GB"/>
        </w:rPr>
      </w:pPr>
      <w:bookmarkStart w:id="22" w:name="_Toc361737964"/>
      <w:r>
        <w:rPr>
          <w:lang w:val="en-GB"/>
        </w:rPr>
        <w:t>Selection of methodologies</w:t>
      </w:r>
      <w:bookmarkEnd w:id="22"/>
    </w:p>
    <w:p w:rsidR="00C071B6" w:rsidRDefault="00603A51" w:rsidP="00D27AC6">
      <w:pPr>
        <w:rPr>
          <w:lang w:val="en-GB"/>
        </w:rPr>
      </w:pPr>
      <w:r>
        <w:rPr>
          <w:lang w:val="en-GB"/>
        </w:rPr>
        <w:t xml:space="preserve">Final selection of the methodologies to be used should be based on how suitable they are to achieve the objectives of the assessment. </w:t>
      </w:r>
      <w:r w:rsidR="00ED33F0">
        <w:rPr>
          <w:lang w:val="en-GB"/>
        </w:rPr>
        <w:t xml:space="preserve">For a balanced impact assessment, several methodologies are often required. Not only to ensure different viewpoints are considered, but using several methodologies allows better validation of the assessment when conclusions are backed up by different methodologies. </w:t>
      </w:r>
    </w:p>
    <w:p w:rsidR="007A6586" w:rsidRDefault="00ED33F0" w:rsidP="00D27AC6">
      <w:pPr>
        <w:rPr>
          <w:lang w:val="en-GB"/>
        </w:rPr>
      </w:pPr>
      <w:r>
        <w:rPr>
          <w:lang w:val="en-GB"/>
        </w:rPr>
        <w:t>All the above presented methodologies can be applied to both environmental as well as socio-economic impact assessme</w:t>
      </w:r>
      <w:r w:rsidR="00B35064">
        <w:rPr>
          <w:lang w:val="en-GB"/>
        </w:rPr>
        <w:t>nt</w:t>
      </w:r>
      <w:r>
        <w:rPr>
          <w:lang w:val="en-GB"/>
        </w:rPr>
        <w:t xml:space="preserve">. Figure </w:t>
      </w:r>
      <w:r w:rsidR="00C071B6">
        <w:rPr>
          <w:lang w:val="en-GB"/>
        </w:rPr>
        <w:t>2</w:t>
      </w:r>
      <w:r>
        <w:rPr>
          <w:lang w:val="en-GB"/>
        </w:rPr>
        <w:t xml:space="preserve"> summarises the different types of </w:t>
      </w:r>
      <w:r w:rsidR="00B35064">
        <w:rPr>
          <w:lang w:val="en-GB"/>
        </w:rPr>
        <w:t xml:space="preserve">methodologies and their </w:t>
      </w:r>
      <w:r w:rsidR="00B35064">
        <w:rPr>
          <w:lang w:val="en-GB"/>
        </w:rPr>
        <w:lastRenderedPageBreak/>
        <w:t>use in different phases of the impact assessment.</w:t>
      </w:r>
      <w:r w:rsidR="007A6586" w:rsidRPr="007A6586">
        <w:rPr>
          <w:lang w:val="en-GB"/>
        </w:rPr>
        <w:t xml:space="preserve"> </w:t>
      </w:r>
      <w:r w:rsidR="00C071B6">
        <w:rPr>
          <w:lang w:val="en-GB"/>
        </w:rPr>
        <w:t>Further, Key questions that need to be answered in order to select the right methodology have been presented in Table 9.</w:t>
      </w:r>
    </w:p>
    <w:p w:rsidR="00F57E4E" w:rsidRDefault="00F57E4E" w:rsidP="00C20068">
      <w:pPr>
        <w:spacing w:after="0"/>
        <w:rPr>
          <w:lang w:val="en-GB"/>
        </w:rPr>
      </w:pPr>
      <w:r>
        <w:rPr>
          <w:lang w:val="en-GB"/>
        </w:rPr>
        <w:t>More detailed information on the application of each methodology (excluding the separate research projects) can be found in the EuropeAid database (see European Commission 2005).</w:t>
      </w:r>
    </w:p>
    <w:p w:rsidR="00ED33F0" w:rsidRDefault="00BE2CDD" w:rsidP="00C20068">
      <w:pPr>
        <w:spacing w:before="0"/>
        <w:jc w:val="center"/>
        <w:rPr>
          <w:lang w:val="en-GB"/>
        </w:rPr>
      </w:pPr>
      <w:r w:rsidRPr="00BE2CDD">
        <w:rPr>
          <w:noProof/>
          <w:lang w:val="et-EE" w:eastAsia="et-EE"/>
        </w:rPr>
        <w:drawing>
          <wp:inline distT="0" distB="0" distL="0" distR="0">
            <wp:extent cx="4681943" cy="2735249"/>
            <wp:effectExtent l="19050" t="0" r="4357"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683230" cy="2736001"/>
                    </a:xfrm>
                    <a:prstGeom prst="rect">
                      <a:avLst/>
                    </a:prstGeom>
                    <a:noFill/>
                    <a:ln w="9525">
                      <a:noFill/>
                      <a:miter lim="800000"/>
                      <a:headEnd/>
                      <a:tailEnd/>
                    </a:ln>
                  </pic:spPr>
                </pic:pic>
              </a:graphicData>
            </a:graphic>
          </wp:inline>
        </w:drawing>
      </w:r>
    </w:p>
    <w:p w:rsidR="00FB325C" w:rsidRPr="00FB325C" w:rsidRDefault="00FB325C" w:rsidP="00FB325C">
      <w:pPr>
        <w:jc w:val="center"/>
        <w:rPr>
          <w:i/>
          <w:lang w:val="en-GB"/>
        </w:rPr>
      </w:pPr>
      <w:r w:rsidRPr="00FB325C">
        <w:rPr>
          <w:b/>
          <w:i/>
          <w:lang w:val="en-GB"/>
        </w:rPr>
        <w:t xml:space="preserve">Figure </w:t>
      </w:r>
      <w:r w:rsidR="007A6586">
        <w:rPr>
          <w:b/>
          <w:i/>
          <w:lang w:val="en-GB"/>
        </w:rPr>
        <w:t>3</w:t>
      </w:r>
      <w:r w:rsidRPr="00FB325C">
        <w:rPr>
          <w:b/>
          <w:i/>
          <w:lang w:val="en-GB"/>
        </w:rPr>
        <w:t>:</w:t>
      </w:r>
      <w:r w:rsidRPr="00FB325C">
        <w:rPr>
          <w:i/>
          <w:lang w:val="en-GB"/>
        </w:rPr>
        <w:t xml:space="preserve"> Impact assessment methodologies and tools</w:t>
      </w:r>
    </w:p>
    <w:p w:rsidR="00A73C44" w:rsidRDefault="00F57E4E" w:rsidP="0046612C">
      <w:pPr>
        <w:pStyle w:val="Numberedlist"/>
      </w:pPr>
      <w:bookmarkStart w:id="23" w:name="_Toc222069780"/>
      <w:r w:rsidRPr="00F57E4E">
        <w:rPr>
          <w:b/>
        </w:rPr>
        <w:t xml:space="preserve">Table </w:t>
      </w:r>
      <w:r w:rsidR="00D56E13">
        <w:rPr>
          <w:b/>
        </w:rPr>
        <w:t>9</w:t>
      </w:r>
      <w:r w:rsidRPr="00F57E4E">
        <w:rPr>
          <w:b/>
        </w:rPr>
        <w:t>:</w:t>
      </w:r>
      <w:r w:rsidR="009C0938">
        <w:t xml:space="preserve"> Key questions</w:t>
      </w:r>
      <w:r w:rsidRPr="00F57E4E">
        <w:t>.</w:t>
      </w:r>
    </w:p>
    <w:p w:rsidR="00AD29EC" w:rsidRDefault="00AD29EC" w:rsidP="0046612C">
      <w:pPr>
        <w:pStyle w:val="Numberedlist"/>
      </w:pPr>
    </w:p>
    <w:tbl>
      <w:tblPr>
        <w:tblStyle w:val="LightShading-Accent3"/>
        <w:tblW w:w="0" w:type="auto"/>
        <w:tblLook w:val="0420" w:firstRow="1" w:lastRow="0" w:firstColumn="0" w:lastColumn="0" w:noHBand="0" w:noVBand="1"/>
      </w:tblPr>
      <w:tblGrid>
        <w:gridCol w:w="5211"/>
        <w:gridCol w:w="4031"/>
      </w:tblGrid>
      <w:tr w:rsidR="004E5621" w:rsidRPr="00A4717A" w:rsidTr="00AD29EC">
        <w:trPr>
          <w:cnfStyle w:val="100000000000" w:firstRow="1" w:lastRow="0" w:firstColumn="0" w:lastColumn="0" w:oddVBand="0" w:evenVBand="0" w:oddHBand="0" w:evenHBand="0" w:firstRowFirstColumn="0" w:firstRowLastColumn="0" w:lastRowFirstColumn="0" w:lastRowLastColumn="0"/>
        </w:trPr>
        <w:tc>
          <w:tcPr>
            <w:tcW w:w="5211" w:type="dxa"/>
          </w:tcPr>
          <w:p w:rsidR="004E5621" w:rsidRPr="00A4717A" w:rsidRDefault="004E5621" w:rsidP="0046612C">
            <w:pPr>
              <w:pStyle w:val="Numberedlist"/>
            </w:pPr>
            <w:r w:rsidRPr="00A4717A">
              <w:t>Key questions to ask…</w:t>
            </w:r>
          </w:p>
        </w:tc>
        <w:tc>
          <w:tcPr>
            <w:tcW w:w="4031" w:type="dxa"/>
          </w:tcPr>
          <w:p w:rsidR="004E5621" w:rsidRPr="00A4717A" w:rsidRDefault="004E5621" w:rsidP="0046612C">
            <w:pPr>
              <w:pStyle w:val="Numberedlist"/>
            </w:pPr>
            <w:r w:rsidRPr="00A4717A">
              <w:t>…to help determine:</w:t>
            </w:r>
          </w:p>
        </w:tc>
      </w:tr>
      <w:tr w:rsidR="004E5621" w:rsidRPr="00A4717A" w:rsidTr="00AD29EC">
        <w:trPr>
          <w:cnfStyle w:val="000000100000" w:firstRow="0" w:lastRow="0" w:firstColumn="0" w:lastColumn="0" w:oddVBand="0" w:evenVBand="0" w:oddHBand="1" w:evenHBand="0" w:firstRowFirstColumn="0" w:firstRowLastColumn="0" w:lastRowFirstColumn="0" w:lastRowLastColumn="0"/>
        </w:trPr>
        <w:tc>
          <w:tcPr>
            <w:tcW w:w="5211" w:type="dxa"/>
          </w:tcPr>
          <w:p w:rsidR="004E5621" w:rsidRPr="00A4717A" w:rsidRDefault="004E5621" w:rsidP="0046612C">
            <w:pPr>
              <w:pStyle w:val="Numberedlist"/>
            </w:pPr>
            <w:r w:rsidRPr="00A4717A">
              <w:t>What action(s) will be assessed?</w:t>
            </w:r>
          </w:p>
        </w:tc>
        <w:tc>
          <w:tcPr>
            <w:tcW w:w="4031" w:type="dxa"/>
          </w:tcPr>
          <w:p w:rsidR="004E5621" w:rsidRPr="00A4717A" w:rsidRDefault="00AD29EC" w:rsidP="0046612C">
            <w:pPr>
              <w:pStyle w:val="Numberedlist"/>
            </w:pPr>
            <w:r w:rsidRPr="00A4717A">
              <w:t>Extent of assessment</w:t>
            </w:r>
          </w:p>
        </w:tc>
      </w:tr>
      <w:tr w:rsidR="00A4717A" w:rsidRPr="00A4717A" w:rsidTr="00AD29EC">
        <w:tc>
          <w:tcPr>
            <w:tcW w:w="5211" w:type="dxa"/>
          </w:tcPr>
          <w:p w:rsidR="00A4717A" w:rsidRPr="00A4717A" w:rsidRDefault="00A4717A" w:rsidP="0046612C">
            <w:pPr>
              <w:pStyle w:val="Numberedlist"/>
            </w:pPr>
            <w:r w:rsidRPr="00A4717A">
              <w:t>Who should undertake the assessment?</w:t>
            </w:r>
          </w:p>
        </w:tc>
        <w:tc>
          <w:tcPr>
            <w:tcW w:w="4031" w:type="dxa"/>
          </w:tcPr>
          <w:p w:rsidR="00A4717A" w:rsidRPr="00A4717A" w:rsidRDefault="00A4717A" w:rsidP="0046612C">
            <w:pPr>
              <w:pStyle w:val="Numberedlist"/>
            </w:pPr>
            <w:r w:rsidRPr="00A4717A">
              <w:t>Resources for assessment</w:t>
            </w:r>
          </w:p>
        </w:tc>
      </w:tr>
      <w:tr w:rsidR="00AD29EC" w:rsidRPr="00A4717A" w:rsidTr="00AD29EC">
        <w:trPr>
          <w:cnfStyle w:val="000000100000" w:firstRow="0" w:lastRow="0" w:firstColumn="0" w:lastColumn="0" w:oddVBand="0" w:evenVBand="0" w:oddHBand="1" w:evenHBand="0" w:firstRowFirstColumn="0" w:firstRowLastColumn="0" w:lastRowFirstColumn="0" w:lastRowLastColumn="0"/>
        </w:trPr>
        <w:tc>
          <w:tcPr>
            <w:tcW w:w="5211" w:type="dxa"/>
          </w:tcPr>
          <w:p w:rsidR="00AD29EC" w:rsidRPr="00A4717A" w:rsidRDefault="00AD29EC" w:rsidP="0046612C">
            <w:pPr>
              <w:pStyle w:val="Numberedlist"/>
            </w:pPr>
            <w:r w:rsidRPr="00A4717A">
              <w:t>Who should participate in the assessment?</w:t>
            </w:r>
          </w:p>
        </w:tc>
        <w:tc>
          <w:tcPr>
            <w:tcW w:w="4031" w:type="dxa"/>
          </w:tcPr>
          <w:p w:rsidR="00AD29EC" w:rsidRPr="00A4717A" w:rsidRDefault="00AD29EC" w:rsidP="0046612C">
            <w:pPr>
              <w:pStyle w:val="Numberedlist"/>
            </w:pPr>
            <w:r w:rsidRPr="00A4717A">
              <w:t>Resources for assessment</w:t>
            </w:r>
          </w:p>
        </w:tc>
      </w:tr>
      <w:tr w:rsidR="004E5621" w:rsidRPr="00A4717A" w:rsidTr="00AD29EC">
        <w:tc>
          <w:tcPr>
            <w:tcW w:w="5211" w:type="dxa"/>
          </w:tcPr>
          <w:p w:rsidR="004E5621" w:rsidRPr="00A4717A" w:rsidRDefault="00A55912" w:rsidP="0046612C">
            <w:pPr>
              <w:pStyle w:val="Numberedlist"/>
            </w:pPr>
            <w:r w:rsidRPr="00A4717A">
              <w:t>W</w:t>
            </w:r>
            <w:r w:rsidR="004E5621" w:rsidRPr="00A4717A">
              <w:t>hat will the results of the assessment be used for?</w:t>
            </w:r>
          </w:p>
        </w:tc>
        <w:tc>
          <w:tcPr>
            <w:tcW w:w="4031" w:type="dxa"/>
          </w:tcPr>
          <w:p w:rsidR="004E5621" w:rsidRPr="00A4717A" w:rsidRDefault="00AD29EC" w:rsidP="0046612C">
            <w:pPr>
              <w:pStyle w:val="Numberedlist"/>
            </w:pPr>
            <w:r w:rsidRPr="00A4717A">
              <w:t>Objectives of assessment</w:t>
            </w:r>
          </w:p>
        </w:tc>
      </w:tr>
      <w:tr w:rsidR="004E5621" w:rsidRPr="0016499F" w:rsidTr="00AD29EC">
        <w:trPr>
          <w:cnfStyle w:val="000000100000" w:firstRow="0" w:lastRow="0" w:firstColumn="0" w:lastColumn="0" w:oddVBand="0" w:evenVBand="0" w:oddHBand="1" w:evenHBand="0" w:firstRowFirstColumn="0" w:firstRowLastColumn="0" w:lastRowFirstColumn="0" w:lastRowLastColumn="0"/>
        </w:trPr>
        <w:tc>
          <w:tcPr>
            <w:tcW w:w="5211" w:type="dxa"/>
          </w:tcPr>
          <w:p w:rsidR="004E5621" w:rsidRPr="00A4717A" w:rsidRDefault="004E5621" w:rsidP="0046612C">
            <w:pPr>
              <w:pStyle w:val="Numberedlist"/>
            </w:pPr>
            <w:r w:rsidRPr="00A4717A">
              <w:t>Are there any particular viewpoints that should be highlighted in the assessment?</w:t>
            </w:r>
          </w:p>
        </w:tc>
        <w:tc>
          <w:tcPr>
            <w:tcW w:w="4031" w:type="dxa"/>
          </w:tcPr>
          <w:p w:rsidR="004E5621" w:rsidRPr="00A4717A" w:rsidRDefault="00AD29EC" w:rsidP="0046612C">
            <w:pPr>
              <w:pStyle w:val="Numberedlist"/>
            </w:pPr>
            <w:r w:rsidRPr="00A4717A">
              <w:t>Added focus and prioritisation to the assessment</w:t>
            </w:r>
          </w:p>
        </w:tc>
      </w:tr>
      <w:tr w:rsidR="00AD29EC" w:rsidRPr="00A4717A" w:rsidTr="00AD29EC">
        <w:tc>
          <w:tcPr>
            <w:tcW w:w="5211" w:type="dxa"/>
          </w:tcPr>
          <w:p w:rsidR="00AD29EC" w:rsidRPr="00A4717A" w:rsidRDefault="00AD29EC" w:rsidP="0046612C">
            <w:pPr>
              <w:pStyle w:val="Numberedlist"/>
            </w:pPr>
            <w:r w:rsidRPr="00A4717A">
              <w:t>What stakeholders is the action targeting?</w:t>
            </w:r>
          </w:p>
        </w:tc>
        <w:tc>
          <w:tcPr>
            <w:tcW w:w="4031" w:type="dxa"/>
          </w:tcPr>
          <w:p w:rsidR="00AD29EC" w:rsidRPr="00A4717A" w:rsidRDefault="00AD29EC" w:rsidP="0046612C">
            <w:pPr>
              <w:pStyle w:val="Numberedlist"/>
            </w:pPr>
            <w:r w:rsidRPr="00A4717A">
              <w:t>Selection of target groups</w:t>
            </w:r>
          </w:p>
        </w:tc>
      </w:tr>
      <w:tr w:rsidR="00A55912" w:rsidRPr="0016499F" w:rsidTr="00AD29EC">
        <w:trPr>
          <w:cnfStyle w:val="000000100000" w:firstRow="0" w:lastRow="0" w:firstColumn="0" w:lastColumn="0" w:oddVBand="0" w:evenVBand="0" w:oddHBand="1" w:evenHBand="0" w:firstRowFirstColumn="0" w:firstRowLastColumn="0" w:lastRowFirstColumn="0" w:lastRowLastColumn="0"/>
        </w:trPr>
        <w:tc>
          <w:tcPr>
            <w:tcW w:w="5211" w:type="dxa"/>
          </w:tcPr>
          <w:p w:rsidR="00A55912" w:rsidRPr="00A4717A" w:rsidRDefault="00A55912" w:rsidP="0046612C">
            <w:pPr>
              <w:pStyle w:val="Numberedlist"/>
            </w:pPr>
            <w:r w:rsidRPr="00A4717A">
              <w:t>Are these stakeholders willing and able to participate in the assessment?</w:t>
            </w:r>
          </w:p>
        </w:tc>
        <w:tc>
          <w:tcPr>
            <w:tcW w:w="4031" w:type="dxa"/>
          </w:tcPr>
          <w:p w:rsidR="00A55912" w:rsidRPr="00A4717A" w:rsidRDefault="00A55912" w:rsidP="0046612C">
            <w:pPr>
              <w:pStyle w:val="Numberedlist"/>
            </w:pPr>
            <w:r w:rsidRPr="00A4717A">
              <w:t>Selection of methodologies and tools</w:t>
            </w:r>
          </w:p>
        </w:tc>
      </w:tr>
      <w:tr w:rsidR="00AD29EC" w:rsidRPr="00A4717A" w:rsidTr="00AD29EC">
        <w:tc>
          <w:tcPr>
            <w:tcW w:w="5211" w:type="dxa"/>
          </w:tcPr>
          <w:p w:rsidR="00AD29EC" w:rsidRPr="00A4717A" w:rsidRDefault="00AD29EC" w:rsidP="0046612C">
            <w:pPr>
              <w:pStyle w:val="Numberedlist"/>
            </w:pPr>
            <w:r w:rsidRPr="00A4717A">
              <w:t>What are the expected outcomes of the action(s)?</w:t>
            </w:r>
          </w:p>
        </w:tc>
        <w:tc>
          <w:tcPr>
            <w:tcW w:w="4031" w:type="dxa"/>
          </w:tcPr>
          <w:p w:rsidR="00AD29EC" w:rsidRPr="00A4717A" w:rsidRDefault="00A55912" w:rsidP="0046612C">
            <w:pPr>
              <w:pStyle w:val="Numberedlist"/>
            </w:pPr>
            <w:r w:rsidRPr="00A4717A">
              <w:t>Selection of i</w:t>
            </w:r>
            <w:r w:rsidR="00AD29EC" w:rsidRPr="00A4717A">
              <w:t>mpacts</w:t>
            </w:r>
          </w:p>
        </w:tc>
      </w:tr>
      <w:tr w:rsidR="00A4717A" w:rsidRPr="00A4717A" w:rsidTr="00AD29EC">
        <w:trPr>
          <w:cnfStyle w:val="000000100000" w:firstRow="0" w:lastRow="0" w:firstColumn="0" w:lastColumn="0" w:oddVBand="0" w:evenVBand="0" w:oddHBand="1" w:evenHBand="0" w:firstRowFirstColumn="0" w:firstRowLastColumn="0" w:lastRowFirstColumn="0" w:lastRowLastColumn="0"/>
        </w:trPr>
        <w:tc>
          <w:tcPr>
            <w:tcW w:w="5211" w:type="dxa"/>
          </w:tcPr>
          <w:p w:rsidR="00A4717A" w:rsidRPr="00A4717A" w:rsidRDefault="00A4717A" w:rsidP="0046612C">
            <w:pPr>
              <w:pStyle w:val="Numberedlist"/>
            </w:pPr>
            <w:r w:rsidRPr="00A4717A">
              <w:t>What do stakeholders want to know about the action(s)?</w:t>
            </w:r>
          </w:p>
        </w:tc>
        <w:tc>
          <w:tcPr>
            <w:tcW w:w="4031" w:type="dxa"/>
          </w:tcPr>
          <w:p w:rsidR="00A4717A" w:rsidRPr="00A4717A" w:rsidRDefault="00A4717A" w:rsidP="0046612C">
            <w:pPr>
              <w:pStyle w:val="Numberedlist"/>
            </w:pPr>
            <w:r w:rsidRPr="00A4717A">
              <w:t>Selection of impacts</w:t>
            </w:r>
          </w:p>
        </w:tc>
      </w:tr>
      <w:tr w:rsidR="00AD29EC" w:rsidRPr="0016499F" w:rsidTr="00AD29EC">
        <w:tc>
          <w:tcPr>
            <w:tcW w:w="5211" w:type="dxa"/>
          </w:tcPr>
          <w:p w:rsidR="00AD29EC" w:rsidRPr="00A4717A" w:rsidRDefault="00A55912" w:rsidP="0046612C">
            <w:pPr>
              <w:pStyle w:val="Numberedlist"/>
            </w:pPr>
            <w:r w:rsidRPr="00A4717A">
              <w:t>How are these impacts linked to the action(s)?</w:t>
            </w:r>
          </w:p>
        </w:tc>
        <w:tc>
          <w:tcPr>
            <w:tcW w:w="4031" w:type="dxa"/>
          </w:tcPr>
          <w:p w:rsidR="00AD29EC" w:rsidRPr="00A4717A" w:rsidRDefault="00A55912" w:rsidP="0046612C">
            <w:pPr>
              <w:pStyle w:val="Numberedlist"/>
            </w:pPr>
            <w:r w:rsidRPr="00A4717A">
              <w:t>Establishing logical links for analysis</w:t>
            </w:r>
          </w:p>
        </w:tc>
      </w:tr>
      <w:tr w:rsidR="00AD29EC" w:rsidRPr="0016499F" w:rsidTr="00AD29EC">
        <w:trPr>
          <w:cnfStyle w:val="000000100000" w:firstRow="0" w:lastRow="0" w:firstColumn="0" w:lastColumn="0" w:oddVBand="0" w:evenVBand="0" w:oddHBand="1" w:evenHBand="0" w:firstRowFirstColumn="0" w:firstRowLastColumn="0" w:lastRowFirstColumn="0" w:lastRowLastColumn="0"/>
        </w:trPr>
        <w:tc>
          <w:tcPr>
            <w:tcW w:w="5211" w:type="dxa"/>
          </w:tcPr>
          <w:p w:rsidR="00AD29EC" w:rsidRPr="00A4717A" w:rsidRDefault="00A55912" w:rsidP="0046612C">
            <w:pPr>
              <w:pStyle w:val="Numberedlist"/>
            </w:pPr>
            <w:r w:rsidRPr="00A4717A">
              <w:t>What kind of data exists about the outcomes or impacts of the action(s)?</w:t>
            </w:r>
          </w:p>
        </w:tc>
        <w:tc>
          <w:tcPr>
            <w:tcW w:w="4031" w:type="dxa"/>
          </w:tcPr>
          <w:p w:rsidR="00AD29EC" w:rsidRPr="00A4717A" w:rsidRDefault="00A55912" w:rsidP="0046612C">
            <w:pPr>
              <w:pStyle w:val="Numberedlist"/>
            </w:pPr>
            <w:r w:rsidRPr="00A4717A">
              <w:t>Selection of methodologies and tools</w:t>
            </w:r>
          </w:p>
        </w:tc>
      </w:tr>
      <w:tr w:rsidR="00A55912" w:rsidRPr="0016499F" w:rsidTr="00AD29EC">
        <w:tc>
          <w:tcPr>
            <w:tcW w:w="5211" w:type="dxa"/>
          </w:tcPr>
          <w:p w:rsidR="00A55912" w:rsidRPr="00A4717A" w:rsidRDefault="00A4717A" w:rsidP="0046612C">
            <w:pPr>
              <w:pStyle w:val="Numberedlist"/>
            </w:pPr>
            <w:r w:rsidRPr="00A4717A">
              <w:t>What capabilities does the assessor have on the use of different tools and methodologies?</w:t>
            </w:r>
          </w:p>
        </w:tc>
        <w:tc>
          <w:tcPr>
            <w:tcW w:w="4031" w:type="dxa"/>
          </w:tcPr>
          <w:p w:rsidR="00A55912" w:rsidRPr="00A4717A" w:rsidRDefault="00A4717A" w:rsidP="0046612C">
            <w:pPr>
              <w:pStyle w:val="Numberedlist"/>
            </w:pPr>
            <w:r w:rsidRPr="00A4717A">
              <w:t>Selection of methodologies and tools</w:t>
            </w:r>
          </w:p>
        </w:tc>
      </w:tr>
      <w:tr w:rsidR="00A55912" w:rsidRPr="0016499F" w:rsidTr="00AD29EC">
        <w:trPr>
          <w:cnfStyle w:val="000000100000" w:firstRow="0" w:lastRow="0" w:firstColumn="0" w:lastColumn="0" w:oddVBand="0" w:evenVBand="0" w:oddHBand="1" w:evenHBand="0" w:firstRowFirstColumn="0" w:firstRowLastColumn="0" w:lastRowFirstColumn="0" w:lastRowLastColumn="0"/>
        </w:trPr>
        <w:tc>
          <w:tcPr>
            <w:tcW w:w="5211" w:type="dxa"/>
          </w:tcPr>
          <w:p w:rsidR="00A55912" w:rsidRPr="00A4717A" w:rsidRDefault="00A4717A" w:rsidP="0046612C">
            <w:pPr>
              <w:pStyle w:val="Numberedlist"/>
            </w:pPr>
            <w:r>
              <w:t>How much time is available for conducting the assessment?</w:t>
            </w:r>
          </w:p>
        </w:tc>
        <w:tc>
          <w:tcPr>
            <w:tcW w:w="4031" w:type="dxa"/>
          </w:tcPr>
          <w:p w:rsidR="00A55912" w:rsidRPr="00A4717A" w:rsidRDefault="00A4717A" w:rsidP="0046612C">
            <w:pPr>
              <w:pStyle w:val="Numberedlist"/>
            </w:pPr>
            <w:r w:rsidRPr="00A4717A">
              <w:t>Selection of methodologies and tools</w:t>
            </w:r>
          </w:p>
        </w:tc>
      </w:tr>
    </w:tbl>
    <w:p w:rsidR="00621957" w:rsidRDefault="001670B3" w:rsidP="005C6DCB">
      <w:pPr>
        <w:pStyle w:val="Heading1"/>
      </w:pPr>
      <w:bookmarkStart w:id="24" w:name="_Toc361737965"/>
      <w:bookmarkStart w:id="25" w:name="_Toc223104193"/>
      <w:r>
        <w:lastRenderedPageBreak/>
        <w:t xml:space="preserve">Assessing the impacts </w:t>
      </w:r>
      <w:r w:rsidR="00621957">
        <w:t>of the EDF Platform</w:t>
      </w:r>
      <w:bookmarkEnd w:id="24"/>
    </w:p>
    <w:p w:rsidR="003F6F79" w:rsidRPr="003F6F79" w:rsidRDefault="00C97205" w:rsidP="003F6F79">
      <w:pPr>
        <w:pStyle w:val="Heading2"/>
        <w:rPr>
          <w:lang w:val="en-GB"/>
        </w:rPr>
      </w:pPr>
      <w:bookmarkStart w:id="26" w:name="_Toc361737966"/>
      <w:r>
        <w:rPr>
          <w:lang w:val="en-GB"/>
        </w:rPr>
        <w:t xml:space="preserve">Scope, </w:t>
      </w:r>
      <w:r w:rsidR="003F6F79">
        <w:rPr>
          <w:lang w:val="en-GB"/>
        </w:rPr>
        <w:t>objectives</w:t>
      </w:r>
      <w:r>
        <w:rPr>
          <w:lang w:val="en-GB"/>
        </w:rPr>
        <w:t>, and methodologies</w:t>
      </w:r>
      <w:bookmarkEnd w:id="26"/>
    </w:p>
    <w:p w:rsidR="00C071B6" w:rsidRDefault="00621957" w:rsidP="00621957">
      <w:pPr>
        <w:rPr>
          <w:lang w:val="en-GB"/>
        </w:rPr>
      </w:pPr>
      <w:r w:rsidRPr="006270D2">
        <w:rPr>
          <w:lang w:val="en-GB"/>
        </w:rPr>
        <w:t xml:space="preserve">While the </w:t>
      </w:r>
      <w:r w:rsidR="00C071B6">
        <w:rPr>
          <w:lang w:val="en-GB"/>
        </w:rPr>
        <w:t>previous chapter</w:t>
      </w:r>
      <w:r w:rsidRPr="006270D2">
        <w:rPr>
          <w:lang w:val="en-GB"/>
        </w:rPr>
        <w:t xml:space="preserve"> </w:t>
      </w:r>
      <w:r>
        <w:rPr>
          <w:lang w:val="en-GB"/>
        </w:rPr>
        <w:t>provide</w:t>
      </w:r>
      <w:r w:rsidR="00C071B6">
        <w:rPr>
          <w:lang w:val="en-GB"/>
        </w:rPr>
        <w:t>d</w:t>
      </w:r>
      <w:r w:rsidRPr="006270D2">
        <w:rPr>
          <w:lang w:val="en-GB"/>
        </w:rPr>
        <w:t xml:space="preserve"> an overview of impact assessment on a general level, a more defined scope is needed</w:t>
      </w:r>
      <w:r>
        <w:rPr>
          <w:lang w:val="en-GB"/>
        </w:rPr>
        <w:t xml:space="preserve"> </w:t>
      </w:r>
      <w:r w:rsidRPr="006270D2">
        <w:rPr>
          <w:lang w:val="en-GB"/>
        </w:rPr>
        <w:t>to select the most suitable methodologies for impact</w:t>
      </w:r>
      <w:r>
        <w:rPr>
          <w:lang w:val="en-GB"/>
        </w:rPr>
        <w:t xml:space="preserve"> assessment of the </w:t>
      </w:r>
      <w:r w:rsidRPr="006270D2">
        <w:rPr>
          <w:lang w:val="en-GB"/>
        </w:rPr>
        <w:t xml:space="preserve">Energy Data Feed (EDF) </w:t>
      </w:r>
      <w:r>
        <w:rPr>
          <w:lang w:val="en-GB"/>
        </w:rPr>
        <w:t>Platform.</w:t>
      </w:r>
      <w:r w:rsidR="008F3B21">
        <w:rPr>
          <w:lang w:val="en-GB"/>
        </w:rPr>
        <w:t xml:space="preserve"> </w:t>
      </w:r>
      <w:r w:rsidR="008F3B21" w:rsidRPr="006270D2">
        <w:rPr>
          <w:lang w:val="en-GB"/>
        </w:rPr>
        <w:t xml:space="preserve">The </w:t>
      </w:r>
      <w:r w:rsidR="008F3B21">
        <w:rPr>
          <w:lang w:val="en-GB"/>
        </w:rPr>
        <w:t xml:space="preserve">entire impact assessment </w:t>
      </w:r>
      <w:r w:rsidR="008F3B21" w:rsidRPr="006270D2">
        <w:rPr>
          <w:lang w:val="en-GB"/>
        </w:rPr>
        <w:t xml:space="preserve">process is illustrated in Figure </w:t>
      </w:r>
      <w:r w:rsidR="008F3B21">
        <w:rPr>
          <w:lang w:val="en-GB"/>
        </w:rPr>
        <w:t>1</w:t>
      </w:r>
      <w:r w:rsidR="008F3B21" w:rsidRPr="006270D2">
        <w:rPr>
          <w:lang w:val="en-GB"/>
        </w:rPr>
        <w:t>.</w:t>
      </w:r>
    </w:p>
    <w:p w:rsidR="00C071B6" w:rsidRPr="006270D2" w:rsidRDefault="00C071B6" w:rsidP="003F6F79">
      <w:pPr>
        <w:spacing w:after="0"/>
        <w:jc w:val="center"/>
        <w:rPr>
          <w:lang w:val="en-GB"/>
        </w:rPr>
      </w:pPr>
      <w:r w:rsidRPr="006270D2">
        <w:rPr>
          <w:noProof/>
          <w:lang w:val="et-EE" w:eastAsia="et-EE"/>
        </w:rPr>
        <w:drawing>
          <wp:inline distT="0" distB="0" distL="0" distR="0">
            <wp:extent cx="4727879" cy="2368124"/>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28548" cy="2368459"/>
                    </a:xfrm>
                    <a:prstGeom prst="rect">
                      <a:avLst/>
                    </a:prstGeom>
                    <a:noFill/>
                    <a:ln w="9525">
                      <a:noFill/>
                      <a:miter lim="800000"/>
                      <a:headEnd/>
                      <a:tailEnd/>
                    </a:ln>
                  </pic:spPr>
                </pic:pic>
              </a:graphicData>
            </a:graphic>
          </wp:inline>
        </w:drawing>
      </w:r>
    </w:p>
    <w:p w:rsidR="00C071B6" w:rsidRPr="006270D2" w:rsidRDefault="00C071B6" w:rsidP="003F6F79">
      <w:pPr>
        <w:jc w:val="center"/>
        <w:rPr>
          <w:i/>
          <w:lang w:val="en-GB"/>
        </w:rPr>
      </w:pPr>
      <w:r w:rsidRPr="006270D2">
        <w:rPr>
          <w:b/>
          <w:i/>
          <w:lang w:val="en-GB"/>
        </w:rPr>
        <w:t xml:space="preserve">Figure </w:t>
      </w:r>
      <w:r>
        <w:rPr>
          <w:b/>
          <w:i/>
          <w:lang w:val="en-GB"/>
        </w:rPr>
        <w:t>3</w:t>
      </w:r>
      <w:r w:rsidRPr="006270D2">
        <w:rPr>
          <w:b/>
          <w:i/>
          <w:lang w:val="en-GB"/>
        </w:rPr>
        <w:t>:</w:t>
      </w:r>
      <w:r w:rsidRPr="006270D2">
        <w:rPr>
          <w:i/>
          <w:lang w:val="en-GB"/>
        </w:rPr>
        <w:t xml:space="preserve"> Impact assessment process.</w:t>
      </w:r>
    </w:p>
    <w:p w:rsidR="00564F3E" w:rsidRDefault="00564F3E" w:rsidP="00564F3E">
      <w:pPr>
        <w:rPr>
          <w:lang w:val="en-GB"/>
        </w:rPr>
      </w:pPr>
      <w:r>
        <w:rPr>
          <w:lang w:val="en-GB"/>
        </w:rPr>
        <w:t>The objectives of the impact assessment for the EDF Platform include the following:</w:t>
      </w:r>
    </w:p>
    <w:p w:rsidR="00564F3E" w:rsidRPr="00C071B6" w:rsidRDefault="00564F3E" w:rsidP="00227C90">
      <w:pPr>
        <w:pStyle w:val="Bulletedlist"/>
      </w:pPr>
      <w:r>
        <w:t>Clearly m</w:t>
      </w:r>
      <w:r w:rsidRPr="00C071B6">
        <w:t>easure the environmental, social, and economic im</w:t>
      </w:r>
      <w:r>
        <w:t>pact that can be achieved if the project is implemented.</w:t>
      </w:r>
    </w:p>
    <w:p w:rsidR="00564F3E" w:rsidRPr="00C071B6" w:rsidRDefault="00564F3E" w:rsidP="00227C90">
      <w:pPr>
        <w:pStyle w:val="Bulletedlist"/>
      </w:pPr>
      <w:r w:rsidRPr="00C071B6">
        <w:t>Enable selection of pilot cases with highest potential impact</w:t>
      </w:r>
      <w:r>
        <w:t>.</w:t>
      </w:r>
    </w:p>
    <w:p w:rsidR="00564F3E" w:rsidRDefault="00564F3E" w:rsidP="00227C90">
      <w:pPr>
        <w:pStyle w:val="Bulletedlist"/>
      </w:pPr>
      <w:r w:rsidRPr="00C071B6">
        <w:t xml:space="preserve">Enable </w:t>
      </w:r>
      <w:r>
        <w:t xml:space="preserve">the </w:t>
      </w:r>
      <w:r w:rsidRPr="00C071B6">
        <w:t xml:space="preserve">follow-up </w:t>
      </w:r>
      <w:r>
        <w:t xml:space="preserve">of the successfulness </w:t>
      </w:r>
      <w:r w:rsidRPr="00C071B6">
        <w:t>of the project</w:t>
      </w:r>
      <w:r>
        <w:t>.</w:t>
      </w:r>
    </w:p>
    <w:p w:rsidR="003F6F79" w:rsidRDefault="003F6F79" w:rsidP="00C071B6">
      <w:pPr>
        <w:rPr>
          <w:lang w:val="en-GB"/>
        </w:rPr>
      </w:pPr>
      <w:r>
        <w:rPr>
          <w:lang w:val="en-GB"/>
        </w:rPr>
        <w:t xml:space="preserve">The scope of the impact assessment is based on selected impact of the platform in Estonia, as illustrated in Figure 4. The Energy Data Feed </w:t>
      </w:r>
      <w:r w:rsidR="00564F3E">
        <w:rPr>
          <w:lang w:val="en-GB"/>
        </w:rPr>
        <w:t>P</w:t>
      </w:r>
      <w:r>
        <w:rPr>
          <w:lang w:val="en-GB"/>
        </w:rPr>
        <w:t xml:space="preserve">latform </w:t>
      </w:r>
      <w:r w:rsidR="00564F3E">
        <w:rPr>
          <w:lang w:val="en-GB"/>
        </w:rPr>
        <w:t>P</w:t>
      </w:r>
      <w:r>
        <w:rPr>
          <w:lang w:val="en-GB"/>
        </w:rPr>
        <w:t xml:space="preserve">roject creates the platform. On top of the platform </w:t>
      </w:r>
      <w:r w:rsidR="00564F3E">
        <w:rPr>
          <w:lang w:val="en-GB"/>
        </w:rPr>
        <w:t>various end user services are expected</w:t>
      </w:r>
      <w:r>
        <w:rPr>
          <w:lang w:val="en-GB"/>
        </w:rPr>
        <w:t>. These include pilots implemented during the project and other business opportunities, some of which have been identified in the Market Study (</w:t>
      </w:r>
      <w:r w:rsidR="00564F3E">
        <w:rPr>
          <w:lang w:val="en-GB"/>
        </w:rPr>
        <w:t xml:space="preserve">see separate report). At a later stage, it is possible that the EDF Platform expands to other countries. These impacts in other countries </w:t>
      </w:r>
      <w:r w:rsidR="00C04263">
        <w:rPr>
          <w:lang w:val="en-GB"/>
        </w:rPr>
        <w:t>are more uncertain and their effects have not been estimated within the scope of this report</w:t>
      </w:r>
      <w:r w:rsidR="00564F3E">
        <w:rPr>
          <w:lang w:val="en-GB"/>
        </w:rPr>
        <w:t>.</w:t>
      </w:r>
    </w:p>
    <w:p w:rsidR="003F6F79" w:rsidRDefault="00564F3E" w:rsidP="003F6F79">
      <w:pPr>
        <w:pStyle w:val="Figureheading"/>
        <w:spacing w:after="0"/>
        <w:rPr>
          <w:lang w:val="en-GB"/>
        </w:rPr>
      </w:pPr>
      <w:r w:rsidRPr="00564F3E">
        <w:rPr>
          <w:noProof/>
          <w:lang w:val="et-EE" w:eastAsia="et-EE"/>
        </w:rPr>
        <w:lastRenderedPageBreak/>
        <w:drawing>
          <wp:inline distT="0" distB="0" distL="0" distR="0">
            <wp:extent cx="5731510" cy="2304628"/>
            <wp:effectExtent l="0" t="0" r="254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731510" cy="2304628"/>
                    </a:xfrm>
                    <a:prstGeom prst="rect">
                      <a:avLst/>
                    </a:prstGeom>
                    <a:noFill/>
                    <a:ln w="9525">
                      <a:noFill/>
                      <a:miter lim="800000"/>
                      <a:headEnd/>
                      <a:tailEnd/>
                    </a:ln>
                  </pic:spPr>
                </pic:pic>
              </a:graphicData>
            </a:graphic>
          </wp:inline>
        </w:drawing>
      </w:r>
    </w:p>
    <w:p w:rsidR="003F6F79" w:rsidRPr="003F6F79" w:rsidRDefault="003F6F79" w:rsidP="00564F3E">
      <w:pPr>
        <w:pStyle w:val="Figureheading"/>
        <w:keepNext w:val="0"/>
        <w:rPr>
          <w:lang w:val="en-GB"/>
        </w:rPr>
      </w:pPr>
      <w:r>
        <w:rPr>
          <w:b/>
          <w:lang w:val="en-GB"/>
        </w:rPr>
        <w:t xml:space="preserve">Figure 4: </w:t>
      </w:r>
      <w:r>
        <w:rPr>
          <w:lang w:val="en-GB"/>
        </w:rPr>
        <w:t>Framework for the impact assessment.</w:t>
      </w:r>
    </w:p>
    <w:p w:rsidR="001670B3" w:rsidRDefault="00621957" w:rsidP="00621957">
      <w:pPr>
        <w:rPr>
          <w:lang w:val="en-GB"/>
        </w:rPr>
      </w:pPr>
      <w:r>
        <w:rPr>
          <w:lang w:val="en-GB"/>
        </w:rPr>
        <w:t xml:space="preserve">Alongside selecting target groups, the impacts to </w:t>
      </w:r>
      <w:r w:rsidR="00F61DEF">
        <w:rPr>
          <w:lang w:val="en-GB"/>
        </w:rPr>
        <w:t xml:space="preserve">be </w:t>
      </w:r>
      <w:r>
        <w:rPr>
          <w:lang w:val="en-GB"/>
        </w:rPr>
        <w:t>include</w:t>
      </w:r>
      <w:r w:rsidR="00F61DEF">
        <w:rPr>
          <w:lang w:val="en-GB"/>
        </w:rPr>
        <w:t>d</w:t>
      </w:r>
      <w:r>
        <w:rPr>
          <w:lang w:val="en-GB"/>
        </w:rPr>
        <w:t xml:space="preserve"> in the assessment need to be selected.</w:t>
      </w:r>
      <w:r w:rsidR="001670B3">
        <w:rPr>
          <w:lang w:val="en-GB"/>
        </w:rPr>
        <w:t xml:space="preserve"> </w:t>
      </w:r>
      <w:r w:rsidR="00677DE5">
        <w:rPr>
          <w:lang w:val="en-GB"/>
        </w:rPr>
        <w:t>T</w:t>
      </w:r>
      <w:r w:rsidR="008F3B21">
        <w:rPr>
          <w:lang w:val="en-GB"/>
        </w:rPr>
        <w:t xml:space="preserve">he </w:t>
      </w:r>
      <w:r w:rsidRPr="006270D2">
        <w:rPr>
          <w:lang w:val="en-GB"/>
        </w:rPr>
        <w:t xml:space="preserve">focus </w:t>
      </w:r>
      <w:r w:rsidR="008F3B21">
        <w:rPr>
          <w:lang w:val="en-GB"/>
        </w:rPr>
        <w:t xml:space="preserve">is </w:t>
      </w:r>
      <w:r w:rsidRPr="006270D2">
        <w:rPr>
          <w:lang w:val="en-GB"/>
        </w:rPr>
        <w:t>on environmental and socio-economic impact</w:t>
      </w:r>
      <w:r w:rsidR="008F3B21">
        <w:rPr>
          <w:lang w:val="en-GB"/>
        </w:rPr>
        <w:t>s</w:t>
      </w:r>
      <w:r w:rsidR="00677DE5">
        <w:rPr>
          <w:lang w:val="en-GB"/>
        </w:rPr>
        <w:t xml:space="preserve"> of </w:t>
      </w:r>
      <w:r w:rsidR="00564F3E">
        <w:rPr>
          <w:lang w:val="en-GB"/>
        </w:rPr>
        <w:t xml:space="preserve">the </w:t>
      </w:r>
      <w:r w:rsidR="00677DE5">
        <w:rPr>
          <w:lang w:val="en-GB"/>
        </w:rPr>
        <w:t xml:space="preserve">end user </w:t>
      </w:r>
      <w:r w:rsidR="00564F3E">
        <w:rPr>
          <w:lang w:val="en-GB"/>
        </w:rPr>
        <w:t>services that are enabled through the EDF Platform</w:t>
      </w:r>
      <w:r w:rsidR="00F61DEF">
        <w:rPr>
          <w:rStyle w:val="FootnoteReference"/>
          <w:lang w:val="en-GB"/>
        </w:rPr>
        <w:footnoteReference w:id="21"/>
      </w:r>
      <w:r w:rsidR="00564F3E">
        <w:rPr>
          <w:lang w:val="en-GB"/>
        </w:rPr>
        <w:t xml:space="preserve">. </w:t>
      </w:r>
      <w:r w:rsidR="001670B3">
        <w:rPr>
          <w:lang w:val="en-GB"/>
        </w:rPr>
        <w:t>The impacts are identified through effects diagrams for all the relevant business cases.</w:t>
      </w:r>
    </w:p>
    <w:p w:rsidR="001670B3" w:rsidRDefault="001670B3" w:rsidP="001670B3">
      <w:pPr>
        <w:pStyle w:val="Figureheading"/>
        <w:rPr>
          <w:lang w:val="en-GB"/>
        </w:rPr>
      </w:pPr>
      <w:r w:rsidRPr="001670B3">
        <w:rPr>
          <w:noProof/>
          <w:lang w:val="et-EE" w:eastAsia="et-EE"/>
        </w:rPr>
        <w:drawing>
          <wp:inline distT="0" distB="0" distL="0" distR="0">
            <wp:extent cx="5731510" cy="2760359"/>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731510" cy="2760359"/>
                    </a:xfrm>
                    <a:prstGeom prst="rect">
                      <a:avLst/>
                    </a:prstGeom>
                    <a:noFill/>
                    <a:ln w="9525">
                      <a:noFill/>
                      <a:miter lim="800000"/>
                      <a:headEnd/>
                      <a:tailEnd/>
                    </a:ln>
                  </pic:spPr>
                </pic:pic>
              </a:graphicData>
            </a:graphic>
          </wp:inline>
        </w:drawing>
      </w:r>
    </w:p>
    <w:p w:rsidR="001670B3" w:rsidRPr="001670B3" w:rsidRDefault="001670B3" w:rsidP="001670B3">
      <w:pPr>
        <w:pStyle w:val="Figureheading"/>
        <w:rPr>
          <w:lang w:val="en-GB"/>
        </w:rPr>
      </w:pPr>
      <w:r>
        <w:rPr>
          <w:b/>
          <w:lang w:val="en-GB"/>
        </w:rPr>
        <w:t xml:space="preserve">Figure 4: </w:t>
      </w:r>
      <w:r>
        <w:rPr>
          <w:lang w:val="en-GB"/>
        </w:rPr>
        <w:t>Example of the effects diagram for the Dynamic Tariff pilot.</w:t>
      </w:r>
    </w:p>
    <w:p w:rsidR="00621957" w:rsidRPr="00677DE5" w:rsidRDefault="008F3B21" w:rsidP="00621957">
      <w:pPr>
        <w:rPr>
          <w:lang w:val="en-GB"/>
        </w:rPr>
      </w:pPr>
      <w:r>
        <w:rPr>
          <w:lang w:val="en-GB"/>
        </w:rPr>
        <w:t>These impacts are quantified to the extent possible. A time span of 2020 has been selected to illustrate the full potential of the platform and its services.</w:t>
      </w:r>
      <w:r w:rsidR="00677DE5">
        <w:rPr>
          <w:lang w:val="en-GB"/>
        </w:rPr>
        <w:t xml:space="preserve"> Quantification of the impacts of a </w:t>
      </w:r>
      <w:r w:rsidR="00564F3E">
        <w:rPr>
          <w:lang w:val="en-GB"/>
        </w:rPr>
        <w:t xml:space="preserve">completely new business model, such as the EDF Platform, is rather challenging, as exactly similar services do not exist. </w:t>
      </w:r>
      <w:r w:rsidR="00677DE5">
        <w:rPr>
          <w:lang w:val="en-GB"/>
        </w:rPr>
        <w:t xml:space="preserve">However, it is possible to create preliminary </w:t>
      </w:r>
      <w:r w:rsidR="00677DE5">
        <w:rPr>
          <w:i/>
          <w:lang w:val="en-GB"/>
        </w:rPr>
        <w:t>ex ante</w:t>
      </w:r>
      <w:r w:rsidR="00677DE5">
        <w:rPr>
          <w:lang w:val="en-GB"/>
        </w:rPr>
        <w:t xml:space="preserve"> estimates of the impacts on the basis </w:t>
      </w:r>
      <w:r w:rsidR="00677DE5">
        <w:rPr>
          <w:lang w:val="en-GB"/>
        </w:rPr>
        <w:lastRenderedPageBreak/>
        <w:t>of literature and case studies made in the Market Study (see separate report). For the purposes of the project follow-up</w:t>
      </w:r>
      <w:r w:rsidR="00C97205">
        <w:rPr>
          <w:lang w:val="en-GB"/>
        </w:rPr>
        <w:t xml:space="preserve"> and given the available resources for the impact analysis</w:t>
      </w:r>
      <w:r w:rsidR="00677DE5">
        <w:rPr>
          <w:lang w:val="en-GB"/>
        </w:rPr>
        <w:t xml:space="preserve">, </w:t>
      </w:r>
      <w:r w:rsidR="00733BF7">
        <w:rPr>
          <w:lang w:val="en-GB"/>
        </w:rPr>
        <w:t xml:space="preserve">these </w:t>
      </w:r>
      <w:r w:rsidR="00677DE5">
        <w:rPr>
          <w:lang w:val="en-GB"/>
        </w:rPr>
        <w:t xml:space="preserve">impacts are </w:t>
      </w:r>
      <w:r w:rsidR="00733BF7">
        <w:rPr>
          <w:lang w:val="en-GB"/>
        </w:rPr>
        <w:t xml:space="preserve">suggested to be followed-up </w:t>
      </w:r>
      <w:r w:rsidR="00677DE5">
        <w:rPr>
          <w:lang w:val="en-GB"/>
        </w:rPr>
        <w:t xml:space="preserve">through </w:t>
      </w:r>
      <w:r w:rsidR="00C97205">
        <w:rPr>
          <w:lang w:val="en-GB"/>
        </w:rPr>
        <w:t>a set of indicators.</w:t>
      </w:r>
    </w:p>
    <w:p w:rsidR="003F6F79" w:rsidRPr="003F6F79" w:rsidRDefault="008E5125" w:rsidP="003F6F79">
      <w:pPr>
        <w:pStyle w:val="Heading2"/>
        <w:rPr>
          <w:lang w:val="en-GB"/>
        </w:rPr>
      </w:pPr>
      <w:bookmarkStart w:id="27" w:name="_Toc361737967"/>
      <w:r>
        <w:rPr>
          <w:lang w:val="en-GB"/>
        </w:rPr>
        <w:t xml:space="preserve">Impacts and </w:t>
      </w:r>
      <w:r w:rsidR="003F6F79">
        <w:rPr>
          <w:lang w:val="en-GB"/>
        </w:rPr>
        <w:t>Key Performance Indicator</w:t>
      </w:r>
      <w:bookmarkEnd w:id="27"/>
      <w:r>
        <w:rPr>
          <w:lang w:val="en-GB"/>
        </w:rPr>
        <w:t xml:space="preserve">s </w:t>
      </w:r>
    </w:p>
    <w:p w:rsidR="008F3B21" w:rsidRDefault="008F3B21" w:rsidP="008F3B21">
      <w:pPr>
        <w:rPr>
          <w:lang w:val="en-GB"/>
        </w:rPr>
      </w:pPr>
      <w:r w:rsidRPr="008F5111">
        <w:rPr>
          <w:lang w:val="en-GB"/>
        </w:rPr>
        <w:t xml:space="preserve">Preliminary Key Performance Indicators </w:t>
      </w:r>
      <w:r w:rsidR="00677DE5">
        <w:rPr>
          <w:lang w:val="en-GB"/>
        </w:rPr>
        <w:t xml:space="preserve">(KPIs) </w:t>
      </w:r>
      <w:r w:rsidRPr="008F5111">
        <w:rPr>
          <w:lang w:val="en-GB"/>
        </w:rPr>
        <w:t xml:space="preserve">for the EDF Platform project are presented in Table </w:t>
      </w:r>
      <w:r>
        <w:rPr>
          <w:lang w:val="en-GB"/>
        </w:rPr>
        <w:t>10</w:t>
      </w:r>
      <w:r w:rsidRPr="008F5111">
        <w:rPr>
          <w:lang w:val="en-GB"/>
        </w:rPr>
        <w:t>. T</w:t>
      </w:r>
      <w:r>
        <w:rPr>
          <w:lang w:val="en-GB"/>
        </w:rPr>
        <w:t xml:space="preserve">hey have been categorised according to environmental, social and economic indicators. </w:t>
      </w:r>
      <w:r w:rsidR="00677DE5">
        <w:rPr>
          <w:lang w:val="en-GB"/>
        </w:rPr>
        <w:t xml:space="preserve">Preliminary list of indicators has been selected on the basis of the review of the pilot business cases. </w:t>
      </w:r>
    </w:p>
    <w:p w:rsidR="008F3B21" w:rsidRPr="00A67FC8" w:rsidRDefault="008F3B21" w:rsidP="008F3B21">
      <w:pPr>
        <w:rPr>
          <w:i/>
          <w:lang w:val="en-GB"/>
        </w:rPr>
      </w:pPr>
      <w:r>
        <w:rPr>
          <w:b/>
          <w:i/>
          <w:lang w:val="en-GB"/>
        </w:rPr>
        <w:t>Table 10</w:t>
      </w:r>
      <w:r w:rsidRPr="00A67FC8">
        <w:rPr>
          <w:b/>
          <w:i/>
          <w:lang w:val="en-GB"/>
        </w:rPr>
        <w:t>:</w:t>
      </w:r>
      <w:r w:rsidRPr="00A67FC8">
        <w:rPr>
          <w:i/>
          <w:lang w:val="en-GB"/>
        </w:rPr>
        <w:t xml:space="preserve"> Preliminary Key Performance Indicators.</w:t>
      </w:r>
    </w:p>
    <w:tbl>
      <w:tblPr>
        <w:tblStyle w:val="LightShading-Accent12"/>
        <w:tblW w:w="8972" w:type="dxa"/>
        <w:tblLook w:val="04A0" w:firstRow="1" w:lastRow="0" w:firstColumn="1" w:lastColumn="0" w:noHBand="0" w:noVBand="1"/>
      </w:tblPr>
      <w:tblGrid>
        <w:gridCol w:w="2835"/>
        <w:gridCol w:w="231"/>
        <w:gridCol w:w="2835"/>
        <w:gridCol w:w="236"/>
        <w:gridCol w:w="2835"/>
      </w:tblGrid>
      <w:tr w:rsidR="008F3B21" w:rsidRPr="005F23BC" w:rsidTr="003F6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4F81BD" w:themeColor="accent1"/>
            </w:tcBorders>
          </w:tcPr>
          <w:p w:rsidR="008F3B21" w:rsidRPr="005F23BC" w:rsidRDefault="008F3B21" w:rsidP="003F6F79">
            <w:pPr>
              <w:spacing w:before="0" w:after="0" w:line="240" w:lineRule="auto"/>
              <w:contextualSpacing/>
              <w:rPr>
                <w:lang w:val="en-GB"/>
              </w:rPr>
            </w:pPr>
            <w:r w:rsidRPr="005F23BC">
              <w:rPr>
                <w:lang w:val="en-GB"/>
              </w:rPr>
              <w:t>Environmental</w:t>
            </w:r>
          </w:p>
        </w:tc>
        <w:tc>
          <w:tcPr>
            <w:tcW w:w="231" w:type="dxa"/>
            <w:tcBorders>
              <w:right w:val="single" w:sz="8" w:space="0" w:color="4F81BD" w:themeColor="accent1"/>
            </w:tcBorders>
          </w:tcPr>
          <w:p w:rsidR="008F3B21" w:rsidRPr="005F23BC" w:rsidRDefault="008F3B21" w:rsidP="003F6F79">
            <w:pPr>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lang w:val="en-GB"/>
              </w:rPr>
            </w:pPr>
          </w:p>
        </w:tc>
        <w:tc>
          <w:tcPr>
            <w:tcW w:w="2835" w:type="dxa"/>
            <w:tcBorders>
              <w:left w:val="single" w:sz="8" w:space="0" w:color="4F81BD" w:themeColor="accent1"/>
            </w:tcBorders>
          </w:tcPr>
          <w:p w:rsidR="008F3B21" w:rsidRPr="005F23BC" w:rsidRDefault="008F3B21" w:rsidP="003F6F79">
            <w:pPr>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lang w:val="en-GB"/>
              </w:rPr>
            </w:pPr>
            <w:r w:rsidRPr="005F23BC">
              <w:rPr>
                <w:lang w:val="en-GB"/>
              </w:rPr>
              <w:t>Social</w:t>
            </w:r>
          </w:p>
        </w:tc>
        <w:tc>
          <w:tcPr>
            <w:tcW w:w="236" w:type="dxa"/>
            <w:tcBorders>
              <w:right w:val="single" w:sz="8" w:space="0" w:color="4F81BD" w:themeColor="accent1"/>
            </w:tcBorders>
          </w:tcPr>
          <w:p w:rsidR="008F3B21" w:rsidRPr="005F23BC" w:rsidRDefault="008F3B21" w:rsidP="003F6F79">
            <w:pPr>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lang w:val="en-GB"/>
              </w:rPr>
            </w:pPr>
          </w:p>
        </w:tc>
        <w:tc>
          <w:tcPr>
            <w:tcW w:w="2835" w:type="dxa"/>
            <w:tcBorders>
              <w:left w:val="single" w:sz="8" w:space="0" w:color="4F81BD" w:themeColor="accent1"/>
              <w:right w:val="single" w:sz="8" w:space="0" w:color="4F81BD" w:themeColor="accent1"/>
            </w:tcBorders>
          </w:tcPr>
          <w:p w:rsidR="008F3B21" w:rsidRPr="005F23BC" w:rsidRDefault="008F3B21" w:rsidP="003F6F79">
            <w:pPr>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lang w:val="en-GB"/>
              </w:rPr>
            </w:pPr>
            <w:r w:rsidRPr="005F23BC">
              <w:rPr>
                <w:lang w:val="en-GB"/>
              </w:rPr>
              <w:t>Economic</w:t>
            </w:r>
          </w:p>
        </w:tc>
      </w:tr>
      <w:tr w:rsidR="008F3B21" w:rsidRPr="005F23BC" w:rsidTr="003F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4F81BD" w:themeColor="accent1"/>
            </w:tcBorders>
            <w:vAlign w:val="center"/>
          </w:tcPr>
          <w:p w:rsidR="008F3B21" w:rsidRPr="005F23BC" w:rsidRDefault="008F3B21" w:rsidP="003F6F79">
            <w:pPr>
              <w:spacing w:before="0" w:after="0" w:line="240" w:lineRule="auto"/>
              <w:contextualSpacing/>
              <w:jc w:val="left"/>
              <w:rPr>
                <w:b w:val="0"/>
                <w:lang w:val="en-GB"/>
              </w:rPr>
            </w:pPr>
            <w:r w:rsidRPr="008258A5">
              <w:rPr>
                <w:b w:val="0"/>
                <w:lang w:val="en-GB"/>
              </w:rPr>
              <w:t>E</w:t>
            </w:r>
            <w:r w:rsidRPr="005F23BC">
              <w:rPr>
                <w:b w:val="0"/>
                <w:lang w:val="en-GB"/>
              </w:rPr>
              <w:t>nergy savings achiev</w:t>
            </w:r>
            <w:r>
              <w:rPr>
                <w:b w:val="0"/>
                <w:lang w:val="en-GB"/>
              </w:rPr>
              <w:t>ed (GWh</w:t>
            </w:r>
            <w:r w:rsidRPr="005F23BC">
              <w:rPr>
                <w:b w:val="0"/>
                <w:lang w:val="en-GB"/>
              </w:rPr>
              <w:t>, comparing situation prior to new service)</w:t>
            </w:r>
          </w:p>
        </w:tc>
        <w:tc>
          <w:tcPr>
            <w:tcW w:w="231" w:type="dxa"/>
            <w:tcBorders>
              <w:right w:val="single" w:sz="8" w:space="0" w:color="4F81BD" w:themeColor="accent1"/>
            </w:tcBorders>
            <w:vAlign w:val="center"/>
          </w:tcPr>
          <w:p w:rsidR="008F3B21" w:rsidRPr="005F23BC" w:rsidRDefault="008F3B21" w:rsidP="003F6F79">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p>
        </w:tc>
        <w:tc>
          <w:tcPr>
            <w:tcW w:w="2835" w:type="dxa"/>
            <w:tcBorders>
              <w:left w:val="single" w:sz="8" w:space="0" w:color="4F81BD" w:themeColor="accent1"/>
            </w:tcBorders>
            <w:vAlign w:val="center"/>
          </w:tcPr>
          <w:p w:rsidR="008F3B21" w:rsidRPr="005F23BC" w:rsidRDefault="00DF0886" w:rsidP="00C04263">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r>
              <w:rPr>
                <w:lang w:val="en-GB"/>
              </w:rPr>
              <w:t>E</w:t>
            </w:r>
            <w:r w:rsidR="00C04263">
              <w:rPr>
                <w:lang w:val="en-GB"/>
              </w:rPr>
              <w:t xml:space="preserve">nd users affected by the platform services </w:t>
            </w:r>
            <w:r>
              <w:rPr>
                <w:lang w:val="en-GB"/>
              </w:rPr>
              <w:t>(% of customers)</w:t>
            </w:r>
          </w:p>
        </w:tc>
        <w:tc>
          <w:tcPr>
            <w:tcW w:w="236" w:type="dxa"/>
            <w:tcBorders>
              <w:right w:val="single" w:sz="8" w:space="0" w:color="4F81BD" w:themeColor="accent1"/>
            </w:tcBorders>
            <w:vAlign w:val="center"/>
          </w:tcPr>
          <w:p w:rsidR="008F3B21" w:rsidRPr="005F23BC" w:rsidRDefault="008F3B21" w:rsidP="003F6F79">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p>
        </w:tc>
        <w:tc>
          <w:tcPr>
            <w:tcW w:w="2835" w:type="dxa"/>
            <w:tcBorders>
              <w:left w:val="single" w:sz="8" w:space="0" w:color="4F81BD" w:themeColor="accent1"/>
              <w:right w:val="single" w:sz="8" w:space="0" w:color="4F81BD" w:themeColor="accent1"/>
            </w:tcBorders>
            <w:vAlign w:val="center"/>
          </w:tcPr>
          <w:p w:rsidR="008F3B21" w:rsidRPr="005F23BC" w:rsidRDefault="008F3B21" w:rsidP="003F6F79">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r w:rsidRPr="005F23BC">
              <w:rPr>
                <w:lang w:val="en-GB"/>
              </w:rPr>
              <w:t>Additional revenues gained from new services (EUR)</w:t>
            </w:r>
          </w:p>
        </w:tc>
      </w:tr>
      <w:tr w:rsidR="008F3B21" w:rsidRPr="005F23BC" w:rsidTr="003F6F79">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4F81BD" w:themeColor="accent1"/>
              <w:right w:val="nil"/>
            </w:tcBorders>
            <w:vAlign w:val="center"/>
          </w:tcPr>
          <w:p w:rsidR="008F3B21" w:rsidRPr="005F23BC" w:rsidRDefault="008F3B21" w:rsidP="003F6F79">
            <w:pPr>
              <w:spacing w:before="0" w:after="0" w:line="240" w:lineRule="auto"/>
              <w:contextualSpacing/>
              <w:jc w:val="left"/>
              <w:rPr>
                <w:b w:val="0"/>
                <w:lang w:val="en-GB"/>
              </w:rPr>
            </w:pPr>
            <w:r w:rsidRPr="005F23BC">
              <w:rPr>
                <w:b w:val="0"/>
                <w:lang w:val="en-GB"/>
              </w:rPr>
              <w:t>Carbon emissions savings (tCO2-eq, comparing situation prior to new service)</w:t>
            </w:r>
          </w:p>
        </w:tc>
        <w:tc>
          <w:tcPr>
            <w:tcW w:w="231" w:type="dxa"/>
            <w:tcBorders>
              <w:left w:val="nil"/>
              <w:right w:val="single" w:sz="8" w:space="0" w:color="4F81BD" w:themeColor="accent1"/>
            </w:tcBorders>
            <w:vAlign w:val="center"/>
          </w:tcPr>
          <w:p w:rsidR="008F3B21" w:rsidRPr="005F23BC" w:rsidRDefault="008F3B21" w:rsidP="003F6F79">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p>
        </w:tc>
        <w:tc>
          <w:tcPr>
            <w:tcW w:w="2835" w:type="dxa"/>
            <w:tcBorders>
              <w:left w:val="single" w:sz="8" w:space="0" w:color="4F81BD" w:themeColor="accent1"/>
            </w:tcBorders>
            <w:vAlign w:val="center"/>
          </w:tcPr>
          <w:p w:rsidR="008F3B21" w:rsidRPr="005F23BC" w:rsidRDefault="00C04263" w:rsidP="00C04263">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Number of services on the platform </w:t>
            </w:r>
          </w:p>
        </w:tc>
        <w:tc>
          <w:tcPr>
            <w:tcW w:w="236" w:type="dxa"/>
            <w:tcBorders>
              <w:right w:val="single" w:sz="8" w:space="0" w:color="4F81BD" w:themeColor="accent1"/>
            </w:tcBorders>
            <w:vAlign w:val="center"/>
          </w:tcPr>
          <w:p w:rsidR="008F3B21" w:rsidRPr="005F23BC" w:rsidRDefault="008F3B21" w:rsidP="003F6F79">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p>
        </w:tc>
        <w:tc>
          <w:tcPr>
            <w:tcW w:w="2835" w:type="dxa"/>
            <w:tcBorders>
              <w:left w:val="single" w:sz="8" w:space="0" w:color="4F81BD" w:themeColor="accent1"/>
              <w:right w:val="single" w:sz="8" w:space="0" w:color="4F81BD" w:themeColor="accent1"/>
            </w:tcBorders>
            <w:vAlign w:val="center"/>
          </w:tcPr>
          <w:p w:rsidR="008F3B21" w:rsidRPr="00EF3F34" w:rsidRDefault="008F3B21" w:rsidP="003F6F79">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r>
              <w:rPr>
                <w:lang w:val="en-GB"/>
              </w:rPr>
              <w:t>Operational savings (EUR)</w:t>
            </w:r>
          </w:p>
        </w:tc>
      </w:tr>
      <w:tr w:rsidR="008F3B21" w:rsidRPr="005F23BC" w:rsidTr="003F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4F81BD" w:themeColor="accent1"/>
            </w:tcBorders>
            <w:vAlign w:val="center"/>
          </w:tcPr>
          <w:p w:rsidR="008F3B21" w:rsidRPr="005F23BC" w:rsidRDefault="008F3B21" w:rsidP="003F6F79">
            <w:pPr>
              <w:spacing w:before="0" w:after="0" w:line="240" w:lineRule="auto"/>
              <w:contextualSpacing/>
              <w:jc w:val="left"/>
              <w:rPr>
                <w:b w:val="0"/>
                <w:lang w:val="en-GB"/>
              </w:rPr>
            </w:pPr>
            <w:r w:rsidRPr="005F23BC">
              <w:rPr>
                <w:b w:val="0"/>
                <w:lang w:val="en-GB"/>
              </w:rPr>
              <w:t>Changes in share of renewable energy (% out of total production and consumption vs. fossil)</w:t>
            </w:r>
          </w:p>
        </w:tc>
        <w:tc>
          <w:tcPr>
            <w:tcW w:w="231" w:type="dxa"/>
            <w:tcBorders>
              <w:right w:val="single" w:sz="8" w:space="0" w:color="4F81BD" w:themeColor="accent1"/>
            </w:tcBorders>
            <w:vAlign w:val="center"/>
          </w:tcPr>
          <w:p w:rsidR="008F3B21" w:rsidRPr="005F23BC" w:rsidRDefault="008F3B21" w:rsidP="003F6F79">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p>
        </w:tc>
        <w:tc>
          <w:tcPr>
            <w:tcW w:w="2835" w:type="dxa"/>
            <w:tcBorders>
              <w:left w:val="single" w:sz="8" w:space="0" w:color="4F81BD" w:themeColor="accent1"/>
            </w:tcBorders>
            <w:vAlign w:val="center"/>
          </w:tcPr>
          <w:p w:rsidR="008F3B21" w:rsidRPr="005F23BC" w:rsidRDefault="00C04263" w:rsidP="003F6F79">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r w:rsidRPr="005F23BC">
              <w:rPr>
                <w:lang w:val="en-GB"/>
              </w:rPr>
              <w:t>New jobs created (person-years)</w:t>
            </w:r>
          </w:p>
        </w:tc>
        <w:tc>
          <w:tcPr>
            <w:tcW w:w="236" w:type="dxa"/>
            <w:tcBorders>
              <w:right w:val="single" w:sz="8" w:space="0" w:color="4F81BD" w:themeColor="accent1"/>
            </w:tcBorders>
            <w:vAlign w:val="center"/>
          </w:tcPr>
          <w:p w:rsidR="008F3B21" w:rsidRPr="005F23BC" w:rsidRDefault="008F3B21" w:rsidP="003F6F79">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p>
        </w:tc>
        <w:tc>
          <w:tcPr>
            <w:tcW w:w="2835" w:type="dxa"/>
            <w:tcBorders>
              <w:left w:val="single" w:sz="8" w:space="0" w:color="4F81BD" w:themeColor="accent1"/>
              <w:right w:val="single" w:sz="8" w:space="0" w:color="4F81BD" w:themeColor="accent1"/>
            </w:tcBorders>
            <w:vAlign w:val="center"/>
          </w:tcPr>
          <w:p w:rsidR="008F3B21" w:rsidRPr="005F23BC" w:rsidRDefault="008F3B21" w:rsidP="003F6F79">
            <w:pPr>
              <w:spacing w:before="0" w:after="0" w:line="240" w:lineRule="auto"/>
              <w:contextualSpacing/>
              <w:jc w:val="left"/>
              <w:cnfStyle w:val="000000100000" w:firstRow="0" w:lastRow="0" w:firstColumn="0" w:lastColumn="0" w:oddVBand="0" w:evenVBand="0" w:oddHBand="1" w:evenHBand="0" w:firstRowFirstColumn="0" w:firstRowLastColumn="0" w:lastRowFirstColumn="0" w:lastRowLastColumn="0"/>
              <w:rPr>
                <w:lang w:val="en-GB"/>
              </w:rPr>
            </w:pPr>
            <w:r w:rsidRPr="005F23BC">
              <w:rPr>
                <w:lang w:val="en-GB"/>
              </w:rPr>
              <w:t>R&amp;D spending (EUR)</w:t>
            </w:r>
          </w:p>
        </w:tc>
      </w:tr>
      <w:tr w:rsidR="008F3B21" w:rsidRPr="005F23BC" w:rsidTr="003F6F79">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4F81BD" w:themeColor="accent1"/>
              <w:bottom w:val="single" w:sz="8" w:space="0" w:color="4F81BD" w:themeColor="accent1"/>
              <w:right w:val="nil"/>
            </w:tcBorders>
            <w:vAlign w:val="center"/>
          </w:tcPr>
          <w:p w:rsidR="008F3B21" w:rsidRPr="005F23BC" w:rsidRDefault="008F3B21" w:rsidP="003F6F79">
            <w:pPr>
              <w:spacing w:before="0" w:after="0" w:line="240" w:lineRule="auto"/>
              <w:contextualSpacing/>
              <w:jc w:val="left"/>
              <w:rPr>
                <w:b w:val="0"/>
                <w:lang w:val="en-GB"/>
              </w:rPr>
            </w:pPr>
          </w:p>
        </w:tc>
        <w:tc>
          <w:tcPr>
            <w:tcW w:w="231" w:type="dxa"/>
            <w:tcBorders>
              <w:left w:val="nil"/>
              <w:bottom w:val="single" w:sz="8" w:space="0" w:color="4F81BD" w:themeColor="accent1"/>
              <w:right w:val="single" w:sz="8" w:space="0" w:color="4F81BD" w:themeColor="accent1"/>
            </w:tcBorders>
            <w:vAlign w:val="center"/>
          </w:tcPr>
          <w:p w:rsidR="008F3B21" w:rsidRPr="005F23BC" w:rsidRDefault="008F3B21" w:rsidP="003F6F79">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p>
        </w:tc>
        <w:tc>
          <w:tcPr>
            <w:tcW w:w="2835" w:type="dxa"/>
            <w:tcBorders>
              <w:left w:val="single" w:sz="8" w:space="0" w:color="4F81BD" w:themeColor="accent1"/>
              <w:bottom w:val="single" w:sz="8" w:space="0" w:color="4F81BD" w:themeColor="accent1"/>
            </w:tcBorders>
            <w:vAlign w:val="center"/>
          </w:tcPr>
          <w:p w:rsidR="008F3B21" w:rsidRPr="005F23BC" w:rsidRDefault="00C04263" w:rsidP="003F6F79">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Share of energy costs of the total household income (%)</w:t>
            </w:r>
          </w:p>
        </w:tc>
        <w:tc>
          <w:tcPr>
            <w:tcW w:w="236" w:type="dxa"/>
            <w:tcBorders>
              <w:bottom w:val="single" w:sz="8" w:space="0" w:color="4F81BD" w:themeColor="accent1"/>
              <w:right w:val="single" w:sz="8" w:space="0" w:color="4F81BD" w:themeColor="accent1"/>
            </w:tcBorders>
            <w:vAlign w:val="center"/>
          </w:tcPr>
          <w:p w:rsidR="008F3B21" w:rsidRPr="005F23BC" w:rsidRDefault="008F3B21" w:rsidP="003F6F79">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p>
        </w:tc>
        <w:tc>
          <w:tcPr>
            <w:tcW w:w="2835" w:type="dxa"/>
            <w:tcBorders>
              <w:left w:val="single" w:sz="8" w:space="0" w:color="4F81BD" w:themeColor="accent1"/>
              <w:bottom w:val="single" w:sz="8" w:space="0" w:color="4F81BD" w:themeColor="accent1"/>
              <w:right w:val="single" w:sz="8" w:space="0" w:color="4F81BD" w:themeColor="accent1"/>
            </w:tcBorders>
            <w:vAlign w:val="center"/>
          </w:tcPr>
          <w:p w:rsidR="008F3B21" w:rsidRPr="005F23BC" w:rsidRDefault="00C04263" w:rsidP="00C04263">
            <w:pPr>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Share of energy costs of the total enterprise costs (%)</w:t>
            </w:r>
          </w:p>
        </w:tc>
      </w:tr>
    </w:tbl>
    <w:p w:rsidR="00621957" w:rsidRDefault="00677DE5" w:rsidP="00621957">
      <w:pPr>
        <w:rPr>
          <w:lang w:val="en-GB"/>
        </w:rPr>
      </w:pPr>
      <w:r>
        <w:rPr>
          <w:lang w:val="en-GB"/>
        </w:rPr>
        <w:t xml:space="preserve">The preliminary list of </w:t>
      </w:r>
      <w:r>
        <w:rPr>
          <w:smallCaps/>
          <w:lang w:val="en-GB"/>
        </w:rPr>
        <w:t xml:space="preserve">KPIs </w:t>
      </w:r>
      <w:r w:rsidRPr="00677DE5">
        <w:rPr>
          <w:lang w:val="en-GB"/>
        </w:rPr>
        <w:t>can</w:t>
      </w:r>
      <w:r>
        <w:rPr>
          <w:lang w:val="en-GB"/>
        </w:rPr>
        <w:t xml:space="preserve"> be supplemented and adjusted during the actual implementation of the EDF Platform Project.</w:t>
      </w:r>
    </w:p>
    <w:p w:rsidR="00621957" w:rsidRDefault="008E5125" w:rsidP="00621957">
      <w:pPr>
        <w:rPr>
          <w:lang w:val="en-GB"/>
        </w:rPr>
      </w:pPr>
      <w:r>
        <w:rPr>
          <w:lang w:val="en-GB"/>
        </w:rPr>
        <w:t xml:space="preserve">Summary of the values for the </w:t>
      </w:r>
      <w:r w:rsidR="00004179">
        <w:rPr>
          <w:lang w:val="en-GB"/>
        </w:rPr>
        <w:t xml:space="preserve">KPIs from the identified end user business applications are presented in Table 11. The monetary value created has been evaluated in the Market study (see separate report) to be from 18–35 M€. </w:t>
      </w:r>
      <w:r w:rsidR="00060299">
        <w:rPr>
          <w:lang w:val="en-GB"/>
        </w:rPr>
        <w:t xml:space="preserve">This would be divided to end user savings of 10–20 M€, and additional revenues to service providers of 8–15 M€. </w:t>
      </w:r>
      <w:r w:rsidR="00004179">
        <w:rPr>
          <w:lang w:val="en-GB"/>
        </w:rPr>
        <w:t>The total energy efficiency gains by 2020 could be from 0,8–1,6 TWh. Corresponding carbon emissions can be estimated to be in the range of 0,6–1,1 MtCO</w:t>
      </w:r>
      <w:r w:rsidR="00004179" w:rsidRPr="00004179">
        <w:rPr>
          <w:vertAlign w:val="subscript"/>
          <w:lang w:val="en-GB"/>
        </w:rPr>
        <w:t>2</w:t>
      </w:r>
      <w:r w:rsidR="00004179">
        <w:rPr>
          <w:rStyle w:val="FootnoteReference"/>
          <w:lang w:val="en-GB"/>
        </w:rPr>
        <w:footnoteReference w:id="22"/>
      </w:r>
      <w:r w:rsidR="00004179">
        <w:rPr>
          <w:lang w:val="en-GB"/>
        </w:rPr>
        <w:t>. If all the services are implemented, the number of services would be 17, with 170 000 end users (households and SMEs) affected</w:t>
      </w:r>
      <w:r w:rsidR="00060299">
        <w:rPr>
          <w:rStyle w:val="FootnoteReference"/>
          <w:lang w:val="en-GB"/>
        </w:rPr>
        <w:footnoteReference w:id="23"/>
      </w:r>
      <w:r w:rsidR="00004179">
        <w:rPr>
          <w:lang w:val="en-GB"/>
        </w:rPr>
        <w:t>.</w:t>
      </w:r>
      <w:r w:rsidR="00060299">
        <w:rPr>
          <w:lang w:val="en-GB"/>
        </w:rPr>
        <w:t xml:space="preserve"> </w:t>
      </w:r>
    </w:p>
    <w:p w:rsidR="00004179" w:rsidRPr="00A67FC8" w:rsidRDefault="00004179" w:rsidP="00621957">
      <w:pPr>
        <w:rPr>
          <w:lang w:val="en-GB"/>
        </w:rPr>
      </w:pPr>
    </w:p>
    <w:p w:rsidR="00DF0886" w:rsidRDefault="00621957" w:rsidP="005C6DCB">
      <w:pPr>
        <w:pStyle w:val="Tableheading"/>
      </w:pPr>
      <w:r>
        <w:t xml:space="preserve"> </w:t>
      </w:r>
      <w:bookmarkStart w:id="28" w:name="_Toc361148599"/>
    </w:p>
    <w:p w:rsidR="00DF0886" w:rsidRDefault="00DF0886">
      <w:pPr>
        <w:spacing w:before="0" w:after="0" w:line="240" w:lineRule="auto"/>
        <w:jc w:val="left"/>
        <w:rPr>
          <w:bCs/>
          <w:i/>
          <w:szCs w:val="20"/>
          <w:lang w:val="en-GB"/>
        </w:rPr>
      </w:pPr>
      <w:r>
        <w:br w:type="page"/>
      </w:r>
    </w:p>
    <w:p w:rsidR="00AD28A6" w:rsidRPr="006276BF" w:rsidRDefault="00AD28A6" w:rsidP="005C6DCB">
      <w:pPr>
        <w:pStyle w:val="Tableheading"/>
      </w:pPr>
      <w:r w:rsidRPr="006276BF">
        <w:rPr>
          <w:b/>
        </w:rPr>
        <w:lastRenderedPageBreak/>
        <w:t>Table 1</w:t>
      </w:r>
      <w:r w:rsidR="00DF0886">
        <w:rPr>
          <w:b/>
        </w:rPr>
        <w:t>1</w:t>
      </w:r>
      <w:r w:rsidRPr="006276BF">
        <w:rPr>
          <w:b/>
        </w:rPr>
        <w:t xml:space="preserve">. </w:t>
      </w:r>
      <w:r w:rsidRPr="006276BF">
        <w:t>Summary of preliminary potential annual impacts of the identified business opportunities. Energy savings potential is calculated from all energy use per year. Coverage estimate describes the assumed potential adoption by 2020. Economic value creation takes coverage estimate into account.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2529"/>
        <w:gridCol w:w="1798"/>
        <w:gridCol w:w="1799"/>
        <w:gridCol w:w="1799"/>
      </w:tblGrid>
      <w:tr w:rsidR="00AD28A6" w:rsidRPr="006276BF" w:rsidTr="00DF0886">
        <w:trPr>
          <w:trHeight w:val="282"/>
        </w:trPr>
        <w:tc>
          <w:tcPr>
            <w:tcW w:w="738" w:type="dxa"/>
            <w:shd w:val="clear" w:color="auto" w:fill="F2F2F2" w:themeFill="background1" w:themeFillShade="F2"/>
          </w:tcPr>
          <w:p w:rsidR="00AD28A6" w:rsidRPr="006276BF" w:rsidRDefault="00AD28A6" w:rsidP="0046612C">
            <w:pPr>
              <w:pStyle w:val="Numberedlist"/>
            </w:pPr>
          </w:p>
        </w:tc>
        <w:tc>
          <w:tcPr>
            <w:tcW w:w="2529" w:type="dxa"/>
            <w:shd w:val="clear" w:color="auto" w:fill="F2F2F2" w:themeFill="background1" w:themeFillShade="F2"/>
          </w:tcPr>
          <w:p w:rsidR="00AD28A6" w:rsidRPr="006276BF" w:rsidRDefault="00AD28A6" w:rsidP="0046612C">
            <w:pPr>
              <w:pStyle w:val="Numberedlist"/>
            </w:pPr>
          </w:p>
        </w:tc>
        <w:tc>
          <w:tcPr>
            <w:tcW w:w="1798" w:type="dxa"/>
            <w:shd w:val="clear" w:color="auto" w:fill="F2F2F2" w:themeFill="background1" w:themeFillShade="F2"/>
          </w:tcPr>
          <w:p w:rsidR="00AD28A6" w:rsidRPr="006276BF" w:rsidRDefault="00AD28A6" w:rsidP="0046612C">
            <w:pPr>
              <w:pStyle w:val="Numberedlist"/>
            </w:pPr>
            <w:r w:rsidRPr="006276BF">
              <w:t>Environmental</w:t>
            </w:r>
          </w:p>
        </w:tc>
        <w:tc>
          <w:tcPr>
            <w:tcW w:w="1799" w:type="dxa"/>
            <w:shd w:val="clear" w:color="auto" w:fill="F2F2F2" w:themeFill="background1" w:themeFillShade="F2"/>
          </w:tcPr>
          <w:p w:rsidR="00AD28A6" w:rsidRPr="006276BF" w:rsidRDefault="00AD28A6" w:rsidP="0046612C">
            <w:pPr>
              <w:pStyle w:val="Numberedlist"/>
            </w:pPr>
            <w:r w:rsidRPr="006276BF">
              <w:t>Social</w:t>
            </w:r>
          </w:p>
        </w:tc>
        <w:tc>
          <w:tcPr>
            <w:tcW w:w="1799" w:type="dxa"/>
            <w:shd w:val="clear" w:color="auto" w:fill="F2F2F2" w:themeFill="background1" w:themeFillShade="F2"/>
          </w:tcPr>
          <w:p w:rsidR="00AD28A6" w:rsidRPr="006276BF" w:rsidRDefault="00AD28A6" w:rsidP="0046612C">
            <w:pPr>
              <w:pStyle w:val="Numberedlist"/>
            </w:pPr>
            <w:r w:rsidRPr="006276BF">
              <w:t>Economic</w:t>
            </w:r>
          </w:p>
        </w:tc>
      </w:tr>
      <w:tr w:rsidR="00AD28A6" w:rsidRPr="006276BF" w:rsidTr="00DF0886">
        <w:trPr>
          <w:trHeight w:val="263"/>
        </w:trPr>
        <w:tc>
          <w:tcPr>
            <w:tcW w:w="738" w:type="dxa"/>
            <w:shd w:val="clear" w:color="auto" w:fill="F2F2F2" w:themeFill="background1" w:themeFillShade="F2"/>
          </w:tcPr>
          <w:p w:rsidR="00AD28A6" w:rsidRPr="006276BF" w:rsidRDefault="00AD28A6" w:rsidP="0046612C">
            <w:pPr>
              <w:pStyle w:val="Numberedlist"/>
            </w:pPr>
          </w:p>
        </w:tc>
        <w:tc>
          <w:tcPr>
            <w:tcW w:w="2529" w:type="dxa"/>
            <w:shd w:val="clear" w:color="auto" w:fill="F2F2F2" w:themeFill="background1" w:themeFillShade="F2"/>
          </w:tcPr>
          <w:p w:rsidR="00AD28A6" w:rsidRPr="006276BF" w:rsidRDefault="00AD28A6" w:rsidP="0046612C">
            <w:pPr>
              <w:pStyle w:val="Numberedlist"/>
            </w:pPr>
            <w:r w:rsidRPr="006276BF">
              <w:t>Idea</w:t>
            </w:r>
          </w:p>
        </w:tc>
        <w:tc>
          <w:tcPr>
            <w:tcW w:w="1798" w:type="dxa"/>
            <w:shd w:val="clear" w:color="auto" w:fill="F2F2F2" w:themeFill="background1" w:themeFillShade="F2"/>
          </w:tcPr>
          <w:p w:rsidR="00AD28A6" w:rsidRPr="006276BF" w:rsidRDefault="00AD28A6" w:rsidP="0046612C">
            <w:pPr>
              <w:pStyle w:val="Numberedlist"/>
            </w:pPr>
            <w:r w:rsidRPr="006276BF">
              <w:t>Energy savings potential</w:t>
            </w:r>
            <w:r w:rsidR="00DF0886">
              <w:t xml:space="preserve"> (TWh)</w:t>
            </w:r>
          </w:p>
        </w:tc>
        <w:tc>
          <w:tcPr>
            <w:tcW w:w="1799" w:type="dxa"/>
            <w:shd w:val="clear" w:color="auto" w:fill="F2F2F2" w:themeFill="background1" w:themeFillShade="F2"/>
          </w:tcPr>
          <w:p w:rsidR="00AD28A6" w:rsidRPr="006276BF" w:rsidRDefault="0046612C" w:rsidP="0046612C">
            <w:pPr>
              <w:pStyle w:val="Numberedlist"/>
            </w:pPr>
            <w:r>
              <w:t>U</w:t>
            </w:r>
            <w:r w:rsidR="00DF0886">
              <w:t xml:space="preserve">sers </w:t>
            </w:r>
            <w:r>
              <w:t>affected</w:t>
            </w:r>
          </w:p>
        </w:tc>
        <w:tc>
          <w:tcPr>
            <w:tcW w:w="1799" w:type="dxa"/>
            <w:shd w:val="clear" w:color="auto" w:fill="F2F2F2" w:themeFill="background1" w:themeFillShade="F2"/>
          </w:tcPr>
          <w:p w:rsidR="00AD28A6" w:rsidRPr="006276BF" w:rsidRDefault="00DF0886" w:rsidP="0046612C">
            <w:pPr>
              <w:pStyle w:val="Numberedlist"/>
            </w:pPr>
            <w:r>
              <w:t>Total v</w:t>
            </w:r>
            <w:r w:rsidR="00AD28A6" w:rsidRPr="006276BF">
              <w:t>alue creation</w:t>
            </w:r>
            <w:r>
              <w:t xml:space="preserve"> (M€)</w:t>
            </w:r>
          </w:p>
        </w:tc>
      </w:tr>
      <w:tr w:rsidR="00DF0886" w:rsidRPr="006276BF" w:rsidTr="0046612C">
        <w:trPr>
          <w:trHeight w:val="490"/>
        </w:trPr>
        <w:tc>
          <w:tcPr>
            <w:tcW w:w="738" w:type="dxa"/>
            <w:vMerge w:val="restart"/>
            <w:shd w:val="clear" w:color="auto" w:fill="CCC0D9" w:themeFill="accent4" w:themeFillTint="66"/>
            <w:textDirection w:val="btLr"/>
          </w:tcPr>
          <w:p w:rsidR="00DF0886" w:rsidRPr="006276BF" w:rsidRDefault="00DF0886" w:rsidP="0046612C">
            <w:pPr>
              <w:pStyle w:val="Numberedlist"/>
            </w:pPr>
            <w:r w:rsidRPr="006276BF">
              <w:t>ELECTRICITY DISTRIBUTION</w:t>
            </w:r>
            <w:r>
              <w:t xml:space="preserve"> AND TRANSMISSION</w:t>
            </w:r>
          </w:p>
        </w:tc>
        <w:tc>
          <w:tcPr>
            <w:tcW w:w="2529" w:type="dxa"/>
          </w:tcPr>
          <w:p w:rsidR="00DF0886" w:rsidRPr="006276BF" w:rsidRDefault="00DF0886" w:rsidP="005C6DCB">
            <w:pPr>
              <w:pStyle w:val="NormalWeb"/>
              <w:spacing w:before="0" w:beforeAutospacing="0" w:after="0" w:afterAutospacing="0"/>
              <w:rPr>
                <w:rFonts w:ascii="Arial" w:hAnsi="Arial" w:cs="Arial"/>
                <w:sz w:val="20"/>
                <w:szCs w:val="36"/>
                <w:lang w:val="en-GB"/>
              </w:rPr>
            </w:pPr>
            <w:r w:rsidRPr="006276BF">
              <w:rPr>
                <w:rFonts w:ascii="Calibri" w:hAnsi="Calibri" w:cs="Arial"/>
                <w:color w:val="000000"/>
                <w:kern w:val="24"/>
                <w:sz w:val="20"/>
                <w:szCs w:val="32"/>
                <w:lang w:val="en-GB"/>
              </w:rPr>
              <w:t xml:space="preserve">Local  grid system management </w:t>
            </w:r>
          </w:p>
        </w:tc>
        <w:tc>
          <w:tcPr>
            <w:tcW w:w="1798" w:type="dxa"/>
          </w:tcPr>
          <w:p w:rsidR="00DF0886" w:rsidRPr="0046612C" w:rsidRDefault="0046612C" w:rsidP="0046612C">
            <w:pPr>
              <w:spacing w:before="0" w:after="0"/>
              <w:jc w:val="center"/>
              <w:rPr>
                <w:sz w:val="20"/>
                <w:szCs w:val="20"/>
                <w:lang w:val="en-GB"/>
              </w:rPr>
            </w:pPr>
            <w:r w:rsidRPr="0046612C">
              <w:rPr>
                <w:sz w:val="20"/>
                <w:szCs w:val="20"/>
                <w:lang w:val="en-GB"/>
              </w:rPr>
              <w:t>~0,1</w:t>
            </w:r>
          </w:p>
        </w:tc>
        <w:tc>
          <w:tcPr>
            <w:tcW w:w="1799" w:type="dxa"/>
          </w:tcPr>
          <w:p w:rsidR="00DF0886" w:rsidRPr="0046612C" w:rsidRDefault="0046612C" w:rsidP="0046612C">
            <w:pPr>
              <w:spacing w:before="0" w:after="0"/>
              <w:jc w:val="center"/>
              <w:rPr>
                <w:sz w:val="20"/>
                <w:szCs w:val="20"/>
                <w:lang w:val="en-GB"/>
              </w:rPr>
            </w:pPr>
            <w:r>
              <w:rPr>
                <w:sz w:val="20"/>
                <w:szCs w:val="20"/>
                <w:lang w:val="en-GB"/>
              </w:rPr>
              <w:t>140 000</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0,5–1,1</w:t>
            </w:r>
          </w:p>
        </w:tc>
      </w:tr>
      <w:tr w:rsidR="00DF0886" w:rsidRPr="006276BF" w:rsidTr="0046612C">
        <w:trPr>
          <w:trHeight w:val="480"/>
        </w:trPr>
        <w:tc>
          <w:tcPr>
            <w:tcW w:w="738" w:type="dxa"/>
            <w:vMerge/>
            <w:shd w:val="clear" w:color="auto" w:fill="CCC0D9" w:themeFill="accent4"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36"/>
                <w:lang w:val="en-GB"/>
              </w:rPr>
            </w:pPr>
            <w:r w:rsidRPr="006276BF">
              <w:rPr>
                <w:rFonts w:ascii="Calibri" w:hAnsi="Calibri" w:cs="Arial"/>
                <w:color w:val="000000"/>
                <w:kern w:val="24"/>
                <w:sz w:val="20"/>
                <w:szCs w:val="32"/>
                <w:lang w:val="en-GB"/>
              </w:rPr>
              <w:t xml:space="preserve">National grid system management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46612C" w:rsidP="0046612C">
            <w:pPr>
              <w:spacing w:before="0" w:after="0"/>
              <w:jc w:val="center"/>
              <w:rPr>
                <w:sz w:val="20"/>
                <w:szCs w:val="20"/>
                <w:lang w:val="en-GB"/>
              </w:rPr>
            </w:pPr>
            <w:r>
              <w:rPr>
                <w:sz w:val="20"/>
                <w:szCs w:val="20"/>
                <w:lang w:val="en-GB"/>
              </w:rPr>
              <w:t>1 (TSO)</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0,7–1,3</w:t>
            </w:r>
          </w:p>
        </w:tc>
      </w:tr>
      <w:tr w:rsidR="00DF0886" w:rsidRPr="006276BF" w:rsidTr="0046612C">
        <w:trPr>
          <w:trHeight w:val="490"/>
        </w:trPr>
        <w:tc>
          <w:tcPr>
            <w:tcW w:w="738" w:type="dxa"/>
            <w:vMerge/>
            <w:shd w:val="clear" w:color="auto" w:fill="CCC0D9" w:themeFill="accent4"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36"/>
                <w:lang w:val="en-GB"/>
              </w:rPr>
            </w:pPr>
            <w:r w:rsidRPr="006276BF">
              <w:rPr>
                <w:rFonts w:ascii="Calibri" w:hAnsi="Calibri" w:cs="Arial"/>
                <w:color w:val="000000"/>
                <w:kern w:val="24"/>
                <w:sz w:val="20"/>
                <w:szCs w:val="32"/>
                <w:lang w:val="en-GB"/>
              </w:rPr>
              <w:t xml:space="preserve">Dynamic tariff structures </w:t>
            </w:r>
          </w:p>
        </w:tc>
        <w:tc>
          <w:tcPr>
            <w:tcW w:w="1798" w:type="dxa"/>
          </w:tcPr>
          <w:p w:rsidR="00DF0886" w:rsidRPr="0046612C" w:rsidRDefault="0046612C" w:rsidP="0046612C">
            <w:pPr>
              <w:spacing w:before="0" w:after="0"/>
              <w:jc w:val="center"/>
              <w:rPr>
                <w:sz w:val="20"/>
                <w:szCs w:val="20"/>
                <w:lang w:val="en-GB"/>
              </w:rPr>
            </w:pPr>
            <w:r w:rsidRPr="0046612C">
              <w:rPr>
                <w:sz w:val="20"/>
                <w:szCs w:val="20"/>
                <w:lang w:val="en-GB"/>
              </w:rPr>
              <w:t>~0,1</w:t>
            </w:r>
          </w:p>
        </w:tc>
        <w:tc>
          <w:tcPr>
            <w:tcW w:w="1799" w:type="dxa"/>
          </w:tcPr>
          <w:p w:rsidR="00DF0886" w:rsidRPr="0046612C" w:rsidRDefault="0046612C" w:rsidP="0046612C">
            <w:pPr>
              <w:spacing w:before="0" w:after="0"/>
              <w:jc w:val="center"/>
              <w:rPr>
                <w:sz w:val="20"/>
                <w:szCs w:val="20"/>
                <w:lang w:val="en-GB"/>
              </w:rPr>
            </w:pPr>
            <w:r>
              <w:rPr>
                <w:sz w:val="20"/>
                <w:szCs w:val="20"/>
                <w:lang w:val="en-GB"/>
              </w:rPr>
              <w:t>140 000</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1,3–2,6</w:t>
            </w:r>
          </w:p>
        </w:tc>
      </w:tr>
      <w:tr w:rsidR="00DF0886" w:rsidRPr="006276BF" w:rsidTr="0046612C">
        <w:trPr>
          <w:trHeight w:val="490"/>
        </w:trPr>
        <w:tc>
          <w:tcPr>
            <w:tcW w:w="738" w:type="dxa"/>
            <w:vMerge/>
            <w:shd w:val="clear" w:color="auto" w:fill="CCC0D9" w:themeFill="accent4"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36"/>
                <w:lang w:val="en-GB"/>
              </w:rPr>
            </w:pPr>
            <w:r w:rsidRPr="006276BF">
              <w:rPr>
                <w:rFonts w:ascii="Calibri" w:hAnsi="Calibri" w:cs="Arial"/>
                <w:color w:val="000000"/>
                <w:kern w:val="24"/>
                <w:sz w:val="20"/>
                <w:szCs w:val="32"/>
                <w:lang w:val="en-GB"/>
              </w:rPr>
              <w:t>Combined metering</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46612C" w:rsidP="0046612C">
            <w:pPr>
              <w:spacing w:before="0" w:after="0"/>
              <w:jc w:val="center"/>
              <w:rPr>
                <w:sz w:val="20"/>
                <w:szCs w:val="20"/>
                <w:lang w:val="en-GB"/>
              </w:rPr>
            </w:pPr>
            <w:r>
              <w:rPr>
                <w:sz w:val="20"/>
                <w:szCs w:val="20"/>
                <w:lang w:val="en-GB"/>
              </w:rPr>
              <w:t>70 000</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0,1–0,2</w:t>
            </w:r>
          </w:p>
        </w:tc>
      </w:tr>
      <w:tr w:rsidR="00DF0886" w:rsidRPr="006276BF" w:rsidTr="0046612C">
        <w:trPr>
          <w:trHeight w:val="490"/>
        </w:trPr>
        <w:tc>
          <w:tcPr>
            <w:tcW w:w="738" w:type="dxa"/>
            <w:vMerge/>
            <w:shd w:val="clear" w:color="auto" w:fill="CCC0D9" w:themeFill="accent4"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36"/>
                <w:lang w:val="en-GB"/>
              </w:rPr>
            </w:pPr>
            <w:r w:rsidRPr="006276BF">
              <w:rPr>
                <w:rFonts w:ascii="Calibri" w:hAnsi="Calibri" w:cs="Arial"/>
                <w:color w:val="000000"/>
                <w:kern w:val="24"/>
                <w:sz w:val="20"/>
                <w:szCs w:val="32"/>
                <w:lang w:val="en-GB"/>
              </w:rPr>
              <w:t xml:space="preserve">Secure information sharing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163F1C" w:rsidP="0046612C">
            <w:pPr>
              <w:spacing w:before="0" w:after="0"/>
              <w:jc w:val="center"/>
              <w:rPr>
                <w:sz w:val="20"/>
                <w:szCs w:val="20"/>
                <w:lang w:val="en-GB"/>
              </w:rPr>
            </w:pPr>
            <w:r>
              <w:rPr>
                <w:sz w:val="20"/>
                <w:szCs w:val="20"/>
                <w:lang w:val="en-GB"/>
              </w:rPr>
              <w:t>5 (companies)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~0,5</w:t>
            </w:r>
          </w:p>
        </w:tc>
      </w:tr>
      <w:tr w:rsidR="00DF0886" w:rsidRPr="006276BF" w:rsidTr="0046612C">
        <w:trPr>
          <w:trHeight w:val="490"/>
        </w:trPr>
        <w:tc>
          <w:tcPr>
            <w:tcW w:w="738" w:type="dxa"/>
            <w:vMerge w:val="restart"/>
            <w:shd w:val="clear" w:color="auto" w:fill="FBD4B4" w:themeFill="accent6" w:themeFillTint="66"/>
            <w:textDirection w:val="btLr"/>
          </w:tcPr>
          <w:p w:rsidR="00DF0886" w:rsidRPr="006276BF" w:rsidRDefault="00DF0886" w:rsidP="0046612C">
            <w:pPr>
              <w:pStyle w:val="Numberedlist"/>
            </w:pPr>
            <w:r w:rsidRPr="006276BF">
              <w:t>DISTRICT HEATING</w:t>
            </w: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Network management</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~0,1</w:t>
            </w:r>
          </w:p>
        </w:tc>
        <w:tc>
          <w:tcPr>
            <w:tcW w:w="1799" w:type="dxa"/>
          </w:tcPr>
          <w:p w:rsidR="00DF0886" w:rsidRPr="0046612C" w:rsidRDefault="0046612C" w:rsidP="0046612C">
            <w:pPr>
              <w:spacing w:before="0" w:after="0"/>
              <w:jc w:val="center"/>
              <w:rPr>
                <w:sz w:val="20"/>
                <w:szCs w:val="20"/>
                <w:lang w:val="en-GB"/>
              </w:rPr>
            </w:pPr>
            <w:r>
              <w:rPr>
                <w:sz w:val="20"/>
                <w:szCs w:val="20"/>
                <w:lang w:val="en-GB"/>
              </w:rPr>
              <w:t>100 (companies)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2–4</w:t>
            </w:r>
          </w:p>
        </w:tc>
      </w:tr>
      <w:tr w:rsidR="00DF0886" w:rsidRPr="006276BF" w:rsidTr="0046612C">
        <w:trPr>
          <w:trHeight w:val="490"/>
        </w:trPr>
        <w:tc>
          <w:tcPr>
            <w:tcW w:w="738" w:type="dxa"/>
            <w:vMerge/>
            <w:shd w:val="clear" w:color="auto" w:fill="FBD4B4" w:themeFill="accent6"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Buildings as heat storage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163F1C" w:rsidP="0046612C">
            <w:pPr>
              <w:spacing w:before="0" w:after="0"/>
              <w:jc w:val="center"/>
              <w:rPr>
                <w:sz w:val="20"/>
                <w:szCs w:val="20"/>
                <w:lang w:val="en-GB"/>
              </w:rPr>
            </w:pPr>
            <w:r>
              <w:rPr>
                <w:sz w:val="20"/>
                <w:szCs w:val="20"/>
                <w:lang w:val="en-GB"/>
              </w:rPr>
              <w:t xml:space="preserve">3 000 </w:t>
            </w:r>
            <w:r>
              <w:rPr>
                <w:sz w:val="20"/>
                <w:szCs w:val="20"/>
                <w:lang w:val="en-GB"/>
              </w:rPr>
              <w:br/>
              <w:t>(households)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~0,2</w:t>
            </w:r>
          </w:p>
        </w:tc>
      </w:tr>
      <w:tr w:rsidR="00DF0886" w:rsidRPr="006276BF" w:rsidTr="0046612C">
        <w:trPr>
          <w:trHeight w:val="490"/>
        </w:trPr>
        <w:tc>
          <w:tcPr>
            <w:tcW w:w="738" w:type="dxa"/>
            <w:vMerge/>
            <w:shd w:val="clear" w:color="auto" w:fill="FBD4B4" w:themeFill="accent6"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Heat generation optimization </w:t>
            </w:r>
          </w:p>
        </w:tc>
        <w:tc>
          <w:tcPr>
            <w:tcW w:w="1798" w:type="dxa"/>
          </w:tcPr>
          <w:p w:rsidR="00DF0886" w:rsidRPr="0046612C" w:rsidRDefault="0046612C" w:rsidP="0046612C">
            <w:pPr>
              <w:spacing w:before="0" w:after="0"/>
              <w:jc w:val="center"/>
              <w:rPr>
                <w:sz w:val="20"/>
                <w:szCs w:val="20"/>
                <w:lang w:val="en-GB"/>
              </w:rPr>
            </w:pPr>
            <w:r w:rsidRPr="0046612C">
              <w:rPr>
                <w:sz w:val="20"/>
                <w:szCs w:val="20"/>
                <w:lang w:val="en-GB"/>
              </w:rPr>
              <w:t>~0,1</w:t>
            </w:r>
          </w:p>
        </w:tc>
        <w:tc>
          <w:tcPr>
            <w:tcW w:w="1799" w:type="dxa"/>
          </w:tcPr>
          <w:p w:rsidR="00DF0886" w:rsidRPr="0046612C" w:rsidRDefault="0046612C" w:rsidP="0046612C">
            <w:pPr>
              <w:spacing w:before="0" w:after="0"/>
              <w:jc w:val="center"/>
              <w:rPr>
                <w:sz w:val="20"/>
                <w:szCs w:val="20"/>
                <w:lang w:val="en-GB"/>
              </w:rPr>
            </w:pPr>
            <w:r>
              <w:rPr>
                <w:sz w:val="20"/>
                <w:szCs w:val="20"/>
                <w:lang w:val="en-GB"/>
              </w:rPr>
              <w:t>40 (companies)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0,8–1,5</w:t>
            </w:r>
          </w:p>
        </w:tc>
      </w:tr>
      <w:tr w:rsidR="00DF0886" w:rsidRPr="006276BF" w:rsidTr="0046612C">
        <w:trPr>
          <w:trHeight w:val="490"/>
        </w:trPr>
        <w:tc>
          <w:tcPr>
            <w:tcW w:w="738" w:type="dxa"/>
            <w:vMerge/>
            <w:shd w:val="clear" w:color="auto" w:fill="FBD4B4" w:themeFill="accent6"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Dynamic tariff structures </w:t>
            </w:r>
          </w:p>
        </w:tc>
        <w:tc>
          <w:tcPr>
            <w:tcW w:w="1798" w:type="dxa"/>
          </w:tcPr>
          <w:p w:rsidR="00DF0886" w:rsidRPr="0046612C" w:rsidRDefault="0046612C" w:rsidP="0046612C">
            <w:pPr>
              <w:spacing w:before="0" w:after="0"/>
              <w:jc w:val="center"/>
              <w:rPr>
                <w:sz w:val="20"/>
                <w:szCs w:val="20"/>
                <w:lang w:val="en-GB"/>
              </w:rPr>
            </w:pPr>
            <w:r w:rsidRPr="0046612C">
              <w:rPr>
                <w:sz w:val="20"/>
                <w:szCs w:val="20"/>
                <w:lang w:val="en-GB"/>
              </w:rPr>
              <w:t>~0,1</w:t>
            </w:r>
          </w:p>
        </w:tc>
        <w:tc>
          <w:tcPr>
            <w:tcW w:w="1799" w:type="dxa"/>
          </w:tcPr>
          <w:p w:rsidR="00DF0886" w:rsidRPr="0046612C" w:rsidRDefault="0046612C" w:rsidP="0046612C">
            <w:pPr>
              <w:spacing w:before="0" w:after="0"/>
              <w:jc w:val="center"/>
              <w:rPr>
                <w:sz w:val="20"/>
                <w:szCs w:val="20"/>
                <w:lang w:val="en-GB"/>
              </w:rPr>
            </w:pPr>
            <w:r>
              <w:rPr>
                <w:sz w:val="20"/>
                <w:szCs w:val="20"/>
                <w:lang w:val="en-GB"/>
              </w:rPr>
              <w:t>40 (companies)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0,8–1,5</w:t>
            </w:r>
          </w:p>
        </w:tc>
      </w:tr>
      <w:tr w:rsidR="00DF0886" w:rsidRPr="006276BF" w:rsidTr="0046612C">
        <w:trPr>
          <w:trHeight w:val="490"/>
        </w:trPr>
        <w:tc>
          <w:tcPr>
            <w:tcW w:w="738" w:type="dxa"/>
            <w:vMerge/>
            <w:shd w:val="clear" w:color="auto" w:fill="FBD4B4" w:themeFill="accent6"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Combined metering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46612C" w:rsidP="0046612C">
            <w:pPr>
              <w:spacing w:before="0" w:after="0"/>
              <w:jc w:val="center"/>
              <w:rPr>
                <w:sz w:val="20"/>
                <w:szCs w:val="20"/>
                <w:lang w:val="en-GB"/>
              </w:rPr>
            </w:pPr>
            <w:r>
              <w:rPr>
                <w:sz w:val="20"/>
                <w:szCs w:val="20"/>
                <w:lang w:val="en-GB"/>
              </w:rPr>
              <w:t>70 000</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~0,3</w:t>
            </w:r>
          </w:p>
        </w:tc>
      </w:tr>
      <w:tr w:rsidR="00DF0886" w:rsidRPr="006276BF" w:rsidTr="0046612C">
        <w:trPr>
          <w:trHeight w:val="490"/>
        </w:trPr>
        <w:tc>
          <w:tcPr>
            <w:tcW w:w="738" w:type="dxa"/>
            <w:vMerge/>
            <w:shd w:val="clear" w:color="auto" w:fill="FBD4B4" w:themeFill="accent6" w:themeFillTint="66"/>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Secure information sharing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46612C" w:rsidP="0046612C">
            <w:pPr>
              <w:spacing w:before="0" w:after="0"/>
              <w:jc w:val="center"/>
              <w:rPr>
                <w:sz w:val="20"/>
                <w:szCs w:val="20"/>
                <w:lang w:val="en-GB"/>
              </w:rPr>
            </w:pPr>
            <w:r>
              <w:rPr>
                <w:sz w:val="20"/>
                <w:szCs w:val="20"/>
                <w:lang w:val="en-GB"/>
              </w:rPr>
              <w:t>100 (companies)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~0,5</w:t>
            </w:r>
          </w:p>
        </w:tc>
      </w:tr>
      <w:tr w:rsidR="00DF0886" w:rsidRPr="006276BF" w:rsidTr="0046612C">
        <w:trPr>
          <w:trHeight w:val="490"/>
        </w:trPr>
        <w:tc>
          <w:tcPr>
            <w:tcW w:w="738" w:type="dxa"/>
            <w:vMerge w:val="restart"/>
            <w:shd w:val="clear" w:color="auto" w:fill="C2D69B" w:themeFill="accent3" w:themeFillTint="99"/>
            <w:textDirection w:val="btLr"/>
          </w:tcPr>
          <w:p w:rsidR="00DF0886" w:rsidRPr="006276BF" w:rsidRDefault="00DF0886" w:rsidP="0046612C">
            <w:pPr>
              <w:pStyle w:val="Numberedlist"/>
            </w:pPr>
            <w:r w:rsidRPr="006276BF">
              <w:t>RENEW</w:t>
            </w:r>
            <w:r>
              <w:t>-</w:t>
            </w:r>
            <w:r w:rsidRPr="006276BF">
              <w:t>ABLES</w:t>
            </w: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Virtual power plants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46612C" w:rsidP="0046612C">
            <w:pPr>
              <w:spacing w:before="0" w:after="0"/>
              <w:jc w:val="center"/>
              <w:rPr>
                <w:sz w:val="20"/>
                <w:szCs w:val="20"/>
                <w:lang w:val="en-GB"/>
              </w:rPr>
            </w:pPr>
            <w:r>
              <w:rPr>
                <w:sz w:val="20"/>
                <w:szCs w:val="20"/>
                <w:lang w:val="en-GB"/>
              </w:rPr>
              <w:t>10 (companies)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~0,5</w:t>
            </w:r>
          </w:p>
        </w:tc>
      </w:tr>
      <w:tr w:rsidR="00DF0886" w:rsidRPr="006276BF" w:rsidTr="0046612C">
        <w:trPr>
          <w:trHeight w:val="490"/>
        </w:trPr>
        <w:tc>
          <w:tcPr>
            <w:tcW w:w="738" w:type="dxa"/>
            <w:vMerge/>
            <w:shd w:val="clear" w:color="auto" w:fill="C2D69B" w:themeFill="accent3" w:themeFillTint="99"/>
            <w:textDirection w:val="btLr"/>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SCADA services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46612C" w:rsidP="0046612C">
            <w:pPr>
              <w:spacing w:before="0" w:after="0"/>
              <w:jc w:val="center"/>
              <w:rPr>
                <w:sz w:val="20"/>
                <w:szCs w:val="20"/>
                <w:lang w:val="en-GB"/>
              </w:rPr>
            </w:pPr>
            <w:r>
              <w:rPr>
                <w:sz w:val="20"/>
                <w:szCs w:val="20"/>
                <w:lang w:val="en-GB"/>
              </w:rPr>
              <w:t>250 (plants)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~0,5</w:t>
            </w:r>
          </w:p>
        </w:tc>
      </w:tr>
      <w:tr w:rsidR="00DF0886" w:rsidRPr="006276BF" w:rsidTr="0046612C">
        <w:trPr>
          <w:trHeight w:val="490"/>
        </w:trPr>
        <w:tc>
          <w:tcPr>
            <w:tcW w:w="738" w:type="dxa"/>
            <w:vMerge w:val="restart"/>
            <w:shd w:val="clear" w:color="auto" w:fill="8DB3E2" w:themeFill="text2" w:themeFillTint="66"/>
            <w:textDirection w:val="btLr"/>
          </w:tcPr>
          <w:p w:rsidR="00DF0886" w:rsidRPr="006276BF" w:rsidRDefault="00DF0886" w:rsidP="0046612C">
            <w:pPr>
              <w:pStyle w:val="Numberedlist"/>
            </w:pPr>
            <w:r w:rsidRPr="006276BF">
              <w:t>ENERGY END USE</w:t>
            </w: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Energy costs management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0,1–0,3</w:t>
            </w:r>
          </w:p>
        </w:tc>
        <w:tc>
          <w:tcPr>
            <w:tcW w:w="1799" w:type="dxa"/>
          </w:tcPr>
          <w:p w:rsidR="00DF0886" w:rsidRPr="0046612C" w:rsidRDefault="0046612C" w:rsidP="0046612C">
            <w:pPr>
              <w:spacing w:before="0" w:after="0"/>
              <w:jc w:val="center"/>
              <w:rPr>
                <w:sz w:val="20"/>
                <w:szCs w:val="20"/>
                <w:lang w:val="en-GB"/>
              </w:rPr>
            </w:pPr>
            <w:r>
              <w:rPr>
                <w:sz w:val="20"/>
                <w:szCs w:val="20"/>
                <w:lang w:val="en-GB"/>
              </w:rPr>
              <w:t xml:space="preserve">140 </w:t>
            </w:r>
            <w:r w:rsidR="00163F1C">
              <w:rPr>
                <w:sz w:val="20"/>
                <w:szCs w:val="20"/>
                <w:lang w:val="en-GB"/>
              </w:rPr>
              <w:t xml:space="preserve">– 170 </w:t>
            </w:r>
            <w:r>
              <w:rPr>
                <w:sz w:val="20"/>
                <w:szCs w:val="20"/>
                <w:lang w:val="en-GB"/>
              </w:rPr>
              <w:t>000</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2–4</w:t>
            </w:r>
          </w:p>
        </w:tc>
      </w:tr>
      <w:tr w:rsidR="00DF0886" w:rsidRPr="006276BF" w:rsidTr="0046612C">
        <w:trPr>
          <w:trHeight w:val="490"/>
        </w:trPr>
        <w:tc>
          <w:tcPr>
            <w:tcW w:w="738" w:type="dxa"/>
            <w:vMerge/>
            <w:shd w:val="clear" w:color="auto" w:fill="8DB3E2" w:themeFill="text2" w:themeFillTint="66"/>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Demand response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~0,1</w:t>
            </w:r>
          </w:p>
        </w:tc>
        <w:tc>
          <w:tcPr>
            <w:tcW w:w="1799" w:type="dxa"/>
          </w:tcPr>
          <w:p w:rsidR="00DF0886" w:rsidRPr="0046612C" w:rsidRDefault="0046612C" w:rsidP="0046612C">
            <w:pPr>
              <w:spacing w:before="0" w:after="0"/>
              <w:jc w:val="center"/>
              <w:rPr>
                <w:sz w:val="20"/>
                <w:szCs w:val="20"/>
                <w:lang w:val="en-GB"/>
              </w:rPr>
            </w:pPr>
            <w:r>
              <w:rPr>
                <w:sz w:val="20"/>
                <w:szCs w:val="20"/>
                <w:lang w:val="en-GB"/>
              </w:rPr>
              <w:t>70 000</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0,7–1,3</w:t>
            </w:r>
          </w:p>
        </w:tc>
      </w:tr>
      <w:tr w:rsidR="00DF0886" w:rsidRPr="006276BF" w:rsidTr="0046612C">
        <w:trPr>
          <w:trHeight w:val="490"/>
        </w:trPr>
        <w:tc>
          <w:tcPr>
            <w:tcW w:w="738" w:type="dxa"/>
            <w:vMerge/>
            <w:shd w:val="clear" w:color="auto" w:fill="8DB3E2" w:themeFill="text2" w:themeFillTint="66"/>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Weather data based heating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0,3–0,6</w:t>
            </w:r>
          </w:p>
        </w:tc>
        <w:tc>
          <w:tcPr>
            <w:tcW w:w="1799" w:type="dxa"/>
          </w:tcPr>
          <w:p w:rsidR="00DF0886" w:rsidRPr="0046612C" w:rsidRDefault="0046612C" w:rsidP="0046612C">
            <w:pPr>
              <w:spacing w:before="0" w:after="0"/>
              <w:jc w:val="center"/>
              <w:rPr>
                <w:sz w:val="20"/>
                <w:szCs w:val="20"/>
                <w:lang w:val="en-GB"/>
              </w:rPr>
            </w:pPr>
            <w:r>
              <w:rPr>
                <w:sz w:val="20"/>
                <w:szCs w:val="20"/>
                <w:lang w:val="en-GB"/>
              </w:rPr>
              <w:t>30 – 60 000 (households)</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4–8</w:t>
            </w:r>
          </w:p>
        </w:tc>
      </w:tr>
      <w:tr w:rsidR="00DF0886" w:rsidRPr="006276BF" w:rsidTr="0046612C">
        <w:trPr>
          <w:trHeight w:val="85"/>
        </w:trPr>
        <w:tc>
          <w:tcPr>
            <w:tcW w:w="738" w:type="dxa"/>
            <w:vMerge/>
            <w:shd w:val="clear" w:color="auto" w:fill="8DB3E2" w:themeFill="text2" w:themeFillTint="66"/>
          </w:tcPr>
          <w:p w:rsidR="00DF0886" w:rsidRPr="006276BF" w:rsidRDefault="00DF0886" w:rsidP="0046612C">
            <w:pPr>
              <w:pStyle w:val="Numberedlist"/>
            </w:pPr>
          </w:p>
        </w:tc>
        <w:tc>
          <w:tcPr>
            <w:tcW w:w="2529" w:type="dxa"/>
          </w:tcPr>
          <w:p w:rsidR="00DF0886" w:rsidRPr="006276BF" w:rsidRDefault="00DF0886" w:rsidP="005C6DCB">
            <w:pPr>
              <w:pStyle w:val="NormalWeb"/>
              <w:spacing w:before="0" w:beforeAutospacing="0" w:after="0" w:afterAutospacing="0"/>
              <w:rPr>
                <w:rFonts w:ascii="Arial" w:hAnsi="Arial" w:cs="Arial"/>
                <w:sz w:val="20"/>
                <w:szCs w:val="22"/>
                <w:lang w:val="en-GB"/>
              </w:rPr>
            </w:pPr>
            <w:r w:rsidRPr="006276BF">
              <w:rPr>
                <w:rFonts w:ascii="Calibri" w:hAnsi="Calibri" w:cs="Arial"/>
                <w:color w:val="000000"/>
                <w:kern w:val="24"/>
                <w:sz w:val="20"/>
                <w:szCs w:val="22"/>
                <w:lang w:val="en-GB"/>
              </w:rPr>
              <w:t xml:space="preserve">Secure smart houses </w:t>
            </w:r>
          </w:p>
        </w:tc>
        <w:tc>
          <w:tcPr>
            <w:tcW w:w="1798" w:type="dxa"/>
          </w:tcPr>
          <w:p w:rsidR="00DF0886" w:rsidRPr="0046612C" w:rsidRDefault="00DF0886" w:rsidP="0046612C">
            <w:pPr>
              <w:spacing w:before="0" w:after="0"/>
              <w:jc w:val="center"/>
              <w:rPr>
                <w:sz w:val="20"/>
                <w:szCs w:val="20"/>
                <w:lang w:val="en-GB"/>
              </w:rPr>
            </w:pPr>
            <w:r w:rsidRPr="0046612C">
              <w:rPr>
                <w:sz w:val="20"/>
                <w:szCs w:val="20"/>
                <w:lang w:val="en-GB"/>
              </w:rPr>
              <w:t>-</w:t>
            </w:r>
          </w:p>
        </w:tc>
        <w:tc>
          <w:tcPr>
            <w:tcW w:w="1799" w:type="dxa"/>
          </w:tcPr>
          <w:p w:rsidR="00DF0886" w:rsidRPr="0046612C" w:rsidRDefault="0046612C" w:rsidP="0046612C">
            <w:pPr>
              <w:spacing w:before="0" w:after="0"/>
              <w:jc w:val="center"/>
              <w:rPr>
                <w:sz w:val="20"/>
                <w:szCs w:val="20"/>
                <w:lang w:val="en-GB"/>
              </w:rPr>
            </w:pPr>
            <w:r>
              <w:rPr>
                <w:sz w:val="20"/>
                <w:szCs w:val="20"/>
                <w:lang w:val="en-GB"/>
              </w:rPr>
              <w:t>12 – 30 000</w:t>
            </w:r>
          </w:p>
        </w:tc>
        <w:tc>
          <w:tcPr>
            <w:tcW w:w="1799" w:type="dxa"/>
          </w:tcPr>
          <w:p w:rsidR="00DF0886" w:rsidRPr="0046612C" w:rsidRDefault="00DF0886" w:rsidP="0046612C">
            <w:pPr>
              <w:spacing w:before="0" w:after="0" w:line="240" w:lineRule="auto"/>
              <w:jc w:val="center"/>
              <w:rPr>
                <w:sz w:val="20"/>
                <w:szCs w:val="20"/>
                <w:lang w:val="en-GB"/>
              </w:rPr>
            </w:pPr>
            <w:r w:rsidRPr="0046612C">
              <w:rPr>
                <w:sz w:val="20"/>
                <w:szCs w:val="20"/>
                <w:lang w:val="en-GB"/>
              </w:rPr>
              <w:t>3–7</w:t>
            </w:r>
          </w:p>
        </w:tc>
      </w:tr>
      <w:tr w:rsidR="0046612C" w:rsidRPr="006276BF" w:rsidTr="0046612C">
        <w:trPr>
          <w:trHeight w:val="246"/>
        </w:trPr>
        <w:tc>
          <w:tcPr>
            <w:tcW w:w="738" w:type="dxa"/>
            <w:shd w:val="clear" w:color="auto" w:fill="BFBFBF" w:themeFill="background1" w:themeFillShade="BF"/>
          </w:tcPr>
          <w:p w:rsidR="0046612C" w:rsidRPr="006276BF" w:rsidRDefault="0046612C" w:rsidP="0046612C">
            <w:pPr>
              <w:pStyle w:val="Numberedlist"/>
            </w:pPr>
          </w:p>
        </w:tc>
        <w:tc>
          <w:tcPr>
            <w:tcW w:w="2529" w:type="dxa"/>
            <w:shd w:val="clear" w:color="auto" w:fill="BFBFBF" w:themeFill="background1" w:themeFillShade="BF"/>
          </w:tcPr>
          <w:p w:rsidR="0046612C" w:rsidRPr="0046612C" w:rsidRDefault="0046612C" w:rsidP="0046612C">
            <w:pPr>
              <w:pStyle w:val="NormalWeb"/>
              <w:spacing w:before="0" w:beforeAutospacing="0" w:after="0" w:afterAutospacing="0"/>
              <w:rPr>
                <w:rFonts w:ascii="Calibri" w:hAnsi="Calibri" w:cs="Arial"/>
                <w:b/>
                <w:color w:val="000000"/>
                <w:kern w:val="24"/>
                <w:sz w:val="20"/>
                <w:szCs w:val="20"/>
                <w:lang w:val="en-GB"/>
              </w:rPr>
            </w:pPr>
            <w:r w:rsidRPr="0046612C">
              <w:rPr>
                <w:rFonts w:ascii="Calibri" w:hAnsi="Calibri" w:cs="Arial"/>
                <w:b/>
                <w:color w:val="000000"/>
                <w:kern w:val="24"/>
                <w:sz w:val="20"/>
                <w:szCs w:val="20"/>
                <w:lang w:val="en-GB"/>
              </w:rPr>
              <w:t>Total</w:t>
            </w:r>
          </w:p>
        </w:tc>
        <w:tc>
          <w:tcPr>
            <w:tcW w:w="1798" w:type="dxa"/>
            <w:shd w:val="clear" w:color="auto" w:fill="BFBFBF" w:themeFill="background1" w:themeFillShade="BF"/>
          </w:tcPr>
          <w:p w:rsidR="0046612C" w:rsidRPr="0046612C" w:rsidRDefault="0046612C" w:rsidP="0046612C">
            <w:pPr>
              <w:spacing w:before="0" w:after="0"/>
              <w:jc w:val="center"/>
              <w:rPr>
                <w:b/>
                <w:sz w:val="20"/>
                <w:szCs w:val="20"/>
                <w:lang w:val="en-GB"/>
              </w:rPr>
            </w:pPr>
            <w:r w:rsidRPr="0046612C">
              <w:rPr>
                <w:b/>
                <w:sz w:val="20"/>
                <w:szCs w:val="20"/>
                <w:lang w:val="en-GB"/>
              </w:rPr>
              <w:t>0,8 – 1,6</w:t>
            </w:r>
          </w:p>
        </w:tc>
        <w:tc>
          <w:tcPr>
            <w:tcW w:w="1799" w:type="dxa"/>
            <w:shd w:val="clear" w:color="auto" w:fill="BFBFBF" w:themeFill="background1" w:themeFillShade="BF"/>
          </w:tcPr>
          <w:p w:rsidR="0046612C" w:rsidRPr="0046612C" w:rsidRDefault="00163F1C" w:rsidP="0046612C">
            <w:pPr>
              <w:spacing w:before="0" w:after="0"/>
              <w:jc w:val="center"/>
              <w:rPr>
                <w:b/>
                <w:sz w:val="20"/>
                <w:szCs w:val="20"/>
                <w:lang w:val="en-GB"/>
              </w:rPr>
            </w:pPr>
            <w:r>
              <w:rPr>
                <w:b/>
                <w:sz w:val="20"/>
                <w:szCs w:val="20"/>
                <w:lang w:val="en-GB"/>
              </w:rPr>
              <w:t>- 170 000</w:t>
            </w:r>
          </w:p>
        </w:tc>
        <w:tc>
          <w:tcPr>
            <w:tcW w:w="1799" w:type="dxa"/>
            <w:shd w:val="clear" w:color="auto" w:fill="BFBFBF" w:themeFill="background1" w:themeFillShade="BF"/>
          </w:tcPr>
          <w:p w:rsidR="0046612C" w:rsidRPr="0046612C" w:rsidRDefault="0046612C" w:rsidP="0046612C">
            <w:pPr>
              <w:spacing w:before="0" w:after="0" w:line="240" w:lineRule="auto"/>
              <w:jc w:val="center"/>
              <w:rPr>
                <w:b/>
                <w:sz w:val="20"/>
                <w:szCs w:val="20"/>
                <w:lang w:val="en-GB"/>
              </w:rPr>
            </w:pPr>
            <w:r w:rsidRPr="0046612C">
              <w:rPr>
                <w:b/>
                <w:sz w:val="20"/>
                <w:szCs w:val="20"/>
                <w:lang w:val="en-GB"/>
              </w:rPr>
              <w:t>18–35</w:t>
            </w:r>
          </w:p>
        </w:tc>
      </w:tr>
    </w:tbl>
    <w:p w:rsidR="00AD28A6" w:rsidRDefault="00AD28A6" w:rsidP="00AD28A6">
      <w:pPr>
        <w:rPr>
          <w:lang w:val="en-GB"/>
        </w:rPr>
      </w:pPr>
    </w:p>
    <w:bookmarkEnd w:id="28"/>
    <w:p w:rsidR="00227C90" w:rsidRPr="009A05EB" w:rsidRDefault="00227C90" w:rsidP="00227C90">
      <w:pPr>
        <w:rPr>
          <w:lang w:val="en-GB"/>
        </w:rPr>
      </w:pPr>
      <w:r>
        <w:rPr>
          <w:lang w:val="en-GB"/>
        </w:rPr>
        <w:t xml:space="preserve">Impacts of the platform </w:t>
      </w:r>
      <w:r w:rsidRPr="009A05EB">
        <w:rPr>
          <w:lang w:val="en-GB"/>
        </w:rPr>
        <w:t xml:space="preserve">in other countries </w:t>
      </w:r>
      <w:r>
        <w:rPr>
          <w:lang w:val="en-GB"/>
        </w:rPr>
        <w:t xml:space="preserve">are </w:t>
      </w:r>
      <w:r w:rsidRPr="009A05EB">
        <w:rPr>
          <w:lang w:val="en-GB"/>
        </w:rPr>
        <w:t>more uncer</w:t>
      </w:r>
      <w:r>
        <w:rPr>
          <w:lang w:val="en-GB"/>
        </w:rPr>
        <w:t>tain.</w:t>
      </w:r>
      <w:r w:rsidRPr="009A05EB">
        <w:rPr>
          <w:lang w:val="en-GB"/>
        </w:rPr>
        <w:t xml:space="preserve"> </w:t>
      </w:r>
      <w:r>
        <w:rPr>
          <w:lang w:val="en-GB"/>
        </w:rPr>
        <w:t xml:space="preserve">The magnitude of impacts can be roughly estimated by scaling the impacts with the energy use or population. For example, in Norway, electricity and district heating use is around 8 times greater than in Estonia and population 3,8 times greater. The energy savings for the services by the </w:t>
      </w:r>
      <w:r w:rsidRPr="009A05EB">
        <w:rPr>
          <w:lang w:val="en-GB"/>
        </w:rPr>
        <w:t xml:space="preserve">EDF Platform Project </w:t>
      </w:r>
      <w:r>
        <w:rPr>
          <w:lang w:val="en-GB"/>
        </w:rPr>
        <w:t>in Norway could be in the range of 10 TWh and the amount of customers around 600 – 700 000.</w:t>
      </w:r>
    </w:p>
    <w:p w:rsidR="00C04263" w:rsidRDefault="00C04263">
      <w:pPr>
        <w:spacing w:before="0" w:after="0" w:line="240" w:lineRule="auto"/>
        <w:jc w:val="left"/>
        <w:rPr>
          <w:b/>
          <w:bCs/>
          <w:i/>
          <w:szCs w:val="20"/>
          <w:lang w:val="en-GB"/>
        </w:rPr>
      </w:pPr>
      <w:r>
        <w:rPr>
          <w:b/>
        </w:rPr>
        <w:br w:type="page"/>
      </w:r>
    </w:p>
    <w:p w:rsidR="00C04263" w:rsidRPr="009A05EB" w:rsidRDefault="00C04263" w:rsidP="00C04263">
      <w:pPr>
        <w:pStyle w:val="Tableheading"/>
      </w:pPr>
      <w:r w:rsidRPr="009A05EB">
        <w:rPr>
          <w:b/>
        </w:rPr>
        <w:lastRenderedPageBreak/>
        <w:t xml:space="preserve">Table </w:t>
      </w:r>
      <w:r>
        <w:rPr>
          <w:b/>
        </w:rPr>
        <w:t>1</w:t>
      </w:r>
      <w:r w:rsidRPr="009A05EB">
        <w:rPr>
          <w:b/>
        </w:rPr>
        <w:t xml:space="preserve">2. </w:t>
      </w:r>
      <w:r w:rsidRPr="009A05EB">
        <w:t>Assumptions behind the estimates.</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86"/>
        <w:gridCol w:w="2008"/>
        <w:gridCol w:w="6485"/>
      </w:tblGrid>
      <w:tr w:rsidR="00C04263" w:rsidRPr="00163F1C" w:rsidTr="00B57E4F">
        <w:trPr>
          <w:trHeight w:val="292"/>
        </w:trPr>
        <w:tc>
          <w:tcPr>
            <w:tcW w:w="586" w:type="dxa"/>
            <w:shd w:val="clear" w:color="auto" w:fill="F2F2F2" w:themeFill="background1" w:themeFillShade="F2"/>
          </w:tcPr>
          <w:p w:rsidR="00C04263" w:rsidRPr="00163F1C" w:rsidRDefault="00C04263" w:rsidP="0046612C">
            <w:pPr>
              <w:pStyle w:val="Numberedlist"/>
              <w:rPr>
                <w:sz w:val="18"/>
                <w:szCs w:val="18"/>
              </w:rPr>
            </w:pPr>
          </w:p>
        </w:tc>
        <w:tc>
          <w:tcPr>
            <w:tcW w:w="2008" w:type="dxa"/>
            <w:shd w:val="clear" w:color="auto" w:fill="F2F2F2" w:themeFill="background1" w:themeFillShade="F2"/>
          </w:tcPr>
          <w:p w:rsidR="00C04263" w:rsidRPr="00163F1C" w:rsidRDefault="00C04263" w:rsidP="0046612C">
            <w:pPr>
              <w:pStyle w:val="Numberedlist"/>
              <w:rPr>
                <w:sz w:val="18"/>
                <w:szCs w:val="18"/>
              </w:rPr>
            </w:pPr>
            <w:r w:rsidRPr="00163F1C">
              <w:rPr>
                <w:sz w:val="18"/>
                <w:szCs w:val="18"/>
              </w:rPr>
              <w:t>Idea</w:t>
            </w:r>
          </w:p>
        </w:tc>
        <w:tc>
          <w:tcPr>
            <w:tcW w:w="6485" w:type="dxa"/>
            <w:shd w:val="clear" w:color="auto" w:fill="F2F2F2" w:themeFill="background1" w:themeFillShade="F2"/>
          </w:tcPr>
          <w:p w:rsidR="00C04263" w:rsidRPr="00163F1C" w:rsidRDefault="00C04263" w:rsidP="0046612C">
            <w:pPr>
              <w:pStyle w:val="Numberedlist"/>
              <w:rPr>
                <w:sz w:val="18"/>
                <w:szCs w:val="18"/>
              </w:rPr>
            </w:pPr>
            <w:r w:rsidRPr="00163F1C">
              <w:rPr>
                <w:sz w:val="18"/>
                <w:szCs w:val="18"/>
              </w:rPr>
              <w:t>Assumptions in preliminary impact analysis</w:t>
            </w:r>
          </w:p>
        </w:tc>
      </w:tr>
      <w:tr w:rsidR="00C04263" w:rsidRPr="00163F1C" w:rsidTr="00B57E4F">
        <w:trPr>
          <w:trHeight w:val="543"/>
        </w:trPr>
        <w:tc>
          <w:tcPr>
            <w:tcW w:w="586" w:type="dxa"/>
            <w:vMerge w:val="restart"/>
            <w:shd w:val="clear" w:color="auto" w:fill="CCC0D9" w:themeFill="accent4" w:themeFillTint="66"/>
            <w:textDirection w:val="btLr"/>
          </w:tcPr>
          <w:p w:rsidR="00C04263" w:rsidRPr="00163F1C" w:rsidRDefault="00C04263" w:rsidP="0046612C">
            <w:pPr>
              <w:pStyle w:val="Numberedlist"/>
              <w:rPr>
                <w:sz w:val="18"/>
                <w:szCs w:val="18"/>
              </w:rPr>
            </w:pPr>
            <w:r w:rsidRPr="00163F1C">
              <w:rPr>
                <w:sz w:val="18"/>
                <w:szCs w:val="18"/>
              </w:rPr>
              <w:t>ELECTRICITY DISTRIBUTION AND TRANSMISSION</w:t>
            </w: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Local  grid system management </w:t>
            </w:r>
          </w:p>
        </w:tc>
        <w:tc>
          <w:tcPr>
            <w:tcW w:w="6485" w:type="dxa"/>
          </w:tcPr>
          <w:p w:rsidR="00C04263" w:rsidRPr="00163F1C" w:rsidRDefault="00C04263" w:rsidP="0046612C">
            <w:pPr>
              <w:pStyle w:val="Numberedlist"/>
              <w:rPr>
                <w:sz w:val="18"/>
                <w:szCs w:val="18"/>
              </w:rPr>
            </w:pPr>
            <w:r w:rsidRPr="00163F1C">
              <w:rPr>
                <w:sz w:val="18"/>
                <w:szCs w:val="18"/>
              </w:rPr>
              <w:t xml:space="preserve">Operative savings estimated to be 1–2 % of the distribution cost or 0,4–0,8 % of the total cost of electricity compared to situation with no smart grid functionality (e.g. Schwartz, 2010). </w:t>
            </w:r>
            <w:r w:rsidR="0046612C" w:rsidRPr="00163F1C">
              <w:rPr>
                <w:sz w:val="18"/>
                <w:szCs w:val="18"/>
              </w:rPr>
              <w:t>Part of the savings through reduction in losses</w:t>
            </w:r>
            <w:r w:rsidRPr="00163F1C">
              <w:rPr>
                <w:sz w:val="18"/>
                <w:szCs w:val="18"/>
              </w:rPr>
              <w:t>.</w:t>
            </w:r>
            <w:r w:rsidR="0046612C" w:rsidRPr="00163F1C">
              <w:rPr>
                <w:sz w:val="18"/>
                <w:szCs w:val="18"/>
              </w:rPr>
              <w:t xml:space="preserve"> </w:t>
            </w:r>
          </w:p>
        </w:tc>
      </w:tr>
      <w:tr w:rsidR="00C04263" w:rsidRPr="00163F1C" w:rsidTr="00B57E4F">
        <w:trPr>
          <w:trHeight w:val="532"/>
        </w:trPr>
        <w:tc>
          <w:tcPr>
            <w:tcW w:w="586" w:type="dxa"/>
            <w:vMerge/>
            <w:shd w:val="clear" w:color="auto" w:fill="CCC0D9" w:themeFill="accent4"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National grid system management </w:t>
            </w:r>
          </w:p>
        </w:tc>
        <w:tc>
          <w:tcPr>
            <w:tcW w:w="6485" w:type="dxa"/>
          </w:tcPr>
          <w:p w:rsidR="00C04263" w:rsidRPr="00163F1C" w:rsidRDefault="00C04263" w:rsidP="0046612C">
            <w:pPr>
              <w:pStyle w:val="Numberedlist"/>
              <w:rPr>
                <w:sz w:val="18"/>
                <w:szCs w:val="18"/>
              </w:rPr>
            </w:pPr>
            <w:r w:rsidRPr="00163F1C">
              <w:rPr>
                <w:sz w:val="18"/>
                <w:szCs w:val="18"/>
              </w:rPr>
              <w:t xml:space="preserve">Operative savings estimated to be 0,5–1 % of the transmission cost or 0,2–0,4 % of the total cost of electricity compared to situation with no smart grid functionality(e.g. Schwartz, 2010). Adopted by the whole transmission network. </w:t>
            </w:r>
          </w:p>
        </w:tc>
      </w:tr>
      <w:tr w:rsidR="00C04263" w:rsidRPr="00163F1C" w:rsidTr="00B57E4F">
        <w:trPr>
          <w:trHeight w:val="543"/>
        </w:trPr>
        <w:tc>
          <w:tcPr>
            <w:tcW w:w="586" w:type="dxa"/>
            <w:vMerge/>
            <w:shd w:val="clear" w:color="auto" w:fill="CCC0D9" w:themeFill="accent4"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Dynamic tariff structures </w:t>
            </w:r>
          </w:p>
        </w:tc>
        <w:tc>
          <w:tcPr>
            <w:tcW w:w="6485" w:type="dxa"/>
          </w:tcPr>
          <w:p w:rsidR="00C04263" w:rsidRPr="00163F1C" w:rsidRDefault="00C04263" w:rsidP="0046612C">
            <w:pPr>
              <w:pStyle w:val="Numberedlist"/>
              <w:rPr>
                <w:sz w:val="18"/>
                <w:szCs w:val="18"/>
              </w:rPr>
            </w:pPr>
            <w:r w:rsidRPr="00163F1C">
              <w:rPr>
                <w:sz w:val="18"/>
                <w:szCs w:val="18"/>
              </w:rPr>
              <w:t xml:space="preserve">Operative costs savings potential estimated to be around 1–2 % and adoption rate 20 % by 2020 (e.g. Schwartz, 2010). </w:t>
            </w:r>
          </w:p>
        </w:tc>
      </w:tr>
      <w:tr w:rsidR="00C04263" w:rsidRPr="00163F1C" w:rsidTr="00B57E4F">
        <w:trPr>
          <w:trHeight w:val="543"/>
        </w:trPr>
        <w:tc>
          <w:tcPr>
            <w:tcW w:w="586" w:type="dxa"/>
            <w:vMerge/>
            <w:shd w:val="clear" w:color="auto" w:fill="CCC0D9" w:themeFill="accent4"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Combined metering</w:t>
            </w:r>
          </w:p>
        </w:tc>
        <w:tc>
          <w:tcPr>
            <w:tcW w:w="6485" w:type="dxa"/>
          </w:tcPr>
          <w:p w:rsidR="00C04263" w:rsidRPr="00163F1C" w:rsidRDefault="00C04263" w:rsidP="0046612C">
            <w:pPr>
              <w:pStyle w:val="Numberedlist"/>
              <w:rPr>
                <w:sz w:val="18"/>
                <w:szCs w:val="18"/>
              </w:rPr>
            </w:pPr>
            <w:r w:rsidRPr="00163F1C">
              <w:rPr>
                <w:sz w:val="18"/>
                <w:szCs w:val="18"/>
              </w:rPr>
              <w:t>Operational cost savings from combined meters and infrastructure. Savings assumed to be 1–3 €/meter (e.g. Gaia 2012a) and adoption by 10 % of the ~700 000 customers. Service provider’s uptake is 50 %.</w:t>
            </w:r>
          </w:p>
        </w:tc>
      </w:tr>
      <w:tr w:rsidR="00C04263" w:rsidRPr="00163F1C" w:rsidTr="00B57E4F">
        <w:trPr>
          <w:trHeight w:val="543"/>
        </w:trPr>
        <w:tc>
          <w:tcPr>
            <w:tcW w:w="586" w:type="dxa"/>
            <w:vMerge/>
            <w:shd w:val="clear" w:color="auto" w:fill="CCC0D9" w:themeFill="accent4"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Secure information sharing </w:t>
            </w:r>
          </w:p>
        </w:tc>
        <w:tc>
          <w:tcPr>
            <w:tcW w:w="6485" w:type="dxa"/>
          </w:tcPr>
          <w:p w:rsidR="00C04263" w:rsidRPr="00163F1C" w:rsidRDefault="00C04263" w:rsidP="0046612C">
            <w:pPr>
              <w:pStyle w:val="Numberedlist"/>
              <w:rPr>
                <w:sz w:val="18"/>
                <w:szCs w:val="18"/>
              </w:rPr>
            </w:pPr>
            <w:r w:rsidRPr="00163F1C">
              <w:rPr>
                <w:sz w:val="18"/>
                <w:szCs w:val="18"/>
              </w:rPr>
              <w:t xml:space="preserve">Operational cost savings from reduced need for ITC investments. Total savings estimated on the basis of alterative implementation cost (e.g. Gaia 2012a). </w:t>
            </w:r>
            <w:r w:rsidR="00163F1C">
              <w:rPr>
                <w:sz w:val="18"/>
                <w:szCs w:val="20"/>
              </w:rPr>
              <w:t xml:space="preserve">Adoption by 5 large actors. </w:t>
            </w:r>
            <w:r w:rsidRPr="00163F1C">
              <w:rPr>
                <w:sz w:val="18"/>
                <w:szCs w:val="18"/>
              </w:rPr>
              <w:t>Service provider’s uptake is 50 %.</w:t>
            </w:r>
          </w:p>
        </w:tc>
      </w:tr>
      <w:tr w:rsidR="00C04263" w:rsidRPr="00163F1C" w:rsidTr="00B57E4F">
        <w:trPr>
          <w:trHeight w:val="543"/>
        </w:trPr>
        <w:tc>
          <w:tcPr>
            <w:tcW w:w="586" w:type="dxa"/>
            <w:vMerge w:val="restart"/>
            <w:shd w:val="clear" w:color="auto" w:fill="FBD4B4" w:themeFill="accent6" w:themeFillTint="66"/>
            <w:textDirection w:val="btLr"/>
          </w:tcPr>
          <w:p w:rsidR="00C04263" w:rsidRPr="00163F1C" w:rsidRDefault="00C04263" w:rsidP="0046612C">
            <w:pPr>
              <w:pStyle w:val="Numberedlist"/>
              <w:rPr>
                <w:sz w:val="18"/>
                <w:szCs w:val="18"/>
              </w:rPr>
            </w:pPr>
            <w:r w:rsidRPr="00163F1C">
              <w:rPr>
                <w:sz w:val="18"/>
                <w:szCs w:val="18"/>
              </w:rPr>
              <w:t>DISTRICT HEATING</w:t>
            </w: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Network management</w:t>
            </w:r>
          </w:p>
        </w:tc>
        <w:tc>
          <w:tcPr>
            <w:tcW w:w="6485" w:type="dxa"/>
          </w:tcPr>
          <w:p w:rsidR="00C04263" w:rsidRPr="00163F1C" w:rsidRDefault="00C04263" w:rsidP="0046612C">
            <w:pPr>
              <w:pStyle w:val="Numberedlist"/>
              <w:rPr>
                <w:sz w:val="18"/>
                <w:szCs w:val="18"/>
              </w:rPr>
            </w:pPr>
            <w:r w:rsidRPr="00163F1C">
              <w:rPr>
                <w:sz w:val="18"/>
                <w:szCs w:val="18"/>
              </w:rPr>
              <w:t xml:space="preserve">Energy loss savings potential estimated to be around 1–2 % of total district </w:t>
            </w:r>
            <w:r w:rsidR="0046612C" w:rsidRPr="00163F1C">
              <w:rPr>
                <w:sz w:val="18"/>
                <w:szCs w:val="18"/>
              </w:rPr>
              <w:t xml:space="preserve">heating </w:t>
            </w:r>
            <w:r w:rsidRPr="00163F1C">
              <w:rPr>
                <w:sz w:val="18"/>
                <w:szCs w:val="18"/>
              </w:rPr>
              <w:t>(e.g. Gaia 2011).</w:t>
            </w:r>
            <w:r w:rsidR="0046612C" w:rsidRPr="00163F1C">
              <w:rPr>
                <w:sz w:val="18"/>
                <w:szCs w:val="18"/>
              </w:rPr>
              <w:t xml:space="preserve"> Part of the savings through reduction in losses. </w:t>
            </w:r>
          </w:p>
        </w:tc>
      </w:tr>
      <w:tr w:rsidR="00C04263" w:rsidRPr="00163F1C" w:rsidTr="00B57E4F">
        <w:trPr>
          <w:trHeight w:val="543"/>
        </w:trPr>
        <w:tc>
          <w:tcPr>
            <w:tcW w:w="586" w:type="dxa"/>
            <w:vMerge/>
            <w:shd w:val="clear" w:color="auto" w:fill="FBD4B4" w:themeFill="accent6"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Buildings as heat storage </w:t>
            </w:r>
          </w:p>
        </w:tc>
        <w:tc>
          <w:tcPr>
            <w:tcW w:w="6485" w:type="dxa"/>
          </w:tcPr>
          <w:p w:rsidR="00C04263" w:rsidRPr="00163F1C" w:rsidRDefault="00C04263" w:rsidP="0046612C">
            <w:pPr>
              <w:pStyle w:val="Numberedlist"/>
              <w:rPr>
                <w:sz w:val="18"/>
                <w:szCs w:val="18"/>
              </w:rPr>
            </w:pPr>
            <w:r w:rsidRPr="00163F1C">
              <w:rPr>
                <w:sz w:val="18"/>
                <w:szCs w:val="18"/>
              </w:rPr>
              <w:t>Cutting peak heat demand by 20 % by using around 5 % of the building stock results in savings in operational cost and investments (e.g. Kärkkäinen, 2003). Adoption rate 20 % by 2020.</w:t>
            </w:r>
          </w:p>
        </w:tc>
      </w:tr>
      <w:tr w:rsidR="00C04263" w:rsidRPr="00163F1C" w:rsidTr="00B57E4F">
        <w:trPr>
          <w:trHeight w:val="543"/>
        </w:trPr>
        <w:tc>
          <w:tcPr>
            <w:tcW w:w="586" w:type="dxa"/>
            <w:vMerge/>
            <w:shd w:val="clear" w:color="auto" w:fill="FBD4B4" w:themeFill="accent6"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Heat generation optimization </w:t>
            </w:r>
          </w:p>
        </w:tc>
        <w:tc>
          <w:tcPr>
            <w:tcW w:w="6485" w:type="dxa"/>
          </w:tcPr>
          <w:p w:rsidR="00C04263" w:rsidRPr="00163F1C" w:rsidRDefault="00C04263" w:rsidP="0046612C">
            <w:pPr>
              <w:pStyle w:val="Numberedlist"/>
              <w:rPr>
                <w:sz w:val="18"/>
                <w:szCs w:val="18"/>
              </w:rPr>
            </w:pPr>
            <w:r w:rsidRPr="00163F1C">
              <w:rPr>
                <w:sz w:val="18"/>
                <w:szCs w:val="18"/>
              </w:rPr>
              <w:t>Operative costs savings potential estimated to be around 1–2 % and adoption rate 20 % by 2020 (e.g. Gaia 2011).</w:t>
            </w:r>
            <w:r w:rsidR="0046612C" w:rsidRPr="00163F1C">
              <w:rPr>
                <w:sz w:val="18"/>
                <w:szCs w:val="18"/>
              </w:rPr>
              <w:t xml:space="preserve"> Part of the savings through reduction in losses.</w:t>
            </w:r>
          </w:p>
        </w:tc>
      </w:tr>
      <w:tr w:rsidR="00C04263" w:rsidRPr="00163F1C" w:rsidTr="00B57E4F">
        <w:trPr>
          <w:trHeight w:val="543"/>
        </w:trPr>
        <w:tc>
          <w:tcPr>
            <w:tcW w:w="586" w:type="dxa"/>
            <w:vMerge/>
            <w:shd w:val="clear" w:color="auto" w:fill="FBD4B4" w:themeFill="accent6"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Dynamic tariff structures </w:t>
            </w:r>
          </w:p>
        </w:tc>
        <w:tc>
          <w:tcPr>
            <w:tcW w:w="6485" w:type="dxa"/>
          </w:tcPr>
          <w:p w:rsidR="00C04263" w:rsidRPr="00163F1C" w:rsidRDefault="00C04263" w:rsidP="0046612C">
            <w:pPr>
              <w:pStyle w:val="Numberedlist"/>
              <w:rPr>
                <w:sz w:val="18"/>
                <w:szCs w:val="18"/>
              </w:rPr>
            </w:pPr>
            <w:r w:rsidRPr="00163F1C">
              <w:rPr>
                <w:sz w:val="18"/>
                <w:szCs w:val="18"/>
              </w:rPr>
              <w:t>Operative costs savings potential estimated to be around 1–2 % and adoption rate 20 % by 2020 (e.g. Gaia 2011).</w:t>
            </w:r>
            <w:r w:rsidR="0046612C" w:rsidRPr="00163F1C">
              <w:rPr>
                <w:sz w:val="18"/>
                <w:szCs w:val="18"/>
              </w:rPr>
              <w:t xml:space="preserve"> Part of the savings through reduction in losses.</w:t>
            </w:r>
          </w:p>
        </w:tc>
      </w:tr>
      <w:tr w:rsidR="00C04263" w:rsidRPr="00163F1C" w:rsidTr="00B57E4F">
        <w:trPr>
          <w:trHeight w:val="543"/>
        </w:trPr>
        <w:tc>
          <w:tcPr>
            <w:tcW w:w="586" w:type="dxa"/>
            <w:vMerge/>
            <w:shd w:val="clear" w:color="auto" w:fill="FBD4B4" w:themeFill="accent6"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Combined metering </w:t>
            </w:r>
          </w:p>
        </w:tc>
        <w:tc>
          <w:tcPr>
            <w:tcW w:w="6485" w:type="dxa"/>
          </w:tcPr>
          <w:p w:rsidR="00C04263" w:rsidRPr="00163F1C" w:rsidRDefault="00C04263" w:rsidP="0046612C">
            <w:pPr>
              <w:pStyle w:val="Numberedlist"/>
              <w:rPr>
                <w:sz w:val="18"/>
                <w:szCs w:val="18"/>
              </w:rPr>
            </w:pPr>
            <w:r w:rsidRPr="00163F1C">
              <w:rPr>
                <w:sz w:val="18"/>
                <w:szCs w:val="18"/>
              </w:rPr>
              <w:t>Operational cost savings from combined meters and infrastructure. Average saving 25 000 €/company/year for 20 companies out of 200 (see e.g. Gaia 2012a). Service provider’s uptake is 50 %.</w:t>
            </w:r>
          </w:p>
        </w:tc>
      </w:tr>
      <w:tr w:rsidR="00C04263" w:rsidRPr="00163F1C" w:rsidTr="00B57E4F">
        <w:trPr>
          <w:trHeight w:val="543"/>
        </w:trPr>
        <w:tc>
          <w:tcPr>
            <w:tcW w:w="586" w:type="dxa"/>
            <w:vMerge/>
            <w:shd w:val="clear" w:color="auto" w:fill="FBD4B4" w:themeFill="accent6" w:themeFillTint="66"/>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Secure information sharing </w:t>
            </w:r>
          </w:p>
        </w:tc>
        <w:tc>
          <w:tcPr>
            <w:tcW w:w="6485" w:type="dxa"/>
          </w:tcPr>
          <w:p w:rsidR="00C04263" w:rsidRPr="00163F1C" w:rsidRDefault="00C04263" w:rsidP="0046612C">
            <w:pPr>
              <w:pStyle w:val="Numberedlist"/>
              <w:rPr>
                <w:sz w:val="18"/>
                <w:szCs w:val="18"/>
              </w:rPr>
            </w:pPr>
            <w:r w:rsidRPr="00163F1C">
              <w:rPr>
                <w:sz w:val="18"/>
                <w:szCs w:val="18"/>
              </w:rPr>
              <w:t>Operational cost savings from reduced need for ITC investments. Average saving 25 000 €/company/year for 200 companies</w:t>
            </w:r>
            <w:r w:rsidR="00DF0886" w:rsidRPr="00163F1C">
              <w:rPr>
                <w:sz w:val="18"/>
                <w:szCs w:val="18"/>
              </w:rPr>
              <w:t>, 50 % of companies using</w:t>
            </w:r>
            <w:r w:rsidRPr="00163F1C">
              <w:rPr>
                <w:sz w:val="18"/>
                <w:szCs w:val="18"/>
              </w:rPr>
              <w:t xml:space="preserve"> (see e.g. Gaia 2012a). Service provider’s uptake is 50 %.</w:t>
            </w:r>
          </w:p>
        </w:tc>
      </w:tr>
      <w:tr w:rsidR="00C04263" w:rsidRPr="00163F1C" w:rsidTr="00B57E4F">
        <w:trPr>
          <w:trHeight w:val="543"/>
        </w:trPr>
        <w:tc>
          <w:tcPr>
            <w:tcW w:w="586" w:type="dxa"/>
            <w:vMerge w:val="restart"/>
            <w:shd w:val="clear" w:color="auto" w:fill="C2D69B" w:themeFill="accent3" w:themeFillTint="99"/>
            <w:textDirection w:val="btLr"/>
          </w:tcPr>
          <w:p w:rsidR="00C04263" w:rsidRPr="00163F1C" w:rsidRDefault="00C04263" w:rsidP="0046612C">
            <w:pPr>
              <w:pStyle w:val="Numberedlist"/>
              <w:rPr>
                <w:sz w:val="18"/>
                <w:szCs w:val="18"/>
              </w:rPr>
            </w:pPr>
            <w:r w:rsidRPr="00163F1C">
              <w:rPr>
                <w:sz w:val="18"/>
                <w:szCs w:val="18"/>
              </w:rPr>
              <w:t>RENEWABLES</w:t>
            </w: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Virtual power plants </w:t>
            </w:r>
          </w:p>
        </w:tc>
        <w:tc>
          <w:tcPr>
            <w:tcW w:w="6485" w:type="dxa"/>
          </w:tcPr>
          <w:p w:rsidR="00C04263" w:rsidRPr="00163F1C" w:rsidRDefault="00C04263" w:rsidP="0046612C">
            <w:pPr>
              <w:pStyle w:val="Numberedlist"/>
              <w:rPr>
                <w:sz w:val="18"/>
                <w:szCs w:val="18"/>
              </w:rPr>
            </w:pPr>
            <w:r w:rsidRPr="00163F1C">
              <w:rPr>
                <w:sz w:val="18"/>
                <w:szCs w:val="18"/>
              </w:rPr>
              <w:t>Estimated potential 10 aggregated users with 50 000 €/user/year fees (estimate on the potential purchasing power of the plants). Service provider’s uptake is 50 %.</w:t>
            </w:r>
          </w:p>
        </w:tc>
      </w:tr>
      <w:tr w:rsidR="00C04263" w:rsidRPr="00163F1C" w:rsidTr="00B57E4F">
        <w:trPr>
          <w:trHeight w:val="543"/>
        </w:trPr>
        <w:tc>
          <w:tcPr>
            <w:tcW w:w="586" w:type="dxa"/>
            <w:vMerge/>
            <w:shd w:val="clear" w:color="auto" w:fill="C2D69B" w:themeFill="accent3" w:themeFillTint="99"/>
            <w:textDirection w:val="btLr"/>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SCADA services </w:t>
            </w:r>
          </w:p>
        </w:tc>
        <w:tc>
          <w:tcPr>
            <w:tcW w:w="6485" w:type="dxa"/>
          </w:tcPr>
          <w:p w:rsidR="00C04263" w:rsidRPr="00163F1C" w:rsidRDefault="00C04263" w:rsidP="0046612C">
            <w:pPr>
              <w:pStyle w:val="Numberedlist"/>
              <w:rPr>
                <w:sz w:val="18"/>
                <w:szCs w:val="18"/>
              </w:rPr>
            </w:pPr>
            <w:r w:rsidRPr="00163F1C">
              <w:rPr>
                <w:sz w:val="18"/>
                <w:szCs w:val="18"/>
              </w:rPr>
              <w:t>Estimated potential 250 renewable energy generating plants using the service with 2 000 €/plant/year fees (estimate on the basis of other SCADA applications and the potential purchasing power of the plants). Service provider’s uptake is 50 %.</w:t>
            </w:r>
          </w:p>
        </w:tc>
      </w:tr>
      <w:tr w:rsidR="00C04263" w:rsidRPr="00163F1C" w:rsidTr="00B57E4F">
        <w:trPr>
          <w:trHeight w:val="543"/>
        </w:trPr>
        <w:tc>
          <w:tcPr>
            <w:tcW w:w="586" w:type="dxa"/>
            <w:vMerge w:val="restart"/>
            <w:shd w:val="clear" w:color="auto" w:fill="8DB3E2" w:themeFill="text2" w:themeFillTint="66"/>
            <w:textDirection w:val="btLr"/>
          </w:tcPr>
          <w:p w:rsidR="00C04263" w:rsidRPr="00163F1C" w:rsidRDefault="00C04263" w:rsidP="0046612C">
            <w:pPr>
              <w:pStyle w:val="Numberedlist"/>
              <w:rPr>
                <w:sz w:val="18"/>
                <w:szCs w:val="18"/>
              </w:rPr>
            </w:pPr>
            <w:r w:rsidRPr="00163F1C">
              <w:rPr>
                <w:sz w:val="18"/>
                <w:szCs w:val="18"/>
              </w:rPr>
              <w:t>ENERGY END USE</w:t>
            </w: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Energy costs management </w:t>
            </w:r>
          </w:p>
        </w:tc>
        <w:tc>
          <w:tcPr>
            <w:tcW w:w="6485" w:type="dxa"/>
          </w:tcPr>
          <w:p w:rsidR="00C04263" w:rsidRPr="00163F1C" w:rsidRDefault="00C04263" w:rsidP="0046612C">
            <w:pPr>
              <w:pStyle w:val="Numberedlist"/>
              <w:rPr>
                <w:sz w:val="18"/>
                <w:szCs w:val="18"/>
              </w:rPr>
            </w:pPr>
            <w:r w:rsidRPr="00163F1C">
              <w:rPr>
                <w:sz w:val="18"/>
                <w:szCs w:val="18"/>
              </w:rPr>
              <w:t xml:space="preserve">Estimated 20 % of energy use can be affected and 5–10 % savings occur. In total </w:t>
            </w:r>
            <w:r w:rsidRPr="00163F1C">
              <w:rPr>
                <w:sz w:val="18"/>
                <w:szCs w:val="18"/>
              </w:rPr>
              <w:br/>
              <w:t>1–2 % energy saving potential in electricity and district heating and 20 % adoption by 2020 (e.g. Gaia 2010).</w:t>
            </w:r>
          </w:p>
        </w:tc>
      </w:tr>
      <w:tr w:rsidR="00C04263" w:rsidRPr="00163F1C" w:rsidTr="00B57E4F">
        <w:trPr>
          <w:trHeight w:val="543"/>
        </w:trPr>
        <w:tc>
          <w:tcPr>
            <w:tcW w:w="586" w:type="dxa"/>
            <w:vMerge/>
            <w:shd w:val="clear" w:color="auto" w:fill="8DB3E2" w:themeFill="text2" w:themeFillTint="66"/>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Demand response </w:t>
            </w:r>
          </w:p>
        </w:tc>
        <w:tc>
          <w:tcPr>
            <w:tcW w:w="6485" w:type="dxa"/>
          </w:tcPr>
          <w:p w:rsidR="00C04263" w:rsidRPr="00163F1C" w:rsidRDefault="00C04263" w:rsidP="0046612C">
            <w:pPr>
              <w:pStyle w:val="Numberedlist"/>
              <w:rPr>
                <w:sz w:val="18"/>
                <w:szCs w:val="18"/>
              </w:rPr>
            </w:pPr>
            <w:r w:rsidRPr="00163F1C">
              <w:rPr>
                <w:sz w:val="18"/>
                <w:szCs w:val="18"/>
              </w:rPr>
              <w:t>Estimated 1–2 % cost saving potential in electricity and 10 % adoption by 2020 (e.g. Schwartz, 2010).</w:t>
            </w:r>
          </w:p>
        </w:tc>
      </w:tr>
      <w:tr w:rsidR="00C04263" w:rsidRPr="00163F1C" w:rsidTr="00B57E4F">
        <w:trPr>
          <w:trHeight w:val="543"/>
        </w:trPr>
        <w:tc>
          <w:tcPr>
            <w:tcW w:w="586" w:type="dxa"/>
            <w:vMerge/>
            <w:shd w:val="clear" w:color="auto" w:fill="8DB3E2" w:themeFill="text2" w:themeFillTint="66"/>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Weather data based heating </w:t>
            </w:r>
          </w:p>
        </w:tc>
        <w:tc>
          <w:tcPr>
            <w:tcW w:w="6485" w:type="dxa"/>
          </w:tcPr>
          <w:p w:rsidR="00C04263" w:rsidRPr="00163F1C" w:rsidRDefault="00C04263" w:rsidP="0046612C">
            <w:pPr>
              <w:pStyle w:val="Numberedlist"/>
              <w:rPr>
                <w:sz w:val="18"/>
                <w:szCs w:val="18"/>
              </w:rPr>
            </w:pPr>
            <w:r w:rsidRPr="00163F1C">
              <w:rPr>
                <w:sz w:val="18"/>
                <w:szCs w:val="18"/>
              </w:rPr>
              <w:t xml:space="preserve">Estimated 5–10 % energy saving potential in district heating and </w:t>
            </w:r>
            <w:r w:rsidRPr="00163F1C">
              <w:rPr>
                <w:sz w:val="18"/>
                <w:szCs w:val="18"/>
              </w:rPr>
              <w:br/>
              <w:t>20 % adoption by 2020 (e.g. Tampereen Sähkölaitos, 2013)</w:t>
            </w:r>
            <w:r w:rsidR="00163F1C">
              <w:rPr>
                <w:sz w:val="18"/>
                <w:szCs w:val="18"/>
              </w:rPr>
              <w:t>. Average district heat household consumption is estimated to be 10 000 kWh/year.</w:t>
            </w:r>
          </w:p>
        </w:tc>
      </w:tr>
      <w:tr w:rsidR="00C04263" w:rsidRPr="00163F1C" w:rsidTr="00B57E4F">
        <w:trPr>
          <w:trHeight w:val="543"/>
        </w:trPr>
        <w:tc>
          <w:tcPr>
            <w:tcW w:w="586" w:type="dxa"/>
            <w:vMerge/>
            <w:shd w:val="clear" w:color="auto" w:fill="8DB3E2" w:themeFill="text2" w:themeFillTint="66"/>
          </w:tcPr>
          <w:p w:rsidR="00C04263" w:rsidRPr="00163F1C" w:rsidRDefault="00C04263" w:rsidP="0046612C">
            <w:pPr>
              <w:pStyle w:val="Numberedlist"/>
              <w:rPr>
                <w:sz w:val="18"/>
                <w:szCs w:val="18"/>
              </w:rPr>
            </w:pPr>
          </w:p>
        </w:tc>
        <w:tc>
          <w:tcPr>
            <w:tcW w:w="2008" w:type="dxa"/>
          </w:tcPr>
          <w:p w:rsidR="00C04263" w:rsidRPr="00163F1C" w:rsidRDefault="00C04263" w:rsidP="00B57E4F">
            <w:pPr>
              <w:pStyle w:val="NormalWeb"/>
              <w:keepNext/>
              <w:keepLines/>
              <w:spacing w:before="0" w:beforeAutospacing="0" w:after="0" w:afterAutospacing="0"/>
              <w:rPr>
                <w:rFonts w:ascii="Arial" w:hAnsi="Arial" w:cs="Arial"/>
                <w:sz w:val="18"/>
                <w:szCs w:val="18"/>
                <w:lang w:val="en-GB"/>
              </w:rPr>
            </w:pPr>
            <w:r w:rsidRPr="00163F1C">
              <w:rPr>
                <w:rFonts w:ascii="Calibri" w:hAnsi="Calibri" w:cs="Arial"/>
                <w:color w:val="000000"/>
                <w:kern w:val="24"/>
                <w:sz w:val="18"/>
                <w:szCs w:val="18"/>
                <w:lang w:val="en-GB"/>
              </w:rPr>
              <w:t xml:space="preserve">Secure smart houses </w:t>
            </w:r>
          </w:p>
        </w:tc>
        <w:tc>
          <w:tcPr>
            <w:tcW w:w="6485" w:type="dxa"/>
          </w:tcPr>
          <w:p w:rsidR="00C04263" w:rsidRPr="00163F1C" w:rsidRDefault="00C04263" w:rsidP="0046612C">
            <w:pPr>
              <w:pStyle w:val="Numberedlist"/>
              <w:rPr>
                <w:sz w:val="18"/>
                <w:szCs w:val="18"/>
              </w:rPr>
            </w:pPr>
            <w:r w:rsidRPr="00163F1C">
              <w:rPr>
                <w:sz w:val="18"/>
                <w:szCs w:val="18"/>
              </w:rPr>
              <w:t>Estimated that 2–5 % of 600 000 households invest 240 €/year for the new services. (e.g. Gaia 2010)</w:t>
            </w:r>
          </w:p>
        </w:tc>
      </w:tr>
    </w:tbl>
    <w:p w:rsidR="00AD28A6" w:rsidRPr="006276BF" w:rsidRDefault="00C04263" w:rsidP="0046612C">
      <w:pPr>
        <w:pStyle w:val="Numberedlist"/>
      </w:pPr>
      <w:r w:rsidRPr="009A05EB">
        <w:t>Energy savings potential indicates the total estimated potential if all users would adopt new services. Actual coverage of services is estimated for the period until year 2020. Value creation potential is estimated on the basis of actual coverage and 60 €/MWh cost for district heating (current end user prices 40–80 €/MWh, Estonian Competition Authority) and 100 €/MWh for electricity (current end user prices 80–100 €/MWh, Statistics Estonia).</w:t>
      </w:r>
    </w:p>
    <w:p w:rsidR="00AD28A6" w:rsidRPr="006276BF" w:rsidRDefault="00AD28A6" w:rsidP="0046612C">
      <w:pPr>
        <w:pStyle w:val="Numberedlist"/>
      </w:pPr>
    </w:p>
    <w:p w:rsidR="00AD28A6" w:rsidRPr="006276BF" w:rsidRDefault="00AD28A6" w:rsidP="0046612C">
      <w:pPr>
        <w:pStyle w:val="Numberedlist"/>
      </w:pPr>
    </w:p>
    <w:p w:rsidR="00621957" w:rsidRPr="00A67FC8" w:rsidRDefault="00621957" w:rsidP="00621957">
      <w:pPr>
        <w:rPr>
          <w:lang w:val="en-GB"/>
        </w:rPr>
      </w:pPr>
    </w:p>
    <w:p w:rsidR="00286F33" w:rsidRPr="006270D2" w:rsidRDefault="00690266" w:rsidP="005C6DCB">
      <w:pPr>
        <w:pStyle w:val="Heading-appendix"/>
      </w:pPr>
      <w:bookmarkStart w:id="29" w:name="_Toc361737968"/>
      <w:r w:rsidRPr="006270D2">
        <w:lastRenderedPageBreak/>
        <w:t>References</w:t>
      </w:r>
      <w:bookmarkEnd w:id="23"/>
      <w:bookmarkEnd w:id="25"/>
      <w:bookmarkEnd w:id="29"/>
    </w:p>
    <w:p w:rsidR="00126852" w:rsidRDefault="00126852" w:rsidP="00E12B02">
      <w:pPr>
        <w:pStyle w:val="References"/>
        <w:jc w:val="left"/>
        <w:rPr>
          <w:lang w:val="en-GB"/>
        </w:rPr>
      </w:pPr>
      <w:r w:rsidRPr="006270D2">
        <w:rPr>
          <w:lang w:val="en-GB"/>
        </w:rPr>
        <w:t>Luc Chalsège, Benoît Vandresse, Jean-Jacques Lennon and Lydia Da Silva Gaspar (2011)</w:t>
      </w:r>
      <w:r w:rsidR="00C00F80" w:rsidRPr="006270D2">
        <w:rPr>
          <w:lang w:val="en-GB"/>
        </w:rPr>
        <w:t xml:space="preserve">, Final  Evaluation  of  the  Intelligent Energy-Europe  II  Programme  within  the Competitiveness  and  Innovation Framework Programme, Deloitte, European Commission Directorate-General for Energy. Available at: </w:t>
      </w:r>
      <w:hyperlink r:id="rId18" w:history="1">
        <w:r w:rsidR="00C00F80" w:rsidRPr="006270D2">
          <w:rPr>
            <w:rStyle w:val="Hyperlink"/>
            <w:sz w:val="22"/>
            <w:lang w:val="en-GB"/>
          </w:rPr>
          <w:t>http://ec.europa.eu/energy/evaluations/doc/2011_iee2_programme.pdf</w:t>
        </w:r>
      </w:hyperlink>
      <w:r w:rsidR="00C00F80" w:rsidRPr="006270D2">
        <w:rPr>
          <w:lang w:val="en-GB"/>
        </w:rPr>
        <w:t xml:space="preserve"> (referred to 2.7.2013).</w:t>
      </w:r>
    </w:p>
    <w:p w:rsidR="00694E4C" w:rsidRDefault="00694E4C" w:rsidP="00E12B02">
      <w:pPr>
        <w:pStyle w:val="References"/>
        <w:jc w:val="left"/>
        <w:rPr>
          <w:lang w:val="en-GB"/>
        </w:rPr>
      </w:pPr>
      <w:r>
        <w:rPr>
          <w:lang w:val="en-GB"/>
        </w:rPr>
        <w:t xml:space="preserve">European Commission (2005), EuropeAid Evaluation tools database website, </w:t>
      </w:r>
      <w:hyperlink r:id="rId19" w:history="1">
        <w:r w:rsidRPr="00E169C9">
          <w:rPr>
            <w:rStyle w:val="Hyperlink"/>
            <w:sz w:val="22"/>
            <w:lang w:val="en-GB"/>
          </w:rPr>
          <w:t>http://ec.europa.eu/europeaid/evaluation/methodology/tools/too_en.htm</w:t>
        </w:r>
      </w:hyperlink>
      <w:r>
        <w:rPr>
          <w:lang w:val="en-GB"/>
        </w:rPr>
        <w:t xml:space="preserve"> (referred to 2.7.2013)</w:t>
      </w:r>
    </w:p>
    <w:p w:rsidR="00E12B02" w:rsidRPr="006270D2" w:rsidRDefault="00E12B02" w:rsidP="00E12B02">
      <w:pPr>
        <w:pStyle w:val="References"/>
        <w:jc w:val="left"/>
        <w:rPr>
          <w:lang w:val="en-GB"/>
        </w:rPr>
      </w:pPr>
      <w:r w:rsidRPr="00E12B02">
        <w:rPr>
          <w:lang w:val="en-GB"/>
        </w:rPr>
        <w:t>Alistair Hunt, Pam Mason, Nick Dale and Anil Markandya</w:t>
      </w:r>
      <w:r>
        <w:rPr>
          <w:lang w:val="en-GB"/>
        </w:rPr>
        <w:t xml:space="preserve"> (no date), GREENSENSE: An applied integrated environmental impact assessment framework for the European Union, Executive Summary, </w:t>
      </w:r>
      <w:r w:rsidRPr="00E12B02">
        <w:rPr>
          <w:lang w:val="en-GB"/>
        </w:rPr>
        <w:t>Eu</w:t>
      </w:r>
      <w:r>
        <w:rPr>
          <w:lang w:val="en-GB"/>
        </w:rPr>
        <w:t xml:space="preserve">ropean  Commission  DG  Research. Available at: </w:t>
      </w:r>
      <w:hyperlink r:id="rId20" w:history="1">
        <w:r w:rsidRPr="00E169C9">
          <w:rPr>
            <w:rStyle w:val="Hyperlink"/>
            <w:sz w:val="22"/>
            <w:lang w:val="en-GB"/>
          </w:rPr>
          <w:t>http://www.bath.ac.uk/~hssam/greensense/gsensefinalexecsumm.pdf</w:t>
        </w:r>
      </w:hyperlink>
      <w:r>
        <w:rPr>
          <w:lang w:val="en-GB"/>
        </w:rPr>
        <w:t xml:space="preserve"> (referred to 2.7.2013) .</w:t>
      </w:r>
    </w:p>
    <w:p w:rsidR="00C00F80" w:rsidRPr="006270D2" w:rsidRDefault="00C00F80" w:rsidP="00E12B02">
      <w:pPr>
        <w:pStyle w:val="References"/>
        <w:jc w:val="left"/>
        <w:rPr>
          <w:lang w:val="en-GB"/>
        </w:rPr>
      </w:pPr>
      <w:r w:rsidRPr="006270D2">
        <w:rPr>
          <w:lang w:val="en-GB"/>
        </w:rPr>
        <w:t>International Association for Impact Assessment</w:t>
      </w:r>
      <w:r w:rsidR="00156678" w:rsidRPr="006270D2">
        <w:rPr>
          <w:lang w:val="en-GB"/>
        </w:rPr>
        <w:t xml:space="preserve"> (IAIA)</w:t>
      </w:r>
      <w:r w:rsidRPr="006270D2">
        <w:rPr>
          <w:lang w:val="en-GB"/>
        </w:rPr>
        <w:t xml:space="preserve">, website, available at: </w:t>
      </w:r>
      <w:hyperlink r:id="rId21" w:history="1">
        <w:r w:rsidR="00156678" w:rsidRPr="006270D2">
          <w:rPr>
            <w:rStyle w:val="Hyperlink"/>
            <w:sz w:val="22"/>
            <w:lang w:val="en-GB"/>
          </w:rPr>
          <w:t>www.iaia.org</w:t>
        </w:r>
      </w:hyperlink>
      <w:r w:rsidR="00156678" w:rsidRPr="006270D2">
        <w:rPr>
          <w:lang w:val="en-GB"/>
        </w:rPr>
        <w:t xml:space="preserve"> (referred to 2.7.2013)</w:t>
      </w:r>
      <w:r w:rsidR="00E12B02">
        <w:rPr>
          <w:lang w:val="en-GB"/>
        </w:rPr>
        <w:t>.</w:t>
      </w:r>
    </w:p>
    <w:p w:rsidR="00156678" w:rsidRDefault="00156678" w:rsidP="00E12B02">
      <w:pPr>
        <w:pStyle w:val="References"/>
        <w:jc w:val="left"/>
        <w:rPr>
          <w:lang w:val="en-GB"/>
        </w:rPr>
      </w:pPr>
      <w:r w:rsidRPr="006270D2">
        <w:rPr>
          <w:lang w:val="en-GB"/>
        </w:rPr>
        <w:t xml:space="preserve">International Association for Impact Assessment, IAIA (2009), What Is Impact Assessment? IAIA. Available at: </w:t>
      </w:r>
      <w:hyperlink r:id="rId22" w:history="1">
        <w:r w:rsidRPr="006270D2">
          <w:rPr>
            <w:rStyle w:val="Hyperlink"/>
            <w:sz w:val="22"/>
            <w:lang w:val="en-GB"/>
          </w:rPr>
          <w:t>http://www.iaia.org/publicdocuments/special-publications/What%20is%20IA_web.pdf</w:t>
        </w:r>
      </w:hyperlink>
      <w:r w:rsidRPr="006270D2">
        <w:rPr>
          <w:lang w:val="en-GB"/>
        </w:rPr>
        <w:t xml:space="preserve"> (referred to 2.7.2013)</w:t>
      </w:r>
      <w:r w:rsidR="00E12B02">
        <w:rPr>
          <w:lang w:val="en-GB"/>
        </w:rPr>
        <w:t>.</w:t>
      </w:r>
    </w:p>
    <w:p w:rsidR="00EB396C" w:rsidRPr="006270D2" w:rsidRDefault="00EB396C" w:rsidP="00E12B02">
      <w:pPr>
        <w:pStyle w:val="References"/>
        <w:jc w:val="left"/>
        <w:rPr>
          <w:lang w:val="en-GB"/>
        </w:rPr>
      </w:pPr>
      <w:r w:rsidRPr="00EB396C">
        <w:rPr>
          <w:lang w:val="en-GB"/>
        </w:rPr>
        <w:t>International Association for Impact Assessment, IAIA (</w:t>
      </w:r>
      <w:r>
        <w:rPr>
          <w:lang w:val="en-GB"/>
        </w:rPr>
        <w:t>1999</w:t>
      </w:r>
      <w:r w:rsidRPr="00EB396C">
        <w:rPr>
          <w:lang w:val="en-GB"/>
        </w:rPr>
        <w:t>), Principles of EIA Best Practice</w:t>
      </w:r>
      <w:r>
        <w:rPr>
          <w:lang w:val="en-GB"/>
        </w:rPr>
        <w:t xml:space="preserve">, IAIA. Available at: </w:t>
      </w:r>
      <w:hyperlink r:id="rId23" w:history="1">
        <w:r w:rsidRPr="00E169C9">
          <w:rPr>
            <w:rStyle w:val="Hyperlink"/>
            <w:sz w:val="22"/>
            <w:lang w:val="en-GB"/>
          </w:rPr>
          <w:t>http://iaia.org/publicdocuments/special-publications/Principles%20of%20IA_web.pdf</w:t>
        </w:r>
      </w:hyperlink>
      <w:r>
        <w:rPr>
          <w:lang w:val="en-GB"/>
        </w:rPr>
        <w:t xml:space="preserve"> (referred to 2.7.2013)</w:t>
      </w:r>
      <w:r w:rsidR="00E12B02">
        <w:rPr>
          <w:lang w:val="en-GB"/>
        </w:rPr>
        <w:t>.</w:t>
      </w:r>
    </w:p>
    <w:p w:rsidR="00156678" w:rsidRDefault="00156678" w:rsidP="00E12B02">
      <w:pPr>
        <w:pStyle w:val="References"/>
        <w:jc w:val="left"/>
        <w:rPr>
          <w:lang w:val="en-GB"/>
        </w:rPr>
      </w:pPr>
      <w:r w:rsidRPr="006270D2">
        <w:rPr>
          <w:lang w:val="en-GB"/>
        </w:rPr>
        <w:t>International Association for Impact Assessment, IAIA Multilingual Glossary of Impact Assessment</w:t>
      </w:r>
      <w:r w:rsidR="00B64BAB" w:rsidRPr="006270D2">
        <w:rPr>
          <w:lang w:val="en-GB"/>
        </w:rPr>
        <w:t xml:space="preserve">, available at: </w:t>
      </w:r>
      <w:hyperlink r:id="rId24" w:history="1">
        <w:r w:rsidRPr="006270D2">
          <w:rPr>
            <w:rStyle w:val="Hyperlink"/>
            <w:sz w:val="22"/>
            <w:lang w:val="en-GB"/>
          </w:rPr>
          <w:t>http://web2.concordia.ca/iaia/index.php</w:t>
        </w:r>
      </w:hyperlink>
      <w:r w:rsidR="00B64BAB" w:rsidRPr="006270D2">
        <w:rPr>
          <w:lang w:val="en-GB"/>
        </w:rPr>
        <w:t xml:space="preserve"> (referred to 2.7.2013)</w:t>
      </w:r>
      <w:r w:rsidR="00E12B02">
        <w:rPr>
          <w:lang w:val="en-GB"/>
        </w:rPr>
        <w:t>.</w:t>
      </w:r>
    </w:p>
    <w:p w:rsidR="00E22DEB" w:rsidRDefault="00E22DEB" w:rsidP="00E12B02">
      <w:pPr>
        <w:pStyle w:val="References"/>
        <w:jc w:val="left"/>
        <w:rPr>
          <w:lang w:val="en-GB"/>
        </w:rPr>
      </w:pPr>
      <w:r w:rsidRPr="00E22DEB">
        <w:rPr>
          <w:lang w:val="en-GB"/>
        </w:rPr>
        <w:t>International Association for Impact Assessment, IAIA</w:t>
      </w:r>
      <w:r>
        <w:rPr>
          <w:lang w:val="en-GB"/>
        </w:rPr>
        <w:t xml:space="preserve"> (2003), </w:t>
      </w:r>
      <w:r w:rsidRPr="00E22DEB">
        <w:rPr>
          <w:lang w:val="en-GB"/>
        </w:rPr>
        <w:t>International Principles For Social Impact Assessment</w:t>
      </w:r>
      <w:r>
        <w:rPr>
          <w:lang w:val="en-GB"/>
        </w:rPr>
        <w:t xml:space="preserve">, </w:t>
      </w:r>
      <w:r w:rsidR="002E4C31">
        <w:rPr>
          <w:lang w:val="en-GB"/>
        </w:rPr>
        <w:t xml:space="preserve">IAIA </w:t>
      </w:r>
      <w:r w:rsidR="002E4C31" w:rsidRPr="002E4C31">
        <w:rPr>
          <w:lang w:val="en-GB"/>
        </w:rPr>
        <w:t>Special Publication Series No. 2</w:t>
      </w:r>
      <w:r w:rsidR="002E4C31">
        <w:rPr>
          <w:lang w:val="en-GB"/>
        </w:rPr>
        <w:t>.</w:t>
      </w:r>
      <w:r w:rsidR="002E4C31" w:rsidRPr="002E4C31">
        <w:rPr>
          <w:lang w:val="en-GB"/>
        </w:rPr>
        <w:t xml:space="preserve"> </w:t>
      </w:r>
      <w:r>
        <w:rPr>
          <w:lang w:val="en-GB"/>
        </w:rPr>
        <w:t xml:space="preserve">Available at: </w:t>
      </w:r>
      <w:hyperlink r:id="rId25" w:history="1">
        <w:r w:rsidRPr="00E169C9">
          <w:rPr>
            <w:rStyle w:val="Hyperlink"/>
            <w:sz w:val="22"/>
            <w:lang w:val="en-GB"/>
          </w:rPr>
          <w:t>http://iaia.org/publicdocuments/sections/sia/IAIA-SIA-International-Principles.pdf</w:t>
        </w:r>
      </w:hyperlink>
      <w:r>
        <w:rPr>
          <w:lang w:val="en-GB"/>
        </w:rPr>
        <w:t xml:space="preserve"> (referred to 2.7.2013)</w:t>
      </w:r>
      <w:r w:rsidR="00E12B02">
        <w:rPr>
          <w:lang w:val="en-GB"/>
        </w:rPr>
        <w:t>.</w:t>
      </w:r>
    </w:p>
    <w:p w:rsidR="006F10F6" w:rsidRDefault="00E12B02" w:rsidP="00FB325C">
      <w:pPr>
        <w:pStyle w:val="References"/>
        <w:jc w:val="left"/>
        <w:rPr>
          <w:lang w:val="en-GB"/>
        </w:rPr>
      </w:pPr>
      <w:r>
        <w:rPr>
          <w:lang w:val="en-GB"/>
        </w:rPr>
        <w:t xml:space="preserve">Glen Weisbrod and Burton Weisbrod (1997), Measuring economic impacts of projects and programs, </w:t>
      </w:r>
      <w:r w:rsidRPr="00E12B02">
        <w:rPr>
          <w:lang w:val="en-GB"/>
        </w:rPr>
        <w:t>Economic Development Research Group</w:t>
      </w:r>
      <w:r>
        <w:rPr>
          <w:lang w:val="en-GB"/>
        </w:rPr>
        <w:t xml:space="preserve">, April 1997. Available at: </w:t>
      </w:r>
      <w:hyperlink r:id="rId26" w:history="1">
        <w:r w:rsidRPr="00E169C9">
          <w:rPr>
            <w:rStyle w:val="Hyperlink"/>
            <w:sz w:val="22"/>
            <w:lang w:val="en-GB"/>
          </w:rPr>
          <w:t>http://edrgroup.com/pdf/econ-impact-primer.pdf</w:t>
        </w:r>
      </w:hyperlink>
      <w:r>
        <w:rPr>
          <w:lang w:val="en-GB"/>
        </w:rPr>
        <w:t xml:space="preserve"> (referred to 2.7.2013).</w:t>
      </w:r>
    </w:p>
    <w:p w:rsidR="00163F1C" w:rsidRDefault="00163F1C" w:rsidP="00FB325C">
      <w:pPr>
        <w:pStyle w:val="References"/>
        <w:jc w:val="left"/>
        <w:rPr>
          <w:lang w:val="en-GB"/>
        </w:rPr>
      </w:pPr>
    </w:p>
    <w:p w:rsidR="00163F1C" w:rsidRPr="00163F1C" w:rsidRDefault="00163F1C" w:rsidP="00FB325C">
      <w:pPr>
        <w:pStyle w:val="References"/>
        <w:jc w:val="left"/>
        <w:rPr>
          <w:i/>
          <w:lang w:val="en-GB"/>
        </w:rPr>
      </w:pPr>
      <w:r w:rsidRPr="00163F1C">
        <w:rPr>
          <w:i/>
          <w:lang w:val="en-GB"/>
        </w:rPr>
        <w:t xml:space="preserve">See also references for the </w:t>
      </w:r>
      <w:r>
        <w:rPr>
          <w:i/>
          <w:lang w:val="en-GB"/>
        </w:rPr>
        <w:t>separate M</w:t>
      </w:r>
      <w:r w:rsidRPr="00163F1C">
        <w:rPr>
          <w:i/>
          <w:lang w:val="en-GB"/>
        </w:rPr>
        <w:t xml:space="preserve">arket </w:t>
      </w:r>
      <w:r>
        <w:rPr>
          <w:i/>
          <w:lang w:val="en-GB"/>
        </w:rPr>
        <w:t>S</w:t>
      </w:r>
      <w:r w:rsidRPr="00163F1C">
        <w:rPr>
          <w:i/>
          <w:lang w:val="en-GB"/>
        </w:rPr>
        <w:t>tudy regarding the end user applications in Tables 11 and 12.</w:t>
      </w:r>
    </w:p>
    <w:sectPr w:rsidR="00163F1C" w:rsidRPr="00163F1C" w:rsidSect="00D01E97">
      <w:headerReference w:type="default" r:id="rId27"/>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31" w:rsidRDefault="007E0531">
      <w:r>
        <w:separator/>
      </w:r>
    </w:p>
    <w:p w:rsidR="007E0531" w:rsidRDefault="007E0531"/>
  </w:endnote>
  <w:endnote w:type="continuationSeparator" w:id="0">
    <w:p w:rsidR="007E0531" w:rsidRDefault="007E0531">
      <w:r>
        <w:continuationSeparator/>
      </w:r>
    </w:p>
    <w:p w:rsidR="007E0531" w:rsidRDefault="007E0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3F" w:rsidRDefault="0075693F" w:rsidP="00C1251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5693F" w:rsidRDefault="0075693F" w:rsidP="00C12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3F" w:rsidRPr="00D35147" w:rsidRDefault="0062491F" w:rsidP="00C12516">
    <w:pPr>
      <w:pStyle w:val="Footer"/>
    </w:pPr>
    <w:r>
      <w:fldChar w:fldCharType="begin"/>
    </w:r>
    <w:r>
      <w:instrText xml:space="preserve"> PAGE   \* MERGEFORMAT </w:instrText>
    </w:r>
    <w:r>
      <w:fldChar w:fldCharType="separate"/>
    </w:r>
    <w:r w:rsidR="008C7A88" w:rsidRPr="008C7A88">
      <w:rPr>
        <w:noProof/>
        <w:sz w:val="21"/>
        <w:szCs w:val="24"/>
      </w:rPr>
      <w:t>4</w:t>
    </w:r>
    <w:r>
      <w:rPr>
        <w:noProof/>
        <w:sz w:val="21"/>
        <w:szCs w:val="24"/>
      </w:rPr>
      <w:fldChar w:fldCharType="end"/>
    </w:r>
    <w:r w:rsidR="0075693F">
      <w:t xml:space="preserve">     </w:t>
    </w:r>
    <w:r w:rsidR="0075693F" w:rsidRPr="00C20068">
      <w:rPr>
        <w:noProof/>
        <w:lang w:val="et-EE" w:eastAsia="et-EE"/>
      </w:rPr>
      <w:drawing>
        <wp:inline distT="0" distB="0" distL="0" distR="0">
          <wp:extent cx="304800" cy="371475"/>
          <wp:effectExtent l="19050" t="0" r="0" b="0"/>
          <wp:docPr id="4" name="Picture 104" descr="C:\Documents and Settings\sanna.ahvenharju\My Documents\viestintä\graafiset elementit\pohjat\raportt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Documents and Settings\sanna.ahvenharju\My Documents\viestintä\graafiset elementit\pohjat\raportti_3.jpg"/>
                  <pic:cNvPicPr>
                    <a:picLocks noChangeAspect="1" noChangeArrowheads="1"/>
                  </pic:cNvPicPr>
                </pic:nvPicPr>
                <pic:blipFill>
                  <a:blip r:embed="rId1"/>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0075693F" w:rsidRPr="00C20068">
      <w:rPr>
        <w:lang w:val="en-GB"/>
      </w:rPr>
      <w:t xml:space="preserve">   Impact Assessment</w:t>
    </w:r>
    <w:r w:rsidR="0075693F">
      <w:t xml:space="preserve"> </w:t>
    </w:r>
  </w:p>
  <w:p w:rsidR="0075693F" w:rsidRDefault="007569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3F" w:rsidRDefault="0075693F" w:rsidP="00DE2C1D">
    <w:pPr>
      <w:pStyle w:val="Footer"/>
      <w:jc w:val="right"/>
    </w:pPr>
    <w:r>
      <w:rPr>
        <w:noProof/>
        <w:lang w:val="et-EE" w:eastAsia="et-EE"/>
      </w:rPr>
      <w:drawing>
        <wp:inline distT="0" distB="0" distL="0" distR="0">
          <wp:extent cx="3086100" cy="1104900"/>
          <wp:effectExtent l="19050" t="0" r="0" b="0"/>
          <wp:docPr id="5" name="Picture 141" descr="raportti_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aportti_7b"/>
                  <pic:cNvPicPr>
                    <a:picLocks noChangeAspect="1" noChangeArrowheads="1"/>
                  </pic:cNvPicPr>
                </pic:nvPicPr>
                <pic:blipFill>
                  <a:blip r:embed="rId1"/>
                  <a:srcRect/>
                  <a:stretch>
                    <a:fillRect/>
                  </a:stretch>
                </pic:blipFill>
                <pic:spPr bwMode="auto">
                  <a:xfrm>
                    <a:off x="0" y="0"/>
                    <a:ext cx="3086100" cy="1104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31" w:rsidRDefault="007E0531">
      <w:r>
        <w:separator/>
      </w:r>
    </w:p>
    <w:p w:rsidR="007E0531" w:rsidRDefault="007E0531"/>
  </w:footnote>
  <w:footnote w:type="continuationSeparator" w:id="0">
    <w:p w:rsidR="007E0531" w:rsidRDefault="007E0531">
      <w:r>
        <w:continuationSeparator/>
      </w:r>
    </w:p>
    <w:p w:rsidR="007E0531" w:rsidRDefault="007E0531"/>
  </w:footnote>
  <w:footnote w:id="1">
    <w:p w:rsidR="0075693F" w:rsidRPr="00D21A51" w:rsidRDefault="0075693F">
      <w:pPr>
        <w:pStyle w:val="FootnoteText"/>
        <w:rPr>
          <w:lang w:val="en-GB"/>
        </w:rPr>
      </w:pPr>
      <w:r w:rsidRPr="00D21A51">
        <w:rPr>
          <w:rStyle w:val="FootnoteReference"/>
          <w:lang w:val="en-GB"/>
        </w:rPr>
        <w:footnoteRef/>
      </w:r>
      <w:r w:rsidRPr="00D21A51">
        <w:rPr>
          <w:lang w:val="en-GB"/>
        </w:rPr>
        <w:t xml:space="preserve"> IAIA website</w:t>
      </w:r>
    </w:p>
  </w:footnote>
  <w:footnote w:id="2">
    <w:p w:rsidR="0075693F" w:rsidRPr="00D21A51" w:rsidRDefault="0075693F">
      <w:pPr>
        <w:pStyle w:val="FootnoteText"/>
        <w:rPr>
          <w:lang w:val="en-GB"/>
        </w:rPr>
      </w:pPr>
      <w:r w:rsidRPr="00D21A51">
        <w:rPr>
          <w:rStyle w:val="FootnoteReference"/>
          <w:lang w:val="en-GB"/>
        </w:rPr>
        <w:footnoteRef/>
      </w:r>
      <w:r w:rsidRPr="00D21A51">
        <w:rPr>
          <w:lang w:val="en-GB"/>
        </w:rPr>
        <w:t xml:space="preserve"> IAIA 2009</w:t>
      </w:r>
    </w:p>
  </w:footnote>
  <w:footnote w:id="3">
    <w:p w:rsidR="0075693F" w:rsidRPr="00D21A51" w:rsidRDefault="0075693F">
      <w:pPr>
        <w:pStyle w:val="FootnoteText"/>
        <w:rPr>
          <w:lang w:val="en-GB"/>
        </w:rPr>
      </w:pPr>
      <w:r w:rsidRPr="00D21A51">
        <w:rPr>
          <w:rStyle w:val="FootnoteReference"/>
          <w:lang w:val="en-GB"/>
        </w:rPr>
        <w:footnoteRef/>
      </w:r>
      <w:r w:rsidRPr="00D21A51">
        <w:rPr>
          <w:lang w:val="en-GB"/>
        </w:rPr>
        <w:t xml:space="preserve"> IAIA 2009</w:t>
      </w:r>
    </w:p>
  </w:footnote>
  <w:footnote w:id="4">
    <w:p w:rsidR="0075693F" w:rsidRPr="00D21A51" w:rsidRDefault="0075693F">
      <w:pPr>
        <w:pStyle w:val="FootnoteText"/>
        <w:rPr>
          <w:lang w:val="en-GB"/>
        </w:rPr>
      </w:pPr>
      <w:r w:rsidRPr="00D21A51">
        <w:rPr>
          <w:rStyle w:val="FootnoteReference"/>
          <w:lang w:val="en-GB"/>
        </w:rPr>
        <w:footnoteRef/>
      </w:r>
      <w:r w:rsidRPr="00D21A51">
        <w:rPr>
          <w:lang w:val="en-GB"/>
        </w:rPr>
        <w:t xml:space="preserve"> IAIA 2009</w:t>
      </w:r>
    </w:p>
  </w:footnote>
  <w:footnote w:id="5">
    <w:p w:rsidR="0075693F" w:rsidRPr="00D21A51" w:rsidRDefault="0075693F">
      <w:pPr>
        <w:pStyle w:val="FootnoteText"/>
        <w:rPr>
          <w:lang w:val="en-GB"/>
        </w:rPr>
      </w:pPr>
      <w:r w:rsidRPr="00D21A51">
        <w:rPr>
          <w:rStyle w:val="FootnoteReference"/>
          <w:lang w:val="en-GB"/>
        </w:rPr>
        <w:footnoteRef/>
      </w:r>
      <w:r w:rsidRPr="00D21A51">
        <w:rPr>
          <w:lang w:val="en-GB"/>
        </w:rPr>
        <w:t xml:space="preserve"> IAIA 2009</w:t>
      </w:r>
    </w:p>
  </w:footnote>
  <w:footnote w:id="6">
    <w:p w:rsidR="0075693F" w:rsidRPr="00D21A51" w:rsidRDefault="0075693F" w:rsidP="00612BB5">
      <w:pPr>
        <w:pStyle w:val="FootnoteText"/>
        <w:rPr>
          <w:lang w:val="en-GB"/>
        </w:rPr>
      </w:pPr>
      <w:r w:rsidRPr="00D21A51">
        <w:rPr>
          <w:rStyle w:val="FootnoteReference"/>
          <w:lang w:val="en-GB"/>
        </w:rPr>
        <w:footnoteRef/>
      </w:r>
      <w:r w:rsidRPr="00D21A51">
        <w:rPr>
          <w:lang w:val="en-GB"/>
        </w:rPr>
        <w:t xml:space="preserve"> IAIA Glossary</w:t>
      </w:r>
    </w:p>
  </w:footnote>
  <w:footnote w:id="7">
    <w:p w:rsidR="0075693F" w:rsidRPr="00D21A51" w:rsidRDefault="0075693F">
      <w:pPr>
        <w:pStyle w:val="FootnoteText"/>
        <w:rPr>
          <w:lang w:val="en-GB"/>
        </w:rPr>
      </w:pPr>
      <w:r w:rsidRPr="00D21A51">
        <w:rPr>
          <w:rStyle w:val="FootnoteReference"/>
          <w:lang w:val="en-GB"/>
        </w:rPr>
        <w:footnoteRef/>
      </w:r>
      <w:r w:rsidRPr="00D21A51">
        <w:rPr>
          <w:lang w:val="en-GB"/>
        </w:rPr>
        <w:t xml:space="preserve"> IAIA Glossary </w:t>
      </w:r>
    </w:p>
  </w:footnote>
  <w:footnote w:id="8">
    <w:p w:rsidR="0075693F" w:rsidRPr="00D21A51" w:rsidRDefault="0075693F">
      <w:pPr>
        <w:pStyle w:val="FootnoteText"/>
        <w:rPr>
          <w:lang w:val="en-GB"/>
        </w:rPr>
      </w:pPr>
      <w:r w:rsidRPr="00D21A51">
        <w:rPr>
          <w:rStyle w:val="FootnoteReference"/>
          <w:lang w:val="en-GB"/>
        </w:rPr>
        <w:footnoteRef/>
      </w:r>
      <w:r w:rsidRPr="00D21A51">
        <w:rPr>
          <w:lang w:val="en-GB"/>
        </w:rPr>
        <w:t xml:space="preserve"> IAIA 1999</w:t>
      </w:r>
    </w:p>
  </w:footnote>
  <w:footnote w:id="9">
    <w:p w:rsidR="0075693F" w:rsidRPr="00D21A51" w:rsidRDefault="0075693F" w:rsidP="00126852">
      <w:pPr>
        <w:pStyle w:val="FootnoteText"/>
        <w:rPr>
          <w:lang w:val="en-GB"/>
        </w:rPr>
      </w:pPr>
      <w:r w:rsidRPr="00D21A51">
        <w:rPr>
          <w:rStyle w:val="FootnoteReference"/>
          <w:lang w:val="en-GB"/>
        </w:rPr>
        <w:footnoteRef/>
      </w:r>
      <w:r w:rsidRPr="00D21A51">
        <w:rPr>
          <w:lang w:val="en-GB"/>
        </w:rPr>
        <w:t xml:space="preserve"> Intelligent Energy Europe (IEE) II Programme evaluation report used as a guide: Chalsège et al. 2011</w:t>
      </w:r>
      <w:r w:rsidR="00C04263" w:rsidRPr="00D21A51">
        <w:rPr>
          <w:lang w:val="en-GB"/>
        </w:rPr>
        <w:t>. Some stakeholders in Estonia and Norway are named as examples.</w:t>
      </w:r>
    </w:p>
  </w:footnote>
  <w:footnote w:id="10">
    <w:p w:rsidR="0075693F" w:rsidRPr="00D21A51" w:rsidRDefault="0075693F" w:rsidP="00C16C03">
      <w:pPr>
        <w:pStyle w:val="FootnoteText"/>
        <w:rPr>
          <w:lang w:val="en-GB"/>
        </w:rPr>
      </w:pPr>
      <w:r w:rsidRPr="00D21A51">
        <w:rPr>
          <w:rStyle w:val="FootnoteReference"/>
          <w:lang w:val="en-GB"/>
        </w:rPr>
        <w:footnoteRef/>
      </w:r>
      <w:r w:rsidRPr="00D21A51">
        <w:rPr>
          <w:lang w:val="en-GB"/>
        </w:rPr>
        <w:t xml:space="preserve"> European Commission 2005</w:t>
      </w:r>
    </w:p>
  </w:footnote>
  <w:footnote w:id="11">
    <w:p w:rsidR="0075693F" w:rsidRPr="00D21A51" w:rsidRDefault="0075693F" w:rsidP="00064A05">
      <w:pPr>
        <w:pStyle w:val="FootnoteText"/>
        <w:rPr>
          <w:lang w:val="en-GB"/>
        </w:rPr>
      </w:pPr>
      <w:r w:rsidRPr="00D21A51">
        <w:rPr>
          <w:rStyle w:val="FootnoteReference"/>
          <w:lang w:val="en-GB"/>
        </w:rPr>
        <w:footnoteRef/>
      </w:r>
      <w:r w:rsidRPr="00D21A51">
        <w:rPr>
          <w:lang w:val="en-GB"/>
        </w:rPr>
        <w:t xml:space="preserve"> Modified from Hunt et al.</w:t>
      </w:r>
    </w:p>
  </w:footnote>
  <w:footnote w:id="12">
    <w:p w:rsidR="0075693F" w:rsidRPr="00D21A51" w:rsidRDefault="0075693F" w:rsidP="00064A05">
      <w:pPr>
        <w:pStyle w:val="FootnoteText"/>
        <w:rPr>
          <w:lang w:val="en-GB"/>
        </w:rPr>
      </w:pPr>
      <w:r w:rsidRPr="00D21A51">
        <w:rPr>
          <w:rStyle w:val="FootnoteReference"/>
          <w:lang w:val="en-GB"/>
        </w:rPr>
        <w:footnoteRef/>
      </w:r>
      <w:r w:rsidRPr="00D21A51">
        <w:rPr>
          <w:lang w:val="en-GB"/>
        </w:rPr>
        <w:t xml:space="preserve"> Modified from IAIA 2003</w:t>
      </w:r>
    </w:p>
  </w:footnote>
  <w:footnote w:id="13">
    <w:p w:rsidR="0075693F" w:rsidRPr="00D21A51" w:rsidRDefault="0075693F" w:rsidP="00064A05">
      <w:pPr>
        <w:pStyle w:val="FootnoteText"/>
        <w:rPr>
          <w:lang w:val="en-GB"/>
        </w:rPr>
      </w:pPr>
      <w:r w:rsidRPr="00D21A51">
        <w:rPr>
          <w:rStyle w:val="FootnoteReference"/>
          <w:lang w:val="en-GB"/>
        </w:rPr>
        <w:footnoteRef/>
      </w:r>
      <w:r w:rsidRPr="00D21A51">
        <w:rPr>
          <w:lang w:val="en-GB"/>
        </w:rPr>
        <w:t xml:space="preserve"> Modified from Weisbrod and Weisbrod 1997</w:t>
      </w:r>
    </w:p>
  </w:footnote>
  <w:footnote w:id="14">
    <w:p w:rsidR="0075693F" w:rsidRPr="00D21A51" w:rsidRDefault="0075693F">
      <w:pPr>
        <w:pStyle w:val="FootnoteText"/>
        <w:rPr>
          <w:lang w:val="en-GB"/>
        </w:rPr>
      </w:pPr>
      <w:r w:rsidRPr="00D21A51">
        <w:rPr>
          <w:rStyle w:val="FootnoteReference"/>
          <w:lang w:val="en-GB"/>
        </w:rPr>
        <w:footnoteRef/>
      </w:r>
      <w:r w:rsidRPr="00D21A51">
        <w:rPr>
          <w:lang w:val="en-GB"/>
        </w:rPr>
        <w:t xml:space="preserve"> Modified from European Commission 2005</w:t>
      </w:r>
    </w:p>
  </w:footnote>
  <w:footnote w:id="15">
    <w:p w:rsidR="0075693F" w:rsidRPr="00D21A51" w:rsidRDefault="0075693F" w:rsidP="00776118">
      <w:pPr>
        <w:pStyle w:val="FootnoteText"/>
        <w:rPr>
          <w:lang w:val="en-GB"/>
        </w:rPr>
      </w:pPr>
      <w:r w:rsidRPr="00D21A51">
        <w:rPr>
          <w:rStyle w:val="FootnoteReference"/>
          <w:lang w:val="en-GB"/>
        </w:rPr>
        <w:footnoteRef/>
      </w:r>
      <w:r w:rsidRPr="00D21A51">
        <w:rPr>
          <w:lang w:val="en-GB"/>
        </w:rPr>
        <w:t xml:space="preserve"> Modified from European Commission 2005</w:t>
      </w:r>
    </w:p>
  </w:footnote>
  <w:footnote w:id="16">
    <w:p w:rsidR="0075693F" w:rsidRPr="00D21A51" w:rsidRDefault="0075693F" w:rsidP="00D56E13">
      <w:pPr>
        <w:pStyle w:val="FootnoteText"/>
        <w:rPr>
          <w:lang w:val="en-GB"/>
        </w:rPr>
      </w:pPr>
      <w:r w:rsidRPr="00D21A51">
        <w:rPr>
          <w:rStyle w:val="FootnoteReference"/>
          <w:lang w:val="en-GB"/>
        </w:rPr>
        <w:footnoteRef/>
      </w:r>
      <w:r w:rsidRPr="00D21A51">
        <w:rPr>
          <w:lang w:val="en-GB"/>
        </w:rPr>
        <w:t xml:space="preserve"> European Commission 2005</w:t>
      </w:r>
    </w:p>
  </w:footnote>
  <w:footnote w:id="17">
    <w:p w:rsidR="0075693F" w:rsidRPr="00D21A51" w:rsidRDefault="0075693F" w:rsidP="00EA5BD2">
      <w:pPr>
        <w:pStyle w:val="FootnoteText"/>
        <w:rPr>
          <w:lang w:val="en-GB"/>
        </w:rPr>
      </w:pPr>
      <w:r w:rsidRPr="00D21A51">
        <w:rPr>
          <w:rStyle w:val="FootnoteReference"/>
          <w:lang w:val="en-GB"/>
        </w:rPr>
        <w:footnoteRef/>
      </w:r>
      <w:r w:rsidRPr="00D21A51">
        <w:rPr>
          <w:lang w:val="en-GB"/>
        </w:rPr>
        <w:t xml:space="preserve"> Modified from European Commission 2005</w:t>
      </w:r>
    </w:p>
  </w:footnote>
  <w:footnote w:id="18">
    <w:p w:rsidR="0075693F" w:rsidRPr="00D21A51" w:rsidRDefault="0075693F" w:rsidP="00232CB7">
      <w:pPr>
        <w:pStyle w:val="FootnoteText"/>
        <w:rPr>
          <w:lang w:val="en-GB"/>
        </w:rPr>
      </w:pPr>
      <w:r w:rsidRPr="00D21A51">
        <w:rPr>
          <w:rStyle w:val="FootnoteReference"/>
          <w:lang w:val="en-GB"/>
        </w:rPr>
        <w:footnoteRef/>
      </w:r>
      <w:r w:rsidRPr="00D21A51">
        <w:rPr>
          <w:lang w:val="en-GB"/>
        </w:rPr>
        <w:t xml:space="preserve"> Modified from European Commission 2005</w:t>
      </w:r>
    </w:p>
  </w:footnote>
  <w:footnote w:id="19">
    <w:p w:rsidR="0075693F" w:rsidRPr="00D21A51" w:rsidRDefault="0075693F">
      <w:pPr>
        <w:pStyle w:val="FootnoteText"/>
        <w:rPr>
          <w:lang w:val="en-GB"/>
        </w:rPr>
      </w:pPr>
      <w:r w:rsidRPr="00D21A51">
        <w:rPr>
          <w:rStyle w:val="FootnoteReference"/>
          <w:lang w:val="en-GB"/>
        </w:rPr>
        <w:footnoteRef/>
      </w:r>
      <w:r w:rsidRPr="00D21A51">
        <w:rPr>
          <w:lang w:val="en-GB"/>
        </w:rPr>
        <w:t xml:space="preserve"> European Commission 2005</w:t>
      </w:r>
    </w:p>
  </w:footnote>
  <w:footnote w:id="20">
    <w:p w:rsidR="0075693F" w:rsidRPr="00D21A51" w:rsidRDefault="0075693F" w:rsidP="00105362">
      <w:pPr>
        <w:pStyle w:val="FootnoteText"/>
        <w:rPr>
          <w:lang w:val="en-GB"/>
        </w:rPr>
      </w:pPr>
      <w:r w:rsidRPr="00D21A51">
        <w:rPr>
          <w:rStyle w:val="FootnoteReference"/>
          <w:lang w:val="en-GB"/>
        </w:rPr>
        <w:footnoteRef/>
      </w:r>
      <w:r w:rsidRPr="00D21A51">
        <w:rPr>
          <w:lang w:val="en-GB"/>
        </w:rPr>
        <w:t xml:space="preserve"> Modified from European Commission 2005</w:t>
      </w:r>
    </w:p>
  </w:footnote>
  <w:footnote w:id="21">
    <w:p w:rsidR="0075693F" w:rsidRPr="00D21A51" w:rsidRDefault="0075693F">
      <w:pPr>
        <w:pStyle w:val="FootnoteText"/>
        <w:rPr>
          <w:lang w:val="en-GB"/>
        </w:rPr>
      </w:pPr>
      <w:r w:rsidRPr="00D21A51">
        <w:rPr>
          <w:rStyle w:val="FootnoteReference"/>
          <w:lang w:val="en-GB"/>
        </w:rPr>
        <w:footnoteRef/>
      </w:r>
      <w:r w:rsidRPr="00D21A51">
        <w:rPr>
          <w:lang w:val="en-GB"/>
        </w:rPr>
        <w:t xml:space="preserve"> Potential impacts to other parts of the society are not within the scope of this impact assessment.</w:t>
      </w:r>
    </w:p>
  </w:footnote>
  <w:footnote w:id="22">
    <w:p w:rsidR="00004179" w:rsidRPr="00D21A51" w:rsidRDefault="00004179">
      <w:pPr>
        <w:pStyle w:val="FootnoteText"/>
        <w:rPr>
          <w:lang w:val="en-GB"/>
        </w:rPr>
      </w:pPr>
      <w:r w:rsidRPr="00D21A51">
        <w:rPr>
          <w:rStyle w:val="FootnoteReference"/>
          <w:lang w:val="en-GB"/>
        </w:rPr>
        <w:footnoteRef/>
      </w:r>
      <w:r w:rsidRPr="00D21A51">
        <w:rPr>
          <w:lang w:val="en-GB"/>
        </w:rPr>
        <w:t xml:space="preserve"> Assuming emissions of 700 gCO2/kWh, corresponding </w:t>
      </w:r>
      <w:r w:rsidR="00060299" w:rsidRPr="00D21A51">
        <w:rPr>
          <w:lang w:val="en-GB"/>
        </w:rPr>
        <w:t>roughly to electricity condense generation from oil shale.</w:t>
      </w:r>
    </w:p>
  </w:footnote>
  <w:footnote w:id="23">
    <w:p w:rsidR="00060299" w:rsidRPr="00D21A51" w:rsidRDefault="00060299">
      <w:pPr>
        <w:pStyle w:val="FootnoteText"/>
        <w:rPr>
          <w:lang w:val="en-GB"/>
        </w:rPr>
      </w:pPr>
      <w:r w:rsidRPr="00D21A51">
        <w:rPr>
          <w:rStyle w:val="FootnoteReference"/>
          <w:lang w:val="en-GB"/>
        </w:rPr>
        <w:footnoteRef/>
      </w:r>
      <w:r w:rsidRPr="00D21A51">
        <w:rPr>
          <w:lang w:val="en-GB"/>
        </w:rPr>
        <w:t xml:space="preserve"> </w:t>
      </w:r>
      <w:r w:rsidR="00D21A51" w:rsidRPr="00D21A51">
        <w:rPr>
          <w:lang w:val="en-GB"/>
        </w:rPr>
        <w:t>New jobs creation, t</w:t>
      </w:r>
      <w:r w:rsidRPr="00D21A51">
        <w:rPr>
          <w:lang w:val="en-GB"/>
        </w:rPr>
        <w:t>he R&amp;D cost, share of the energy costs of the total household income and share of the energy cost of the total enterprise cost have not been estimated within the scope of this impact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3F" w:rsidRPr="003D776D" w:rsidRDefault="0075693F" w:rsidP="006062FC">
    <w:pPr>
      <w:spacing w:before="0" w:after="0"/>
    </w:pPr>
    <w:r>
      <w:rPr>
        <w:noProof/>
        <w:lang w:val="et-EE" w:eastAsia="et-EE"/>
      </w:rPr>
      <w:drawing>
        <wp:inline distT="0" distB="0" distL="0" distR="0">
          <wp:extent cx="6810375" cy="600075"/>
          <wp:effectExtent l="19050" t="0" r="9525" b="0"/>
          <wp:docPr id="2" name="Picture 103" descr="C:\Documents and Settings\sanna.ahvenharju\My Documents\viestintä\graafiset elementit\pohjat\raportt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Documents and Settings\sanna.ahvenharju\My Documents\viestintä\graafiset elementit\pohjat\raportti_2.jpg"/>
                  <pic:cNvPicPr>
                    <a:picLocks noChangeAspect="1" noChangeArrowheads="1"/>
                  </pic:cNvPicPr>
                </pic:nvPicPr>
                <pic:blipFill>
                  <a:blip r:embed="rId1"/>
                  <a:srcRect/>
                  <a:stretch>
                    <a:fillRect/>
                  </a:stretch>
                </pic:blipFill>
                <pic:spPr bwMode="auto">
                  <a:xfrm>
                    <a:off x="0" y="0"/>
                    <a:ext cx="68103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3F" w:rsidRDefault="0075693F" w:rsidP="003C3006">
    <w:pPr>
      <w:pStyle w:val="Frontpage-header"/>
    </w:pPr>
    <w:r>
      <w:rPr>
        <w:noProof/>
        <w:lang w:val="et-EE" w:eastAsia="et-EE"/>
      </w:rPr>
      <w:drawing>
        <wp:inline distT="0" distB="0" distL="0" distR="0">
          <wp:extent cx="6848475" cy="2943225"/>
          <wp:effectExtent l="19050" t="0" r="9525" b="0"/>
          <wp:docPr id="1" name="Picture 102" descr="raportti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aportti_7a"/>
                  <pic:cNvPicPr>
                    <a:picLocks noChangeAspect="1" noChangeArrowheads="1"/>
                  </pic:cNvPicPr>
                </pic:nvPicPr>
                <pic:blipFill>
                  <a:blip r:embed="rId1"/>
                  <a:srcRect/>
                  <a:stretch>
                    <a:fillRect/>
                  </a:stretch>
                </pic:blipFill>
                <pic:spPr bwMode="auto">
                  <a:xfrm>
                    <a:off x="0" y="0"/>
                    <a:ext cx="6848475" cy="29432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3F" w:rsidRPr="003D776D" w:rsidRDefault="0075693F" w:rsidP="006062FC">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44A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544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E7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058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FED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94E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A4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C2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4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1EE9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6E9B"/>
    <w:multiLevelType w:val="hybridMultilevel"/>
    <w:tmpl w:val="E41C8BA4"/>
    <w:lvl w:ilvl="0" w:tplc="3A70511A">
      <w:start w:val="1"/>
      <w:numFmt w:val="bullet"/>
      <w:lvlText w:val="■"/>
      <w:lvlJc w:val="left"/>
      <w:pPr>
        <w:ind w:left="720" w:hanging="360"/>
      </w:pPr>
      <w:rPr>
        <w:rFonts w:ascii="SimSun" w:eastAsia="SimSun" w:hAnsi="SimSu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402B2F"/>
    <w:multiLevelType w:val="hybridMultilevel"/>
    <w:tmpl w:val="B40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006D6"/>
    <w:multiLevelType w:val="hybridMultilevel"/>
    <w:tmpl w:val="26EED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564DC"/>
    <w:multiLevelType w:val="hybridMultilevel"/>
    <w:tmpl w:val="39747138"/>
    <w:lvl w:ilvl="0" w:tplc="040B000F">
      <w:start w:val="1"/>
      <w:numFmt w:val="decimal"/>
      <w:lvlText w:val="%1."/>
      <w:lvlJc w:val="left"/>
      <w:pPr>
        <w:tabs>
          <w:tab w:val="num" w:pos="720"/>
        </w:tabs>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48C3524"/>
    <w:multiLevelType w:val="hybridMultilevel"/>
    <w:tmpl w:val="DA6E3BBC"/>
    <w:lvl w:ilvl="0" w:tplc="71765AB6">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787474"/>
    <w:multiLevelType w:val="hybridMultilevel"/>
    <w:tmpl w:val="776873FC"/>
    <w:lvl w:ilvl="0" w:tplc="08090001">
      <w:start w:val="1"/>
      <w:numFmt w:val="bullet"/>
      <w:lvlText w:val=""/>
      <w:lvlJc w:val="left"/>
      <w:pPr>
        <w:ind w:left="720" w:hanging="360"/>
      </w:pPr>
      <w:rPr>
        <w:rFonts w:ascii="Symbol" w:hAnsi="Symbol" w:hint="default"/>
      </w:rPr>
    </w:lvl>
    <w:lvl w:ilvl="1" w:tplc="1E167A38">
      <w:numFmt w:val="bullet"/>
      <w:lvlText w:val="•"/>
      <w:lvlJc w:val="left"/>
      <w:pPr>
        <w:ind w:left="1440" w:hanging="360"/>
      </w:pPr>
      <w:rPr>
        <w:rFonts w:ascii="Calibri" w:eastAsia="SimSu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53F8F"/>
    <w:multiLevelType w:val="hybridMultilevel"/>
    <w:tmpl w:val="2924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0D91"/>
    <w:multiLevelType w:val="hybridMultilevel"/>
    <w:tmpl w:val="84DC9062"/>
    <w:lvl w:ilvl="0" w:tplc="73921638">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15F598F"/>
    <w:multiLevelType w:val="multilevel"/>
    <w:tmpl w:val="FB5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906E1"/>
    <w:multiLevelType w:val="hybridMultilevel"/>
    <w:tmpl w:val="4C968F28"/>
    <w:lvl w:ilvl="0" w:tplc="375C0B5A">
      <w:start w:val="1"/>
      <w:numFmt w:val="bullet"/>
      <w:pStyle w:val="Bulleted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BAB61C8"/>
    <w:multiLevelType w:val="hybridMultilevel"/>
    <w:tmpl w:val="066CD256"/>
    <w:lvl w:ilvl="0" w:tplc="040B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72199"/>
    <w:multiLevelType w:val="multilevel"/>
    <w:tmpl w:val="F8B28DDA"/>
    <w:lvl w:ilvl="0">
      <w:start w:val="1"/>
      <w:numFmt w:val="decimal"/>
      <w:pStyle w:val="Heading1"/>
      <w:lvlText w:val="%1"/>
      <w:lvlJc w:val="left"/>
      <w:pPr>
        <w:tabs>
          <w:tab w:val="num" w:pos="1565"/>
        </w:tabs>
        <w:ind w:left="1565" w:hanging="431"/>
      </w:pPr>
      <w:rPr>
        <w:rFonts w:hint="default"/>
      </w:rPr>
    </w:lvl>
    <w:lvl w:ilvl="1">
      <w:start w:val="1"/>
      <w:numFmt w:val="decimal"/>
      <w:pStyle w:val="Heading2"/>
      <w:lvlText w:val="%1.%2"/>
      <w:lvlJc w:val="left"/>
      <w:pPr>
        <w:tabs>
          <w:tab w:val="num" w:pos="1712"/>
        </w:tabs>
        <w:ind w:left="1712" w:hanging="578"/>
      </w:pPr>
      <w:rPr>
        <w:rFonts w:hint="default"/>
      </w:rPr>
    </w:lvl>
    <w:lvl w:ilvl="2">
      <w:start w:val="1"/>
      <w:numFmt w:val="decimal"/>
      <w:pStyle w:val="Heading3"/>
      <w:lvlText w:val="%1.%2.%3"/>
      <w:lvlJc w:val="left"/>
      <w:pPr>
        <w:tabs>
          <w:tab w:val="num" w:pos="1854"/>
        </w:tabs>
        <w:ind w:left="1854" w:hanging="720"/>
      </w:pPr>
      <w:rPr>
        <w:rFonts w:hint="default"/>
      </w:rPr>
    </w:lvl>
    <w:lvl w:ilvl="3">
      <w:start w:val="1"/>
      <w:numFmt w:val="decimal"/>
      <w:lvlText w:val="%1.%2.%3.%4"/>
      <w:lvlJc w:val="left"/>
      <w:pPr>
        <w:tabs>
          <w:tab w:val="num" w:pos="5967"/>
        </w:tabs>
        <w:ind w:left="5967" w:hanging="864"/>
      </w:pPr>
      <w:rPr>
        <w:rFonts w:hint="default"/>
      </w:rPr>
    </w:lvl>
    <w:lvl w:ilvl="4">
      <w:start w:val="1"/>
      <w:numFmt w:val="decimal"/>
      <w:pStyle w:val="Heading5"/>
      <w:lvlText w:val="%1.%2.%3.%4.%5"/>
      <w:lvlJc w:val="left"/>
      <w:pPr>
        <w:tabs>
          <w:tab w:val="num" w:pos="6111"/>
        </w:tabs>
        <w:ind w:left="6111" w:hanging="1008"/>
      </w:pPr>
      <w:rPr>
        <w:rFonts w:hint="default"/>
      </w:rPr>
    </w:lvl>
    <w:lvl w:ilvl="5">
      <w:start w:val="1"/>
      <w:numFmt w:val="decimal"/>
      <w:pStyle w:val="Heading6"/>
      <w:lvlText w:val="%1.%2.%3.%4.%5.%6"/>
      <w:lvlJc w:val="left"/>
      <w:pPr>
        <w:tabs>
          <w:tab w:val="num" w:pos="6255"/>
        </w:tabs>
        <w:ind w:left="6255" w:hanging="1152"/>
      </w:pPr>
      <w:rPr>
        <w:rFonts w:hint="default"/>
      </w:rPr>
    </w:lvl>
    <w:lvl w:ilvl="6">
      <w:start w:val="1"/>
      <w:numFmt w:val="decimal"/>
      <w:pStyle w:val="Heading7"/>
      <w:lvlText w:val="%1.%2.%3.%4.%5.%6.%7"/>
      <w:lvlJc w:val="left"/>
      <w:pPr>
        <w:tabs>
          <w:tab w:val="num" w:pos="6399"/>
        </w:tabs>
        <w:ind w:left="6399" w:hanging="1296"/>
      </w:pPr>
      <w:rPr>
        <w:rFonts w:hint="default"/>
      </w:rPr>
    </w:lvl>
    <w:lvl w:ilvl="7">
      <w:start w:val="1"/>
      <w:numFmt w:val="decimal"/>
      <w:pStyle w:val="Heading8"/>
      <w:lvlText w:val="%1.%2.%3.%4.%5.%6.%7.%8"/>
      <w:lvlJc w:val="left"/>
      <w:pPr>
        <w:tabs>
          <w:tab w:val="num" w:pos="6543"/>
        </w:tabs>
        <w:ind w:left="6543" w:hanging="1440"/>
      </w:pPr>
      <w:rPr>
        <w:rFonts w:hint="default"/>
      </w:rPr>
    </w:lvl>
    <w:lvl w:ilvl="8">
      <w:start w:val="1"/>
      <w:numFmt w:val="decimal"/>
      <w:pStyle w:val="Heading9"/>
      <w:lvlText w:val="%1.%2.%3.%4.%5.%6.%7.%8.%9"/>
      <w:lvlJc w:val="left"/>
      <w:pPr>
        <w:tabs>
          <w:tab w:val="num" w:pos="6687"/>
        </w:tabs>
        <w:ind w:left="6687" w:hanging="1584"/>
      </w:pPr>
      <w:rPr>
        <w:rFonts w:hint="default"/>
      </w:rPr>
    </w:lvl>
  </w:abstractNum>
  <w:abstractNum w:abstractNumId="22" w15:restartNumberingAfterBreak="0">
    <w:nsid w:val="4B845D20"/>
    <w:multiLevelType w:val="hybridMultilevel"/>
    <w:tmpl w:val="CA5CB916"/>
    <w:lvl w:ilvl="0" w:tplc="040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C18B6"/>
    <w:multiLevelType w:val="hybridMultilevel"/>
    <w:tmpl w:val="61B8590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B6209"/>
    <w:multiLevelType w:val="hybridMultilevel"/>
    <w:tmpl w:val="60203A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4C779C9"/>
    <w:multiLevelType w:val="hybridMultilevel"/>
    <w:tmpl w:val="C54E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F4C19"/>
    <w:multiLevelType w:val="hybridMultilevel"/>
    <w:tmpl w:val="407C66FE"/>
    <w:lvl w:ilvl="0" w:tplc="71765AB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2973EC"/>
    <w:multiLevelType w:val="hybridMultilevel"/>
    <w:tmpl w:val="F5C4E7D0"/>
    <w:lvl w:ilvl="0" w:tplc="71765A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17477"/>
    <w:multiLevelType w:val="hybridMultilevel"/>
    <w:tmpl w:val="92A0A822"/>
    <w:lvl w:ilvl="0" w:tplc="040B000F">
      <w:start w:val="1"/>
      <w:numFmt w:val="decimal"/>
      <w:lvlText w:val="%1."/>
      <w:lvlJc w:val="left"/>
      <w:pPr>
        <w:tabs>
          <w:tab w:val="num" w:pos="720"/>
        </w:tabs>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9"/>
  </w:num>
  <w:num w:numId="4">
    <w:abstractNumId w:val="17"/>
  </w:num>
  <w:num w:numId="5">
    <w:abstractNumId w:val="13"/>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6"/>
  </w:num>
  <w:num w:numId="19">
    <w:abstractNumId w:val="22"/>
  </w:num>
  <w:num w:numId="20">
    <w:abstractNumId w:val="12"/>
  </w:num>
  <w:num w:numId="21">
    <w:abstractNumId w:val="20"/>
  </w:num>
  <w:num w:numId="22">
    <w:abstractNumId w:val="25"/>
  </w:num>
  <w:num w:numId="23">
    <w:abstractNumId w:val="10"/>
  </w:num>
  <w:num w:numId="24">
    <w:abstractNumId w:val="26"/>
  </w:num>
  <w:num w:numId="25">
    <w:abstractNumId w:val="15"/>
  </w:num>
  <w:num w:numId="26">
    <w:abstractNumId w:val="14"/>
  </w:num>
  <w:num w:numId="27">
    <w:abstractNumId w:val="18"/>
  </w:num>
  <w:num w:numId="28">
    <w:abstractNumId w:val="11"/>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1"/>
  <w:activeWritingStyle w:appName="MSWord" w:lang="zh-CN" w:vendorID="64" w:dllVersion="131077"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47"/>
  <w:autoHyphenation/>
  <w:consecutiveHyphenLimit w:val="3"/>
  <w:hyphenationZone w:val="56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06"/>
    <w:rsid w:val="00004179"/>
    <w:rsid w:val="00005F15"/>
    <w:rsid w:val="00007AFB"/>
    <w:rsid w:val="00007DBF"/>
    <w:rsid w:val="000112CF"/>
    <w:rsid w:val="00021C3B"/>
    <w:rsid w:val="00021FD8"/>
    <w:rsid w:val="0003239D"/>
    <w:rsid w:val="00036FDD"/>
    <w:rsid w:val="00040850"/>
    <w:rsid w:val="000418EF"/>
    <w:rsid w:val="00043537"/>
    <w:rsid w:val="00043A9B"/>
    <w:rsid w:val="00060299"/>
    <w:rsid w:val="000649B1"/>
    <w:rsid w:val="00064A05"/>
    <w:rsid w:val="00080395"/>
    <w:rsid w:val="0009044F"/>
    <w:rsid w:val="00095D99"/>
    <w:rsid w:val="000B2F9E"/>
    <w:rsid w:val="000B7F10"/>
    <w:rsid w:val="000C082A"/>
    <w:rsid w:val="000C0D19"/>
    <w:rsid w:val="000C12FB"/>
    <w:rsid w:val="000C261D"/>
    <w:rsid w:val="000C3D8D"/>
    <w:rsid w:val="000F4B78"/>
    <w:rsid w:val="00105341"/>
    <w:rsid w:val="00105362"/>
    <w:rsid w:val="0010725E"/>
    <w:rsid w:val="0010756F"/>
    <w:rsid w:val="00107937"/>
    <w:rsid w:val="00110C9B"/>
    <w:rsid w:val="001148ED"/>
    <w:rsid w:val="001168B7"/>
    <w:rsid w:val="00126852"/>
    <w:rsid w:val="00142D42"/>
    <w:rsid w:val="00144C18"/>
    <w:rsid w:val="00155357"/>
    <w:rsid w:val="00156678"/>
    <w:rsid w:val="00163F1C"/>
    <w:rsid w:val="0016499F"/>
    <w:rsid w:val="001670B3"/>
    <w:rsid w:val="001715E2"/>
    <w:rsid w:val="00182CC6"/>
    <w:rsid w:val="00186D27"/>
    <w:rsid w:val="00186DA0"/>
    <w:rsid w:val="0019135D"/>
    <w:rsid w:val="0019461C"/>
    <w:rsid w:val="001C35F6"/>
    <w:rsid w:val="001C7529"/>
    <w:rsid w:val="001D067E"/>
    <w:rsid w:val="001D4915"/>
    <w:rsid w:val="001D5476"/>
    <w:rsid w:val="001E26F5"/>
    <w:rsid w:val="001E4C3B"/>
    <w:rsid w:val="001F7048"/>
    <w:rsid w:val="00204C88"/>
    <w:rsid w:val="0020680F"/>
    <w:rsid w:val="00206A3F"/>
    <w:rsid w:val="00206CA6"/>
    <w:rsid w:val="00220533"/>
    <w:rsid w:val="00227C90"/>
    <w:rsid w:val="002306DC"/>
    <w:rsid w:val="00232CB7"/>
    <w:rsid w:val="00236FA4"/>
    <w:rsid w:val="00237657"/>
    <w:rsid w:val="00237C28"/>
    <w:rsid w:val="002452B0"/>
    <w:rsid w:val="00245A9F"/>
    <w:rsid w:val="00247366"/>
    <w:rsid w:val="002473CE"/>
    <w:rsid w:val="00247BE7"/>
    <w:rsid w:val="00252328"/>
    <w:rsid w:val="00254788"/>
    <w:rsid w:val="00255BC4"/>
    <w:rsid w:val="00257294"/>
    <w:rsid w:val="00276AD9"/>
    <w:rsid w:val="00286F33"/>
    <w:rsid w:val="00291059"/>
    <w:rsid w:val="00291748"/>
    <w:rsid w:val="002A0651"/>
    <w:rsid w:val="002C19A6"/>
    <w:rsid w:val="002C3DF4"/>
    <w:rsid w:val="002C409F"/>
    <w:rsid w:val="002C5746"/>
    <w:rsid w:val="002D4B4F"/>
    <w:rsid w:val="002D4C4A"/>
    <w:rsid w:val="002D7A78"/>
    <w:rsid w:val="002E4C31"/>
    <w:rsid w:val="00304AB9"/>
    <w:rsid w:val="00311B96"/>
    <w:rsid w:val="00312271"/>
    <w:rsid w:val="0031404D"/>
    <w:rsid w:val="003161D5"/>
    <w:rsid w:val="00316884"/>
    <w:rsid w:val="00316971"/>
    <w:rsid w:val="00316C07"/>
    <w:rsid w:val="00325CC7"/>
    <w:rsid w:val="003266FE"/>
    <w:rsid w:val="00340EAA"/>
    <w:rsid w:val="003560B3"/>
    <w:rsid w:val="00356D0C"/>
    <w:rsid w:val="0037210B"/>
    <w:rsid w:val="003737AD"/>
    <w:rsid w:val="00373DD8"/>
    <w:rsid w:val="00383C99"/>
    <w:rsid w:val="003915A1"/>
    <w:rsid w:val="003A566F"/>
    <w:rsid w:val="003A7680"/>
    <w:rsid w:val="003B0921"/>
    <w:rsid w:val="003B1D41"/>
    <w:rsid w:val="003C3006"/>
    <w:rsid w:val="003D776D"/>
    <w:rsid w:val="003E30CA"/>
    <w:rsid w:val="003E32E3"/>
    <w:rsid w:val="003F6F79"/>
    <w:rsid w:val="0042059A"/>
    <w:rsid w:val="00441696"/>
    <w:rsid w:val="00444478"/>
    <w:rsid w:val="00452ECF"/>
    <w:rsid w:val="00455A68"/>
    <w:rsid w:val="0046612C"/>
    <w:rsid w:val="00473E24"/>
    <w:rsid w:val="00475E90"/>
    <w:rsid w:val="004770CF"/>
    <w:rsid w:val="004812EB"/>
    <w:rsid w:val="004836E5"/>
    <w:rsid w:val="004845D0"/>
    <w:rsid w:val="00487B88"/>
    <w:rsid w:val="00496260"/>
    <w:rsid w:val="004A0BF1"/>
    <w:rsid w:val="004A0F94"/>
    <w:rsid w:val="004C25DE"/>
    <w:rsid w:val="004E5621"/>
    <w:rsid w:val="00512D88"/>
    <w:rsid w:val="00513817"/>
    <w:rsid w:val="00515E22"/>
    <w:rsid w:val="00520DFF"/>
    <w:rsid w:val="00543520"/>
    <w:rsid w:val="0055725E"/>
    <w:rsid w:val="0056100B"/>
    <w:rsid w:val="00564F3E"/>
    <w:rsid w:val="005729EF"/>
    <w:rsid w:val="00574296"/>
    <w:rsid w:val="005746FB"/>
    <w:rsid w:val="00576052"/>
    <w:rsid w:val="005919AC"/>
    <w:rsid w:val="00596AAB"/>
    <w:rsid w:val="00597E80"/>
    <w:rsid w:val="005C6DCB"/>
    <w:rsid w:val="005F23BC"/>
    <w:rsid w:val="005F437B"/>
    <w:rsid w:val="005F4983"/>
    <w:rsid w:val="005F6838"/>
    <w:rsid w:val="00601658"/>
    <w:rsid w:val="0060202C"/>
    <w:rsid w:val="00602897"/>
    <w:rsid w:val="00603A51"/>
    <w:rsid w:val="006062FC"/>
    <w:rsid w:val="0061254C"/>
    <w:rsid w:val="00612BB5"/>
    <w:rsid w:val="006148CC"/>
    <w:rsid w:val="00621957"/>
    <w:rsid w:val="00623D97"/>
    <w:rsid w:val="0062491F"/>
    <w:rsid w:val="006270D2"/>
    <w:rsid w:val="00631BB9"/>
    <w:rsid w:val="00631FD7"/>
    <w:rsid w:val="006362D0"/>
    <w:rsid w:val="00643E98"/>
    <w:rsid w:val="00644BDD"/>
    <w:rsid w:val="00654AD0"/>
    <w:rsid w:val="0067178A"/>
    <w:rsid w:val="00677DE5"/>
    <w:rsid w:val="006800CF"/>
    <w:rsid w:val="006835F9"/>
    <w:rsid w:val="00690266"/>
    <w:rsid w:val="00694E4C"/>
    <w:rsid w:val="006968D1"/>
    <w:rsid w:val="006B4DBC"/>
    <w:rsid w:val="006C14F9"/>
    <w:rsid w:val="006C323F"/>
    <w:rsid w:val="006C6130"/>
    <w:rsid w:val="006D5870"/>
    <w:rsid w:val="006D7026"/>
    <w:rsid w:val="006E06EF"/>
    <w:rsid w:val="006E77DA"/>
    <w:rsid w:val="006F10F6"/>
    <w:rsid w:val="00701349"/>
    <w:rsid w:val="0070192D"/>
    <w:rsid w:val="00707E86"/>
    <w:rsid w:val="00713436"/>
    <w:rsid w:val="00716DAA"/>
    <w:rsid w:val="0072303C"/>
    <w:rsid w:val="007324DE"/>
    <w:rsid w:val="00733BF7"/>
    <w:rsid w:val="007413ED"/>
    <w:rsid w:val="00744B0F"/>
    <w:rsid w:val="0075693F"/>
    <w:rsid w:val="00761B8C"/>
    <w:rsid w:val="00766185"/>
    <w:rsid w:val="00766508"/>
    <w:rsid w:val="007670CD"/>
    <w:rsid w:val="00775348"/>
    <w:rsid w:val="00776118"/>
    <w:rsid w:val="00783790"/>
    <w:rsid w:val="00785864"/>
    <w:rsid w:val="007A1433"/>
    <w:rsid w:val="007A3E08"/>
    <w:rsid w:val="007A6586"/>
    <w:rsid w:val="007B612D"/>
    <w:rsid w:val="007B6A2D"/>
    <w:rsid w:val="007C0830"/>
    <w:rsid w:val="007C2931"/>
    <w:rsid w:val="007C396F"/>
    <w:rsid w:val="007C6C28"/>
    <w:rsid w:val="007D02A0"/>
    <w:rsid w:val="007D05EF"/>
    <w:rsid w:val="007E0531"/>
    <w:rsid w:val="007E281F"/>
    <w:rsid w:val="007E6ECE"/>
    <w:rsid w:val="007F25A7"/>
    <w:rsid w:val="007F7B37"/>
    <w:rsid w:val="0080024F"/>
    <w:rsid w:val="00806692"/>
    <w:rsid w:val="008127CB"/>
    <w:rsid w:val="0081622E"/>
    <w:rsid w:val="008211AA"/>
    <w:rsid w:val="008258A5"/>
    <w:rsid w:val="00843969"/>
    <w:rsid w:val="00847479"/>
    <w:rsid w:val="00853584"/>
    <w:rsid w:val="00856FA6"/>
    <w:rsid w:val="00867F5A"/>
    <w:rsid w:val="0088154C"/>
    <w:rsid w:val="00884C57"/>
    <w:rsid w:val="008859AB"/>
    <w:rsid w:val="008875B1"/>
    <w:rsid w:val="00890CF4"/>
    <w:rsid w:val="00891A6E"/>
    <w:rsid w:val="00892F57"/>
    <w:rsid w:val="008A4450"/>
    <w:rsid w:val="008A6C24"/>
    <w:rsid w:val="008B05A6"/>
    <w:rsid w:val="008C061B"/>
    <w:rsid w:val="008C5CC3"/>
    <w:rsid w:val="008C7A88"/>
    <w:rsid w:val="008E5125"/>
    <w:rsid w:val="008F1BA1"/>
    <w:rsid w:val="008F3B21"/>
    <w:rsid w:val="008F5111"/>
    <w:rsid w:val="008F58EC"/>
    <w:rsid w:val="00907416"/>
    <w:rsid w:val="009112D8"/>
    <w:rsid w:val="00936066"/>
    <w:rsid w:val="00942716"/>
    <w:rsid w:val="00943AB5"/>
    <w:rsid w:val="00944281"/>
    <w:rsid w:val="00947B69"/>
    <w:rsid w:val="00951C17"/>
    <w:rsid w:val="00972BD9"/>
    <w:rsid w:val="009A1F61"/>
    <w:rsid w:val="009A22B0"/>
    <w:rsid w:val="009A5203"/>
    <w:rsid w:val="009B5DAF"/>
    <w:rsid w:val="009C02B5"/>
    <w:rsid w:val="009C0938"/>
    <w:rsid w:val="009C55D3"/>
    <w:rsid w:val="009D00EA"/>
    <w:rsid w:val="009D220B"/>
    <w:rsid w:val="009D3669"/>
    <w:rsid w:val="009D5132"/>
    <w:rsid w:val="009D5537"/>
    <w:rsid w:val="009F23ED"/>
    <w:rsid w:val="00A03D80"/>
    <w:rsid w:val="00A05EF2"/>
    <w:rsid w:val="00A13486"/>
    <w:rsid w:val="00A240B5"/>
    <w:rsid w:val="00A24CEB"/>
    <w:rsid w:val="00A41929"/>
    <w:rsid w:val="00A41FCB"/>
    <w:rsid w:val="00A4717A"/>
    <w:rsid w:val="00A51821"/>
    <w:rsid w:val="00A54D5A"/>
    <w:rsid w:val="00A55912"/>
    <w:rsid w:val="00A60942"/>
    <w:rsid w:val="00A67FC8"/>
    <w:rsid w:val="00A711C4"/>
    <w:rsid w:val="00A73C44"/>
    <w:rsid w:val="00A83579"/>
    <w:rsid w:val="00A8597A"/>
    <w:rsid w:val="00A935F1"/>
    <w:rsid w:val="00A95CF6"/>
    <w:rsid w:val="00A9763A"/>
    <w:rsid w:val="00AA06C2"/>
    <w:rsid w:val="00AA53C4"/>
    <w:rsid w:val="00AC547C"/>
    <w:rsid w:val="00AD28A6"/>
    <w:rsid w:val="00AD29EC"/>
    <w:rsid w:val="00AF7B36"/>
    <w:rsid w:val="00B02842"/>
    <w:rsid w:val="00B06150"/>
    <w:rsid w:val="00B35064"/>
    <w:rsid w:val="00B4306F"/>
    <w:rsid w:val="00B464F0"/>
    <w:rsid w:val="00B53703"/>
    <w:rsid w:val="00B55D6B"/>
    <w:rsid w:val="00B60A85"/>
    <w:rsid w:val="00B6370C"/>
    <w:rsid w:val="00B64BAB"/>
    <w:rsid w:val="00B64DA3"/>
    <w:rsid w:val="00B73362"/>
    <w:rsid w:val="00B733E3"/>
    <w:rsid w:val="00B74288"/>
    <w:rsid w:val="00B742F4"/>
    <w:rsid w:val="00B854F7"/>
    <w:rsid w:val="00B91F76"/>
    <w:rsid w:val="00B93797"/>
    <w:rsid w:val="00B95DD1"/>
    <w:rsid w:val="00B96AAD"/>
    <w:rsid w:val="00BA3523"/>
    <w:rsid w:val="00BA6792"/>
    <w:rsid w:val="00BB7B78"/>
    <w:rsid w:val="00BD444B"/>
    <w:rsid w:val="00BD497E"/>
    <w:rsid w:val="00BE2CDD"/>
    <w:rsid w:val="00C00F80"/>
    <w:rsid w:val="00C04263"/>
    <w:rsid w:val="00C071B6"/>
    <w:rsid w:val="00C10206"/>
    <w:rsid w:val="00C11263"/>
    <w:rsid w:val="00C12516"/>
    <w:rsid w:val="00C12802"/>
    <w:rsid w:val="00C16C03"/>
    <w:rsid w:val="00C20068"/>
    <w:rsid w:val="00C36BD0"/>
    <w:rsid w:val="00C45425"/>
    <w:rsid w:val="00C469D8"/>
    <w:rsid w:val="00C502F9"/>
    <w:rsid w:val="00C50708"/>
    <w:rsid w:val="00C51747"/>
    <w:rsid w:val="00C76D05"/>
    <w:rsid w:val="00C77086"/>
    <w:rsid w:val="00C82F91"/>
    <w:rsid w:val="00C847B1"/>
    <w:rsid w:val="00C91661"/>
    <w:rsid w:val="00C96ADC"/>
    <w:rsid w:val="00C97205"/>
    <w:rsid w:val="00CA4703"/>
    <w:rsid w:val="00CB1EE9"/>
    <w:rsid w:val="00CD06BB"/>
    <w:rsid w:val="00CD0F6D"/>
    <w:rsid w:val="00CD1553"/>
    <w:rsid w:val="00CE38B3"/>
    <w:rsid w:val="00CE4C53"/>
    <w:rsid w:val="00CE6BFA"/>
    <w:rsid w:val="00D01E97"/>
    <w:rsid w:val="00D02121"/>
    <w:rsid w:val="00D109AD"/>
    <w:rsid w:val="00D111BB"/>
    <w:rsid w:val="00D1181A"/>
    <w:rsid w:val="00D14579"/>
    <w:rsid w:val="00D17601"/>
    <w:rsid w:val="00D17F2F"/>
    <w:rsid w:val="00D20FE4"/>
    <w:rsid w:val="00D21A51"/>
    <w:rsid w:val="00D2588E"/>
    <w:rsid w:val="00D27AC6"/>
    <w:rsid w:val="00D342F8"/>
    <w:rsid w:val="00D35147"/>
    <w:rsid w:val="00D463E7"/>
    <w:rsid w:val="00D56E13"/>
    <w:rsid w:val="00D750DF"/>
    <w:rsid w:val="00D75C8E"/>
    <w:rsid w:val="00D867E5"/>
    <w:rsid w:val="00D93E26"/>
    <w:rsid w:val="00D94FEE"/>
    <w:rsid w:val="00D96157"/>
    <w:rsid w:val="00D97516"/>
    <w:rsid w:val="00DA5441"/>
    <w:rsid w:val="00DB2C8E"/>
    <w:rsid w:val="00DB6965"/>
    <w:rsid w:val="00DC6F5F"/>
    <w:rsid w:val="00DE1988"/>
    <w:rsid w:val="00DE2C1D"/>
    <w:rsid w:val="00DE41A5"/>
    <w:rsid w:val="00DE64D5"/>
    <w:rsid w:val="00DE7E0F"/>
    <w:rsid w:val="00DF0886"/>
    <w:rsid w:val="00DF4836"/>
    <w:rsid w:val="00DF54C0"/>
    <w:rsid w:val="00E0336F"/>
    <w:rsid w:val="00E04244"/>
    <w:rsid w:val="00E07160"/>
    <w:rsid w:val="00E10712"/>
    <w:rsid w:val="00E125CA"/>
    <w:rsid w:val="00E12B02"/>
    <w:rsid w:val="00E20A44"/>
    <w:rsid w:val="00E22DEB"/>
    <w:rsid w:val="00E27C0F"/>
    <w:rsid w:val="00E30500"/>
    <w:rsid w:val="00E36150"/>
    <w:rsid w:val="00E515C3"/>
    <w:rsid w:val="00E52AE9"/>
    <w:rsid w:val="00E5421F"/>
    <w:rsid w:val="00E5595F"/>
    <w:rsid w:val="00E5691B"/>
    <w:rsid w:val="00E57781"/>
    <w:rsid w:val="00E57FCB"/>
    <w:rsid w:val="00E70F02"/>
    <w:rsid w:val="00E729BB"/>
    <w:rsid w:val="00E80B6E"/>
    <w:rsid w:val="00E81DAC"/>
    <w:rsid w:val="00E85821"/>
    <w:rsid w:val="00E958B5"/>
    <w:rsid w:val="00EA1E40"/>
    <w:rsid w:val="00EA22ED"/>
    <w:rsid w:val="00EA5BD2"/>
    <w:rsid w:val="00EA742F"/>
    <w:rsid w:val="00EB396C"/>
    <w:rsid w:val="00EC2588"/>
    <w:rsid w:val="00EC7D5A"/>
    <w:rsid w:val="00ED33F0"/>
    <w:rsid w:val="00EE27D8"/>
    <w:rsid w:val="00EF2F8A"/>
    <w:rsid w:val="00EF3F34"/>
    <w:rsid w:val="00EF4217"/>
    <w:rsid w:val="00EF4B78"/>
    <w:rsid w:val="00F0072E"/>
    <w:rsid w:val="00F02D4E"/>
    <w:rsid w:val="00F10FD4"/>
    <w:rsid w:val="00F138A4"/>
    <w:rsid w:val="00F15B4D"/>
    <w:rsid w:val="00F17F13"/>
    <w:rsid w:val="00F2100A"/>
    <w:rsid w:val="00F30384"/>
    <w:rsid w:val="00F30C94"/>
    <w:rsid w:val="00F57E4E"/>
    <w:rsid w:val="00F60F57"/>
    <w:rsid w:val="00F61957"/>
    <w:rsid w:val="00F61DEF"/>
    <w:rsid w:val="00F622FB"/>
    <w:rsid w:val="00F634B3"/>
    <w:rsid w:val="00F65A2F"/>
    <w:rsid w:val="00F66CCB"/>
    <w:rsid w:val="00F67213"/>
    <w:rsid w:val="00F67C1C"/>
    <w:rsid w:val="00F72630"/>
    <w:rsid w:val="00F74158"/>
    <w:rsid w:val="00F97FDE"/>
    <w:rsid w:val="00FB325C"/>
    <w:rsid w:val="00FC5ECF"/>
    <w:rsid w:val="00FC77F4"/>
    <w:rsid w:val="00FD2DC8"/>
    <w:rsid w:val="00FD2DEC"/>
    <w:rsid w:val="00FD6838"/>
    <w:rsid w:val="00FE5E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8766E8-C4E7-4142-86DB-6F218815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F2F"/>
    <w:pPr>
      <w:spacing w:before="120" w:after="120" w:line="276" w:lineRule="auto"/>
      <w:jc w:val="both"/>
    </w:pPr>
    <w:rPr>
      <w:rFonts w:ascii="Calibri" w:hAnsi="Calibri"/>
      <w:sz w:val="22"/>
      <w:szCs w:val="24"/>
      <w:lang w:val="fi-FI" w:eastAsia="zh-CN"/>
    </w:rPr>
  </w:style>
  <w:style w:type="paragraph" w:styleId="Heading1">
    <w:name w:val="heading 1"/>
    <w:basedOn w:val="Normal"/>
    <w:next w:val="Normal"/>
    <w:autoRedefine/>
    <w:qFormat/>
    <w:rsid w:val="005C6DCB"/>
    <w:pPr>
      <w:keepNext/>
      <w:numPr>
        <w:numId w:val="1"/>
      </w:numPr>
      <w:tabs>
        <w:tab w:val="left" w:pos="680"/>
        <w:tab w:val="left" w:pos="851"/>
        <w:tab w:val="left" w:pos="1134"/>
      </w:tabs>
      <w:adjustRightInd w:val="0"/>
      <w:snapToGrid w:val="0"/>
      <w:spacing w:before="600" w:after="240"/>
      <w:ind w:left="431"/>
      <w:jc w:val="left"/>
      <w:outlineLvl w:val="0"/>
    </w:pPr>
    <w:rPr>
      <w:rFonts w:cs="Arial"/>
      <w:bCs/>
      <w:w w:val="90"/>
      <w:kern w:val="32"/>
      <w:sz w:val="48"/>
      <w:szCs w:val="32"/>
      <w:lang w:val="en-GB"/>
    </w:rPr>
  </w:style>
  <w:style w:type="paragraph" w:styleId="Heading2">
    <w:name w:val="heading 2"/>
    <w:basedOn w:val="Normal"/>
    <w:next w:val="Normal"/>
    <w:autoRedefine/>
    <w:qFormat/>
    <w:rsid w:val="003266FE"/>
    <w:pPr>
      <w:keepNext/>
      <w:numPr>
        <w:ilvl w:val="1"/>
        <w:numId w:val="2"/>
      </w:numPr>
      <w:tabs>
        <w:tab w:val="clear" w:pos="1712"/>
        <w:tab w:val="left" w:pos="680"/>
        <w:tab w:val="num" w:pos="1134"/>
      </w:tabs>
      <w:spacing w:before="400"/>
      <w:ind w:left="680" w:hanging="680"/>
      <w:jc w:val="left"/>
      <w:outlineLvl w:val="1"/>
    </w:pPr>
    <w:rPr>
      <w:rFonts w:cs="Arial"/>
      <w:b/>
      <w:bCs/>
      <w:iCs/>
      <w:sz w:val="32"/>
      <w:szCs w:val="28"/>
    </w:rPr>
  </w:style>
  <w:style w:type="paragraph" w:styleId="Heading3">
    <w:name w:val="heading 3"/>
    <w:basedOn w:val="Normal"/>
    <w:next w:val="Normal"/>
    <w:autoRedefine/>
    <w:qFormat/>
    <w:rsid w:val="003266FE"/>
    <w:pPr>
      <w:keepNext/>
      <w:numPr>
        <w:ilvl w:val="2"/>
        <w:numId w:val="2"/>
      </w:numPr>
      <w:tabs>
        <w:tab w:val="left" w:pos="680"/>
        <w:tab w:val="num" w:pos="1134"/>
      </w:tabs>
      <w:spacing w:before="360"/>
      <w:ind w:left="680" w:hanging="680"/>
      <w:jc w:val="left"/>
      <w:outlineLvl w:val="2"/>
    </w:pPr>
    <w:rPr>
      <w:rFonts w:cs="Arial"/>
      <w:b/>
      <w:bCs/>
      <w:sz w:val="26"/>
      <w:szCs w:val="26"/>
    </w:rPr>
  </w:style>
  <w:style w:type="paragraph" w:styleId="Heading4">
    <w:name w:val="heading 4"/>
    <w:basedOn w:val="Normal"/>
    <w:next w:val="Normal"/>
    <w:autoRedefine/>
    <w:qFormat/>
    <w:rsid w:val="00105341"/>
    <w:pPr>
      <w:keepNext/>
      <w:jc w:val="left"/>
      <w:outlineLvl w:val="3"/>
    </w:pPr>
    <w:rPr>
      <w:b/>
      <w:bCs/>
      <w:i/>
      <w:sz w:val="26"/>
      <w:szCs w:val="28"/>
    </w:rPr>
  </w:style>
  <w:style w:type="paragraph" w:styleId="Heading5">
    <w:name w:val="heading 5"/>
    <w:basedOn w:val="Normal"/>
    <w:next w:val="Normal"/>
    <w:qFormat/>
    <w:rsid w:val="00574296"/>
    <w:pPr>
      <w:numPr>
        <w:ilvl w:val="4"/>
        <w:numId w:val="2"/>
      </w:numPr>
      <w:spacing w:before="240" w:after="60"/>
      <w:outlineLvl w:val="4"/>
    </w:pPr>
    <w:rPr>
      <w:b/>
      <w:bCs/>
      <w:i/>
      <w:iCs/>
      <w:sz w:val="26"/>
      <w:szCs w:val="26"/>
    </w:rPr>
  </w:style>
  <w:style w:type="paragraph" w:styleId="Heading6">
    <w:name w:val="heading 6"/>
    <w:basedOn w:val="Normal"/>
    <w:next w:val="Normal"/>
    <w:qFormat/>
    <w:rsid w:val="00574296"/>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rsid w:val="00574296"/>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574296"/>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5742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3ED"/>
    <w:pPr>
      <w:tabs>
        <w:tab w:val="center" w:pos="4513"/>
        <w:tab w:val="right" w:pos="9026"/>
      </w:tabs>
    </w:pPr>
  </w:style>
  <w:style w:type="character" w:customStyle="1" w:styleId="HeaderChar">
    <w:name w:val="Header Char"/>
    <w:basedOn w:val="DefaultParagraphFont"/>
    <w:link w:val="Header"/>
    <w:uiPriority w:val="99"/>
    <w:rsid w:val="009F23ED"/>
    <w:rPr>
      <w:rFonts w:ascii="Calibri" w:hAnsi="Calibri"/>
      <w:sz w:val="24"/>
      <w:szCs w:val="24"/>
      <w:lang w:eastAsia="zh-CN"/>
    </w:rPr>
  </w:style>
  <w:style w:type="paragraph" w:styleId="Footer">
    <w:name w:val="footer"/>
    <w:basedOn w:val="Normal"/>
    <w:autoRedefine/>
    <w:qFormat/>
    <w:rsid w:val="00C12516"/>
    <w:pPr>
      <w:tabs>
        <w:tab w:val="left" w:pos="3402"/>
        <w:tab w:val="left" w:pos="3742"/>
        <w:tab w:val="left" w:pos="4309"/>
      </w:tabs>
      <w:spacing w:before="0" w:after="0" w:line="240" w:lineRule="auto"/>
      <w:jc w:val="center"/>
    </w:pPr>
    <w:rPr>
      <w:sz w:val="18"/>
      <w:szCs w:val="22"/>
    </w:rPr>
  </w:style>
  <w:style w:type="character" w:styleId="PageNumber">
    <w:name w:val="page number"/>
    <w:basedOn w:val="DefaultParagraphFont"/>
    <w:rsid w:val="003D776D"/>
  </w:style>
  <w:style w:type="paragraph" w:customStyle="1" w:styleId="Tableofcontents">
    <w:name w:val="Table of contents"/>
    <w:basedOn w:val="Normal"/>
    <w:qFormat/>
    <w:rsid w:val="00C77086"/>
    <w:pPr>
      <w:spacing w:before="240"/>
      <w:ind w:left="2342" w:right="-1452"/>
    </w:pPr>
    <w:rPr>
      <w:rFonts w:ascii="Arial" w:hAnsi="Arial"/>
      <w:sz w:val="26"/>
      <w:szCs w:val="20"/>
    </w:rPr>
  </w:style>
  <w:style w:type="paragraph" w:customStyle="1" w:styleId="Frontpage-title">
    <w:name w:val="Front page - title"/>
    <w:basedOn w:val="Normal"/>
    <w:autoRedefine/>
    <w:qFormat/>
    <w:rsid w:val="00A51821"/>
    <w:pPr>
      <w:spacing w:before="2160" w:after="0" w:line="240" w:lineRule="auto"/>
      <w:ind w:left="1440" w:right="1412"/>
      <w:jc w:val="center"/>
    </w:pPr>
    <w:rPr>
      <w:w w:val="80"/>
      <w:sz w:val="84"/>
      <w:szCs w:val="20"/>
    </w:rPr>
  </w:style>
  <w:style w:type="paragraph" w:customStyle="1" w:styleId="Frontpage-names">
    <w:name w:val="Front page - names"/>
    <w:basedOn w:val="Normal"/>
    <w:autoRedefine/>
    <w:qFormat/>
    <w:rsid w:val="00291059"/>
    <w:pPr>
      <w:spacing w:before="720" w:line="240" w:lineRule="auto"/>
      <w:ind w:left="2268" w:right="2268"/>
      <w:jc w:val="center"/>
    </w:pPr>
    <w:rPr>
      <w:sz w:val="32"/>
      <w:szCs w:val="20"/>
      <w:lang w:val="en-GB"/>
    </w:rPr>
  </w:style>
  <w:style w:type="paragraph" w:customStyle="1" w:styleId="Secondpage-title">
    <w:name w:val="Second page - title"/>
    <w:basedOn w:val="Normal"/>
    <w:autoRedefine/>
    <w:qFormat/>
    <w:rsid w:val="006062FC"/>
    <w:pPr>
      <w:snapToGrid w:val="0"/>
      <w:spacing w:before="2040" w:after="1920" w:line="240" w:lineRule="auto"/>
      <w:ind w:left="1701" w:right="1418"/>
      <w:jc w:val="left"/>
    </w:pPr>
    <w:rPr>
      <w:w w:val="80"/>
      <w:sz w:val="50"/>
    </w:rPr>
  </w:style>
  <w:style w:type="paragraph" w:customStyle="1" w:styleId="Tableofcontents-title">
    <w:name w:val="Table of contents - title"/>
    <w:basedOn w:val="Normal"/>
    <w:autoRedefine/>
    <w:qFormat/>
    <w:rsid w:val="006062FC"/>
    <w:pPr>
      <w:spacing w:before="0" w:after="0" w:line="240" w:lineRule="auto"/>
      <w:ind w:left="1701" w:right="1418"/>
    </w:pPr>
    <w:rPr>
      <w:b/>
      <w:bCs/>
      <w:sz w:val="26"/>
      <w:szCs w:val="20"/>
    </w:rPr>
  </w:style>
  <w:style w:type="paragraph" w:customStyle="1" w:styleId="Frontpage-header">
    <w:name w:val="Front page - header"/>
    <w:basedOn w:val="Normal"/>
    <w:qFormat/>
    <w:rsid w:val="0031404D"/>
    <w:pPr>
      <w:tabs>
        <w:tab w:val="center" w:pos="4819"/>
        <w:tab w:val="right" w:pos="9638"/>
      </w:tabs>
      <w:spacing w:before="560" w:after="0" w:line="240" w:lineRule="auto"/>
      <w:jc w:val="center"/>
    </w:pPr>
  </w:style>
  <w:style w:type="paragraph" w:customStyle="1" w:styleId="Heading-appendix">
    <w:name w:val="Heading - appendix"/>
    <w:basedOn w:val="Heading1"/>
    <w:next w:val="Normal"/>
    <w:autoRedefine/>
    <w:qFormat/>
    <w:rsid w:val="00574296"/>
    <w:pPr>
      <w:pageBreakBefore/>
      <w:numPr>
        <w:numId w:val="0"/>
      </w:numPr>
    </w:pPr>
  </w:style>
  <w:style w:type="paragraph" w:styleId="FootnoteText">
    <w:name w:val="footnote text"/>
    <w:basedOn w:val="Normal"/>
    <w:link w:val="FootnoteTextChar"/>
    <w:autoRedefine/>
    <w:semiHidden/>
    <w:qFormat/>
    <w:rsid w:val="0019135D"/>
    <w:pPr>
      <w:spacing w:before="0" w:after="60" w:line="240" w:lineRule="auto"/>
      <w:jc w:val="left"/>
    </w:pPr>
    <w:rPr>
      <w:sz w:val="18"/>
      <w:szCs w:val="20"/>
    </w:rPr>
  </w:style>
  <w:style w:type="character" w:styleId="FootnoteReference">
    <w:name w:val="footnote reference"/>
    <w:basedOn w:val="DefaultParagraphFont"/>
    <w:semiHidden/>
    <w:rsid w:val="00186D27"/>
    <w:rPr>
      <w:vertAlign w:val="superscript"/>
    </w:rPr>
  </w:style>
  <w:style w:type="paragraph" w:styleId="TOC1">
    <w:name w:val="toc 1"/>
    <w:basedOn w:val="Normal"/>
    <w:next w:val="Normal"/>
    <w:autoRedefine/>
    <w:uiPriority w:val="39"/>
    <w:rsid w:val="00D01E97"/>
    <w:pPr>
      <w:tabs>
        <w:tab w:val="left" w:pos="2189"/>
        <w:tab w:val="left" w:leader="dot" w:pos="9923"/>
      </w:tabs>
      <w:ind w:left="1701" w:right="1418"/>
      <w:jc w:val="left"/>
    </w:pPr>
    <w:rPr>
      <w:bCs/>
      <w:sz w:val="26"/>
      <w:szCs w:val="20"/>
    </w:rPr>
  </w:style>
  <w:style w:type="paragraph" w:styleId="TOC2">
    <w:name w:val="toc 2"/>
    <w:basedOn w:val="Normal"/>
    <w:next w:val="Normal"/>
    <w:autoRedefine/>
    <w:uiPriority w:val="39"/>
    <w:rsid w:val="00E958B5"/>
    <w:pPr>
      <w:tabs>
        <w:tab w:val="left" w:pos="2756"/>
        <w:tab w:val="left" w:leader="dot" w:pos="9923"/>
      </w:tabs>
      <w:spacing w:before="0" w:after="0" w:line="240" w:lineRule="auto"/>
      <w:ind w:left="2177"/>
      <w:jc w:val="left"/>
    </w:pPr>
    <w:rPr>
      <w:szCs w:val="20"/>
    </w:rPr>
  </w:style>
  <w:style w:type="paragraph" w:styleId="TOC3">
    <w:name w:val="toc 3"/>
    <w:basedOn w:val="Normal"/>
    <w:next w:val="Normal"/>
    <w:autoRedefine/>
    <w:uiPriority w:val="39"/>
    <w:rsid w:val="00E958B5"/>
    <w:pPr>
      <w:tabs>
        <w:tab w:val="left" w:pos="2756"/>
        <w:tab w:val="left" w:leader="dot" w:pos="9923"/>
      </w:tabs>
      <w:spacing w:before="0" w:after="0" w:line="240" w:lineRule="auto"/>
      <w:ind w:left="2177"/>
      <w:jc w:val="left"/>
    </w:pPr>
    <w:rPr>
      <w:i/>
      <w:iCs/>
      <w:szCs w:val="20"/>
    </w:rPr>
  </w:style>
  <w:style w:type="character" w:styleId="Hyperlink">
    <w:name w:val="Hyperlink"/>
    <w:basedOn w:val="DefaultParagraphFont"/>
    <w:uiPriority w:val="99"/>
    <w:qFormat/>
    <w:rsid w:val="00574296"/>
    <w:rPr>
      <w:rFonts w:ascii="Calibri" w:hAnsi="Calibri"/>
      <w:color w:val="0000FF"/>
      <w:sz w:val="26"/>
      <w:u w:val="single"/>
    </w:rPr>
  </w:style>
  <w:style w:type="paragraph" w:styleId="IntenseQuote">
    <w:name w:val="Intense Quote"/>
    <w:basedOn w:val="Normal"/>
    <w:next w:val="Normal"/>
    <w:link w:val="IntenseQuoteChar"/>
    <w:uiPriority w:val="30"/>
    <w:qFormat/>
    <w:rsid w:val="00E20A4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20A44"/>
    <w:rPr>
      <w:rFonts w:ascii="Calibri" w:hAnsi="Calibri"/>
      <w:b/>
      <w:bCs/>
      <w:i/>
      <w:iCs/>
      <w:color w:val="4F81BD"/>
      <w:sz w:val="22"/>
      <w:szCs w:val="24"/>
      <w:lang w:eastAsia="zh-CN"/>
    </w:rPr>
  </w:style>
  <w:style w:type="table" w:styleId="TableGrid">
    <w:name w:val="Table Grid"/>
    <w:basedOn w:val="TableNormal"/>
    <w:rsid w:val="004845D0"/>
    <w:pPr>
      <w:keepLines/>
      <w:spacing w:before="120" w:after="120"/>
      <w:ind w:left="1134"/>
    </w:pPr>
    <w:rPr>
      <w:rFonts w:ascii="Arial" w:hAnsi="Arial"/>
      <w:sz w:val="18"/>
    </w:rPr>
    <w:tblP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style>
  <w:style w:type="paragraph" w:customStyle="1" w:styleId="Tableheading">
    <w:name w:val="Table heading"/>
    <w:basedOn w:val="Normal"/>
    <w:autoRedefine/>
    <w:qFormat/>
    <w:rsid w:val="005C6DCB"/>
    <w:pPr>
      <w:keepNext/>
      <w:spacing w:before="240" w:after="0"/>
      <w:jc w:val="left"/>
    </w:pPr>
    <w:rPr>
      <w:bCs/>
      <w:i/>
      <w:szCs w:val="20"/>
      <w:lang w:val="en-GB"/>
    </w:rPr>
  </w:style>
  <w:style w:type="paragraph" w:customStyle="1" w:styleId="Figureheading">
    <w:name w:val="Figure heading"/>
    <w:basedOn w:val="Normal"/>
    <w:qFormat/>
    <w:rsid w:val="00E20A44"/>
    <w:pPr>
      <w:keepNext/>
      <w:spacing w:before="240" w:after="240"/>
      <w:jc w:val="center"/>
    </w:pPr>
    <w:rPr>
      <w:bCs/>
      <w:i/>
      <w:szCs w:val="20"/>
    </w:rPr>
  </w:style>
  <w:style w:type="paragraph" w:customStyle="1" w:styleId="Tabletext">
    <w:name w:val="Table text"/>
    <w:basedOn w:val="Normal"/>
    <w:autoRedefine/>
    <w:qFormat/>
    <w:rsid w:val="0019135D"/>
    <w:pPr>
      <w:keepLines/>
      <w:ind w:left="72"/>
      <w:jc w:val="left"/>
    </w:pPr>
    <w:rPr>
      <w:b/>
      <w:lang w:val="en-GB"/>
    </w:rPr>
  </w:style>
  <w:style w:type="paragraph" w:customStyle="1" w:styleId="Bulletedlist">
    <w:name w:val="Bulleted list"/>
    <w:basedOn w:val="Normal"/>
    <w:qFormat/>
    <w:rsid w:val="00007AFB"/>
    <w:pPr>
      <w:numPr>
        <w:numId w:val="3"/>
      </w:numPr>
      <w:spacing w:before="0" w:after="240"/>
      <w:contextualSpacing/>
    </w:pPr>
  </w:style>
  <w:style w:type="paragraph" w:styleId="BalloonText">
    <w:name w:val="Balloon Text"/>
    <w:basedOn w:val="Normal"/>
    <w:link w:val="BalloonTextChar"/>
    <w:rsid w:val="001715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15E2"/>
    <w:rPr>
      <w:rFonts w:ascii="Tahoma" w:hAnsi="Tahoma" w:cs="Tahoma"/>
      <w:sz w:val="16"/>
      <w:szCs w:val="16"/>
      <w:lang w:eastAsia="zh-CN"/>
    </w:rPr>
  </w:style>
  <w:style w:type="paragraph" w:customStyle="1" w:styleId="cambria">
    <w:name w:val="cambria"/>
    <w:basedOn w:val="Normal"/>
    <w:link w:val="cambriaChar"/>
    <w:autoRedefine/>
    <w:qFormat/>
    <w:rsid w:val="00007AFB"/>
    <w:rPr>
      <w:rFonts w:ascii="Cambria" w:hAnsi="Cambria"/>
      <w:lang w:val="en-GB"/>
    </w:rPr>
  </w:style>
  <w:style w:type="character" w:customStyle="1" w:styleId="cambriaChar">
    <w:name w:val="cambria Char"/>
    <w:basedOn w:val="DefaultParagraphFont"/>
    <w:link w:val="cambria"/>
    <w:rsid w:val="00007AFB"/>
    <w:rPr>
      <w:rFonts w:ascii="Cambria" w:hAnsi="Cambria"/>
      <w:sz w:val="22"/>
      <w:szCs w:val="24"/>
      <w:lang w:val="en-GB" w:eastAsia="zh-CN"/>
    </w:rPr>
  </w:style>
  <w:style w:type="paragraph" w:customStyle="1" w:styleId="References">
    <w:name w:val="References"/>
    <w:basedOn w:val="Normal"/>
    <w:qFormat/>
    <w:rsid w:val="00843969"/>
    <w:pPr>
      <w:spacing w:before="0" w:after="240" w:line="240" w:lineRule="auto"/>
    </w:pPr>
  </w:style>
  <w:style w:type="paragraph" w:styleId="TOCHeading">
    <w:name w:val="TOC Heading"/>
    <w:basedOn w:val="Heading1"/>
    <w:next w:val="Normal"/>
    <w:uiPriority w:val="39"/>
    <w:qFormat/>
    <w:rsid w:val="00475E90"/>
    <w:pPr>
      <w:keepLines/>
      <w:numPr>
        <w:numId w:val="0"/>
      </w:numPr>
      <w:tabs>
        <w:tab w:val="clear" w:pos="851"/>
        <w:tab w:val="clear" w:pos="1134"/>
      </w:tabs>
      <w:adjustRightInd/>
      <w:snapToGrid/>
      <w:spacing w:before="480" w:after="0"/>
      <w:outlineLvl w:val="9"/>
    </w:pPr>
    <w:rPr>
      <w:rFonts w:ascii="Cambria" w:eastAsia="Times New Roman" w:hAnsi="Cambria" w:cs="Times New Roman"/>
      <w:b/>
      <w:color w:val="365F91"/>
      <w:w w:val="100"/>
      <w:kern w:val="0"/>
      <w:sz w:val="28"/>
      <w:szCs w:val="28"/>
      <w:lang w:val="en-US" w:eastAsia="en-US"/>
    </w:rPr>
  </w:style>
  <w:style w:type="paragraph" w:styleId="ListParagraph">
    <w:name w:val="List Paragraph"/>
    <w:basedOn w:val="Normal"/>
    <w:uiPriority w:val="34"/>
    <w:qFormat/>
    <w:rsid w:val="001D4915"/>
    <w:pPr>
      <w:ind w:left="1304"/>
    </w:pPr>
  </w:style>
  <w:style w:type="paragraph" w:customStyle="1" w:styleId="1202C152D60B4FB6A1D7177AB78DD474">
    <w:name w:val="1202C152D60B4FB6A1D7177AB78DD474"/>
    <w:rsid w:val="00475E90"/>
    <w:pPr>
      <w:spacing w:after="200" w:line="276" w:lineRule="auto"/>
    </w:pPr>
    <w:rPr>
      <w:rFonts w:ascii="Calibri" w:eastAsia="Times New Roman" w:hAnsi="Calibri"/>
      <w:sz w:val="22"/>
      <w:szCs w:val="22"/>
      <w:lang w:val="en-US" w:eastAsia="en-US"/>
    </w:rPr>
  </w:style>
  <w:style w:type="paragraph" w:customStyle="1" w:styleId="Numberedlist">
    <w:name w:val="Numbered list"/>
    <w:basedOn w:val="Bulletedlist"/>
    <w:autoRedefine/>
    <w:qFormat/>
    <w:rsid w:val="0046612C"/>
    <w:pPr>
      <w:numPr>
        <w:numId w:val="0"/>
      </w:numPr>
      <w:spacing w:after="0" w:line="240" w:lineRule="auto"/>
      <w:contextualSpacing w:val="0"/>
      <w:jc w:val="left"/>
    </w:pPr>
    <w:rPr>
      <w:lang w:val="en-GB"/>
    </w:rPr>
  </w:style>
  <w:style w:type="paragraph" w:styleId="CommentSubject">
    <w:name w:val="annotation subject"/>
    <w:basedOn w:val="Normal"/>
    <w:semiHidden/>
    <w:rsid w:val="00E20A44"/>
    <w:rPr>
      <w:b/>
      <w:bCs/>
    </w:rPr>
  </w:style>
  <w:style w:type="paragraph" w:styleId="ListBullet">
    <w:name w:val="List Bullet"/>
    <w:basedOn w:val="Normal"/>
    <w:rsid w:val="00DE2C1D"/>
    <w:pPr>
      <w:numPr>
        <w:numId w:val="7"/>
      </w:numPr>
      <w:snapToGrid w:val="0"/>
      <w:spacing w:before="0" w:after="240"/>
      <w:ind w:left="357" w:hanging="357"/>
    </w:pPr>
  </w:style>
  <w:style w:type="table" w:styleId="LightShading-Accent5">
    <w:name w:val="Light Shading Accent 5"/>
    <w:basedOn w:val="TableNormal"/>
    <w:uiPriority w:val="60"/>
    <w:rsid w:val="0067178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rsid w:val="00156678"/>
    <w:rPr>
      <w:color w:val="800080" w:themeColor="followedHyperlink"/>
      <w:u w:val="single"/>
    </w:rPr>
  </w:style>
  <w:style w:type="character" w:styleId="CommentReference">
    <w:name w:val="annotation reference"/>
    <w:basedOn w:val="DefaultParagraphFont"/>
    <w:rsid w:val="007C0830"/>
    <w:rPr>
      <w:sz w:val="16"/>
      <w:szCs w:val="16"/>
    </w:rPr>
  </w:style>
  <w:style w:type="paragraph" w:styleId="CommentText">
    <w:name w:val="annotation text"/>
    <w:basedOn w:val="Normal"/>
    <w:link w:val="CommentTextChar"/>
    <w:rsid w:val="007C0830"/>
    <w:pPr>
      <w:spacing w:line="240" w:lineRule="auto"/>
    </w:pPr>
    <w:rPr>
      <w:sz w:val="20"/>
      <w:szCs w:val="20"/>
    </w:rPr>
  </w:style>
  <w:style w:type="character" w:customStyle="1" w:styleId="CommentTextChar">
    <w:name w:val="Comment Text Char"/>
    <w:basedOn w:val="DefaultParagraphFont"/>
    <w:link w:val="CommentText"/>
    <w:rsid w:val="007C0830"/>
    <w:rPr>
      <w:rFonts w:ascii="Calibri" w:hAnsi="Calibri"/>
      <w:lang w:val="fi-FI" w:eastAsia="zh-CN"/>
    </w:rPr>
  </w:style>
  <w:style w:type="table" w:styleId="LightShading-Accent4">
    <w:name w:val="Light Shading Accent 4"/>
    <w:basedOn w:val="TableNormal"/>
    <w:uiPriority w:val="60"/>
    <w:rsid w:val="006968D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06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06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8582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7B6A2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2">
    <w:name w:val="Light Shading - Accent 12"/>
    <w:basedOn w:val="TableNormal"/>
    <w:uiPriority w:val="60"/>
    <w:rsid w:val="007B6A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D28A6"/>
    <w:pPr>
      <w:spacing w:before="100" w:beforeAutospacing="1" w:after="100" w:afterAutospacing="1" w:line="240" w:lineRule="auto"/>
      <w:jc w:val="left"/>
    </w:pPr>
    <w:rPr>
      <w:rFonts w:ascii="Times New Roman" w:eastAsia="Times New Roman" w:hAnsi="Times New Roman"/>
      <w:sz w:val="24"/>
      <w:lang w:eastAsia="fi-FI"/>
    </w:rPr>
  </w:style>
  <w:style w:type="character" w:customStyle="1" w:styleId="FootnoteTextChar">
    <w:name w:val="Footnote Text Char"/>
    <w:link w:val="FootnoteText"/>
    <w:semiHidden/>
    <w:rsid w:val="00AD28A6"/>
    <w:rPr>
      <w:rFonts w:ascii="Calibri" w:hAnsi="Calibri"/>
      <w:sz w:val="18"/>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074">
      <w:bodyDiv w:val="1"/>
      <w:marLeft w:val="0"/>
      <w:marRight w:val="0"/>
      <w:marTop w:val="0"/>
      <w:marBottom w:val="0"/>
      <w:divBdr>
        <w:top w:val="none" w:sz="0" w:space="0" w:color="auto"/>
        <w:left w:val="none" w:sz="0" w:space="0" w:color="auto"/>
        <w:bottom w:val="none" w:sz="0" w:space="0" w:color="auto"/>
        <w:right w:val="none" w:sz="0" w:space="0" w:color="auto"/>
      </w:divBdr>
    </w:div>
    <w:div w:id="1399475154">
      <w:bodyDiv w:val="1"/>
      <w:marLeft w:val="0"/>
      <w:marRight w:val="0"/>
      <w:marTop w:val="0"/>
      <w:marBottom w:val="0"/>
      <w:divBdr>
        <w:top w:val="none" w:sz="0" w:space="0" w:color="auto"/>
        <w:left w:val="none" w:sz="0" w:space="0" w:color="auto"/>
        <w:bottom w:val="none" w:sz="0" w:space="0" w:color="auto"/>
        <w:right w:val="none" w:sz="0" w:space="0" w:color="auto"/>
      </w:divBdr>
    </w:div>
    <w:div w:id="1557936931">
      <w:bodyDiv w:val="1"/>
      <w:marLeft w:val="0"/>
      <w:marRight w:val="0"/>
      <w:marTop w:val="0"/>
      <w:marBottom w:val="0"/>
      <w:divBdr>
        <w:top w:val="none" w:sz="0" w:space="0" w:color="auto"/>
        <w:left w:val="none" w:sz="0" w:space="0" w:color="auto"/>
        <w:bottom w:val="none" w:sz="0" w:space="0" w:color="auto"/>
        <w:right w:val="none" w:sz="0" w:space="0" w:color="auto"/>
      </w:divBdr>
    </w:div>
    <w:div w:id="1630015056">
      <w:bodyDiv w:val="1"/>
      <w:marLeft w:val="0"/>
      <w:marRight w:val="0"/>
      <w:marTop w:val="0"/>
      <w:marBottom w:val="0"/>
      <w:divBdr>
        <w:top w:val="none" w:sz="0" w:space="0" w:color="auto"/>
        <w:left w:val="none" w:sz="0" w:space="0" w:color="auto"/>
        <w:bottom w:val="none" w:sz="0" w:space="0" w:color="auto"/>
        <w:right w:val="none" w:sz="0" w:space="0" w:color="auto"/>
      </w:divBdr>
    </w:div>
    <w:div w:id="1669088957">
      <w:bodyDiv w:val="1"/>
      <w:marLeft w:val="0"/>
      <w:marRight w:val="0"/>
      <w:marTop w:val="0"/>
      <w:marBottom w:val="0"/>
      <w:divBdr>
        <w:top w:val="none" w:sz="0" w:space="0" w:color="auto"/>
        <w:left w:val="none" w:sz="0" w:space="0" w:color="auto"/>
        <w:bottom w:val="none" w:sz="0" w:space="0" w:color="auto"/>
        <w:right w:val="none" w:sz="0" w:space="0" w:color="auto"/>
      </w:divBdr>
    </w:div>
    <w:div w:id="1888058381">
      <w:bodyDiv w:val="1"/>
      <w:marLeft w:val="0"/>
      <w:marRight w:val="0"/>
      <w:marTop w:val="0"/>
      <w:marBottom w:val="0"/>
      <w:divBdr>
        <w:top w:val="none" w:sz="0" w:space="0" w:color="auto"/>
        <w:left w:val="none" w:sz="0" w:space="0" w:color="auto"/>
        <w:bottom w:val="none" w:sz="0" w:space="0" w:color="auto"/>
        <w:right w:val="none" w:sz="0" w:space="0" w:color="auto"/>
      </w:divBdr>
    </w:div>
    <w:div w:id="1954896951">
      <w:bodyDiv w:val="1"/>
      <w:marLeft w:val="0"/>
      <w:marRight w:val="0"/>
      <w:marTop w:val="0"/>
      <w:marBottom w:val="0"/>
      <w:divBdr>
        <w:top w:val="none" w:sz="0" w:space="0" w:color="auto"/>
        <w:left w:val="none" w:sz="0" w:space="0" w:color="auto"/>
        <w:bottom w:val="none" w:sz="0" w:space="0" w:color="auto"/>
        <w:right w:val="none" w:sz="0" w:space="0" w:color="auto"/>
      </w:divBdr>
    </w:div>
    <w:div w:id="2014724295">
      <w:bodyDiv w:val="1"/>
      <w:marLeft w:val="0"/>
      <w:marRight w:val="0"/>
      <w:marTop w:val="0"/>
      <w:marBottom w:val="0"/>
      <w:divBdr>
        <w:top w:val="none" w:sz="0" w:space="0" w:color="auto"/>
        <w:left w:val="none" w:sz="0" w:space="0" w:color="auto"/>
        <w:bottom w:val="none" w:sz="0" w:space="0" w:color="auto"/>
        <w:right w:val="none" w:sz="0" w:space="0" w:color="auto"/>
      </w:divBdr>
      <w:divsChild>
        <w:div w:id="127147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hyperlink" Target="http://ec.europa.eu/energy/evaluations/doc/2011_iee2_programme.pdf" TargetMode="External"/><Relationship Id="rId26" Type="http://schemas.openxmlformats.org/officeDocument/2006/relationships/hyperlink" Target="http://edrgroup.com/pdf/econ-impact-primer.pdf" TargetMode="External"/><Relationship Id="rId3" Type="http://schemas.openxmlformats.org/officeDocument/2006/relationships/styles" Target="styles.xml"/><Relationship Id="rId21" Type="http://schemas.openxmlformats.org/officeDocument/2006/relationships/hyperlink" Target="http://www.iaia.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9.emf"/><Relationship Id="rId25" Type="http://schemas.openxmlformats.org/officeDocument/2006/relationships/hyperlink" Target="http://iaia.org/publicdocuments/sections/sia/IAIA-SIA-International-Principles.pdf"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bath.ac.uk/~hssam/greensense/gsensefinalexecsum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eb2.concordia.ca/iaia/index.php"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iaia.org/publicdocuments/special-publications/Principles%20of%20IA_web.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ec.europa.eu/europeaid/evaluation/methodology/tools/too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hyperlink" Target="http://www.iaia.org/publicdocuments/special-publications/What%20is%20IA_web.pdf" TargetMode="External"/><Relationship Id="rId27"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B775A1-1F6A-4929-9669-9A6147EC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5539</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Name of the document</vt:lpstr>
    </vt:vector>
  </TitlesOfParts>
  <Company>Gaia Consulting Oy</Company>
  <LinksUpToDate>false</LinksUpToDate>
  <CharactersWithSpaces>37591</CharactersWithSpaces>
  <SharedDoc>false</SharedDoc>
  <HLinks>
    <vt:vector size="72" baseType="variant">
      <vt:variant>
        <vt:i4>4718665</vt:i4>
      </vt:variant>
      <vt:variant>
        <vt:i4>66</vt:i4>
      </vt:variant>
      <vt:variant>
        <vt:i4>0</vt:i4>
      </vt:variant>
      <vt:variant>
        <vt:i4>5</vt:i4>
      </vt:variant>
      <vt:variant>
        <vt:lpwstr>http://www.cs.tut.fi/~jkorpela/suomi/indeksi.html</vt:lpwstr>
      </vt:variant>
      <vt:variant>
        <vt:lpwstr/>
      </vt:variant>
      <vt:variant>
        <vt:i4>1376337</vt:i4>
      </vt:variant>
      <vt:variant>
        <vt:i4>63</vt:i4>
      </vt:variant>
      <vt:variant>
        <vt:i4>0</vt:i4>
      </vt:variant>
      <vt:variant>
        <vt:i4>5</vt:i4>
      </vt:variant>
      <vt:variant>
        <vt:lpwstr>http://www.kotus.fi/index.phtml?s=297</vt:lpwstr>
      </vt:variant>
      <vt:variant>
        <vt:lpwstr/>
      </vt:variant>
      <vt:variant>
        <vt:i4>1638448</vt:i4>
      </vt:variant>
      <vt:variant>
        <vt:i4>56</vt:i4>
      </vt:variant>
      <vt:variant>
        <vt:i4>0</vt:i4>
      </vt:variant>
      <vt:variant>
        <vt:i4>5</vt:i4>
      </vt:variant>
      <vt:variant>
        <vt:lpwstr/>
      </vt:variant>
      <vt:variant>
        <vt:lpwstr>_Toc223104194</vt:lpwstr>
      </vt:variant>
      <vt:variant>
        <vt:i4>1638448</vt:i4>
      </vt:variant>
      <vt:variant>
        <vt:i4>50</vt:i4>
      </vt:variant>
      <vt:variant>
        <vt:i4>0</vt:i4>
      </vt:variant>
      <vt:variant>
        <vt:i4>5</vt:i4>
      </vt:variant>
      <vt:variant>
        <vt:lpwstr/>
      </vt:variant>
      <vt:variant>
        <vt:lpwstr>_Toc223104193</vt:lpwstr>
      </vt:variant>
      <vt:variant>
        <vt:i4>1638448</vt:i4>
      </vt:variant>
      <vt:variant>
        <vt:i4>44</vt:i4>
      </vt:variant>
      <vt:variant>
        <vt:i4>0</vt:i4>
      </vt:variant>
      <vt:variant>
        <vt:i4>5</vt:i4>
      </vt:variant>
      <vt:variant>
        <vt:lpwstr/>
      </vt:variant>
      <vt:variant>
        <vt:lpwstr>_Toc223104192</vt:lpwstr>
      </vt:variant>
      <vt:variant>
        <vt:i4>1638448</vt:i4>
      </vt:variant>
      <vt:variant>
        <vt:i4>38</vt:i4>
      </vt:variant>
      <vt:variant>
        <vt:i4>0</vt:i4>
      </vt:variant>
      <vt:variant>
        <vt:i4>5</vt:i4>
      </vt:variant>
      <vt:variant>
        <vt:lpwstr/>
      </vt:variant>
      <vt:variant>
        <vt:lpwstr>_Toc223104191</vt:lpwstr>
      </vt:variant>
      <vt:variant>
        <vt:i4>1638448</vt:i4>
      </vt:variant>
      <vt:variant>
        <vt:i4>32</vt:i4>
      </vt:variant>
      <vt:variant>
        <vt:i4>0</vt:i4>
      </vt:variant>
      <vt:variant>
        <vt:i4>5</vt:i4>
      </vt:variant>
      <vt:variant>
        <vt:lpwstr/>
      </vt:variant>
      <vt:variant>
        <vt:lpwstr>_Toc223104190</vt:lpwstr>
      </vt:variant>
      <vt:variant>
        <vt:i4>1572912</vt:i4>
      </vt:variant>
      <vt:variant>
        <vt:i4>26</vt:i4>
      </vt:variant>
      <vt:variant>
        <vt:i4>0</vt:i4>
      </vt:variant>
      <vt:variant>
        <vt:i4>5</vt:i4>
      </vt:variant>
      <vt:variant>
        <vt:lpwstr/>
      </vt:variant>
      <vt:variant>
        <vt:lpwstr>_Toc223104189</vt:lpwstr>
      </vt:variant>
      <vt:variant>
        <vt:i4>1572912</vt:i4>
      </vt:variant>
      <vt:variant>
        <vt:i4>20</vt:i4>
      </vt:variant>
      <vt:variant>
        <vt:i4>0</vt:i4>
      </vt:variant>
      <vt:variant>
        <vt:i4>5</vt:i4>
      </vt:variant>
      <vt:variant>
        <vt:lpwstr/>
      </vt:variant>
      <vt:variant>
        <vt:lpwstr>_Toc223104188</vt:lpwstr>
      </vt:variant>
      <vt:variant>
        <vt:i4>1572912</vt:i4>
      </vt:variant>
      <vt:variant>
        <vt:i4>14</vt:i4>
      </vt:variant>
      <vt:variant>
        <vt:i4>0</vt:i4>
      </vt:variant>
      <vt:variant>
        <vt:i4>5</vt:i4>
      </vt:variant>
      <vt:variant>
        <vt:lpwstr/>
      </vt:variant>
      <vt:variant>
        <vt:lpwstr>_Toc223104187</vt:lpwstr>
      </vt:variant>
      <vt:variant>
        <vt:i4>1572912</vt:i4>
      </vt:variant>
      <vt:variant>
        <vt:i4>8</vt:i4>
      </vt:variant>
      <vt:variant>
        <vt:i4>0</vt:i4>
      </vt:variant>
      <vt:variant>
        <vt:i4>5</vt:i4>
      </vt:variant>
      <vt:variant>
        <vt:lpwstr/>
      </vt:variant>
      <vt:variant>
        <vt:lpwstr>_Toc223104186</vt:lpwstr>
      </vt:variant>
      <vt:variant>
        <vt:i4>1572912</vt:i4>
      </vt:variant>
      <vt:variant>
        <vt:i4>2</vt:i4>
      </vt:variant>
      <vt:variant>
        <vt:i4>0</vt:i4>
      </vt:variant>
      <vt:variant>
        <vt:i4>5</vt:i4>
      </vt:variant>
      <vt:variant>
        <vt:lpwstr/>
      </vt:variant>
      <vt:variant>
        <vt:lpwstr>_Toc223104185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Julia Illman</dc:creator>
  <cp:lastModifiedBy>Kätlin Klemmer</cp:lastModifiedBy>
  <cp:revision>2</cp:revision>
  <cp:lastPrinted>2009-02-11T18:24:00Z</cp:lastPrinted>
  <dcterms:created xsi:type="dcterms:W3CDTF">2018-10-04T13:26:00Z</dcterms:created>
  <dcterms:modified xsi:type="dcterms:W3CDTF">2018-10-04T13:26:00Z</dcterms:modified>
</cp:coreProperties>
</file>