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8D0" w14:textId="2EC49968" w:rsidR="00301BC6" w:rsidRPr="000F3642" w:rsidRDefault="00F01229" w:rsidP="00407792">
      <w:pPr>
        <w:spacing w:after="120" w:line="280" w:lineRule="atLeast"/>
        <w:rPr>
          <w:rFonts w:ascii="Helvetica" w:eastAsia="Cambria" w:hAnsi="Helvetica" w:cs="Helvetica"/>
          <w:b/>
          <w:sz w:val="16"/>
          <w:szCs w:val="16"/>
          <w:lang w:val="en-GB"/>
        </w:rPr>
      </w:pPr>
      <w:r>
        <w:rPr>
          <w:rFonts w:ascii="Helvetica" w:eastAsia="Cambria" w:hAnsi="Helvetica" w:cs="Helvetica"/>
          <w:b/>
          <w:bCs/>
          <w:sz w:val="28"/>
          <w:szCs w:val="28"/>
          <w:lang w:val="en-GB"/>
        </w:rPr>
        <w:t>Data</w:t>
      </w:r>
      <w:r w:rsidR="00301BC6" w:rsidRPr="000F3642">
        <w:rPr>
          <w:rFonts w:ascii="Helvetica" w:eastAsia="Cambria" w:hAnsi="Helvetica" w:cs="Helvetica"/>
          <w:b/>
          <w:bCs/>
          <w:sz w:val="28"/>
          <w:szCs w:val="28"/>
          <w:lang w:val="en-GB"/>
        </w:rPr>
        <w:t xml:space="preserve"> Exchange Platform Agreement No</w:t>
      </w:r>
      <w:r w:rsidR="00A80E52">
        <w:rPr>
          <w:rFonts w:ascii="Helvetica" w:eastAsia="Cambria" w:hAnsi="Helvetica" w:cs="Helvetica"/>
          <w:b/>
          <w:bCs/>
          <w:sz w:val="28"/>
          <w:szCs w:val="28"/>
          <w:lang w:val="en-GB"/>
        </w:rPr>
        <w:t xml:space="preserve"> …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6"/>
        <w:gridCol w:w="1558"/>
        <w:gridCol w:w="757"/>
        <w:gridCol w:w="944"/>
        <w:gridCol w:w="1371"/>
        <w:gridCol w:w="266"/>
        <w:gridCol w:w="1177"/>
        <w:gridCol w:w="872"/>
      </w:tblGrid>
      <w:tr w:rsidR="00301BC6" w:rsidRPr="000F3642" w14:paraId="4D7A1BCA" w14:textId="77777777" w:rsidTr="00173DE3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76B6B" w14:textId="4728EA0C" w:rsidR="00301BC6" w:rsidRPr="000F364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 xml:space="preserve">Elering AS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(hereinafter: the </w:t>
            </w: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>TSO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9893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Registration number: 11022625</w:t>
            </w:r>
          </w:p>
        </w:tc>
      </w:tr>
      <w:tr w:rsidR="00301BC6" w:rsidRPr="000F3642" w14:paraId="6384D0B4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8ECCC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134D5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Registered address: Kadaka tee 42, Tallinn 12915</w:t>
            </w:r>
          </w:p>
        </w:tc>
      </w:tr>
      <w:tr w:rsidR="00301BC6" w:rsidRPr="000F3642" w14:paraId="2BC6387C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77702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D7DF7" w14:textId="49E22F30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On the basis of authorisation of the representative: Marie Kalmet</w:t>
            </w:r>
          </w:p>
        </w:tc>
      </w:tr>
      <w:tr w:rsidR="00301BC6" w:rsidRPr="000F3642" w14:paraId="2E79C668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1B906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3FC11" w14:textId="7F3393B1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Contact person: Kajali Kotsar</w:t>
            </w:r>
          </w:p>
        </w:tc>
      </w:tr>
      <w:tr w:rsidR="00301BC6" w:rsidRPr="000F3642" w14:paraId="2D6FBFAB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6065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7C9A6" w14:textId="7C98779E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Email: info@elering.ee</w:t>
            </w:r>
          </w:p>
        </w:tc>
      </w:tr>
      <w:tr w:rsidR="00301BC6" w:rsidRPr="000F3642" w14:paraId="654610BD" w14:textId="77777777" w:rsidTr="00173DE3">
        <w:trPr>
          <w:trHeight w:val="486"/>
        </w:trPr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8DF36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7D728" w14:textId="775A3ADF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Telephone: +3727151222</w:t>
            </w:r>
          </w:p>
        </w:tc>
      </w:tr>
      <w:tr w:rsidR="00301BC6" w:rsidRPr="000F3642" w14:paraId="1D0500E8" w14:textId="77777777" w:rsidTr="00173DE3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0EA9A" w14:textId="7B209327" w:rsidR="00301BC6" w:rsidRPr="000F364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 xml:space="preserve">………….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(hereinafter: the </w:t>
            </w: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>User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503F2" w14:textId="2918B93C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Registration number: </w:t>
            </w:r>
          </w:p>
        </w:tc>
      </w:tr>
      <w:tr w:rsidR="00301BC6" w:rsidRPr="000F3642" w14:paraId="15483F0F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07B47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63913" w14:textId="3487042C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Registered address: </w:t>
            </w:r>
          </w:p>
        </w:tc>
      </w:tr>
      <w:tr w:rsidR="00301BC6" w:rsidRPr="000F3642" w14:paraId="3E18D05C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7DBEC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CB7ED" w14:textId="3AB7C980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Representative: </w:t>
            </w:r>
          </w:p>
        </w:tc>
      </w:tr>
      <w:tr w:rsidR="00301BC6" w:rsidRPr="000F3642" w14:paraId="01764E05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E1FB4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324C4" w14:textId="37BA1236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Contact person: </w:t>
            </w:r>
          </w:p>
        </w:tc>
      </w:tr>
      <w:tr w:rsidR="00301BC6" w:rsidRPr="000F3642" w14:paraId="789E72F3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BCEFD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08A18" w14:textId="78596BDE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Email: </w:t>
            </w:r>
          </w:p>
        </w:tc>
      </w:tr>
      <w:tr w:rsidR="00301BC6" w:rsidRPr="000F3642" w14:paraId="3401C777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CCD9F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9403B" w14:textId="198C2414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Telephone: </w:t>
            </w:r>
          </w:p>
        </w:tc>
      </w:tr>
      <w:tr w:rsidR="0089258D" w:rsidRPr="000F3642" w14:paraId="0500F7B7" w14:textId="77777777" w:rsidTr="00173DE3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4D649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Administrator of User</w:t>
            </w:r>
          </w:p>
          <w:p w14:paraId="7363425B" w14:textId="17E68FBF" w:rsidR="00D06DEE" w:rsidRPr="000F3642" w:rsidRDefault="00D06DEE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 xml:space="preserve">(The role of the administrator is regulated in the General Terms &amp; Conditions of the Live Environment of </w:t>
            </w:r>
            <w:r w:rsidR="00F01229">
              <w:rPr>
                <w:rFonts w:ascii="Helvetica" w:hAnsi="Helvetica"/>
                <w:sz w:val="16"/>
                <w:szCs w:val="16"/>
                <w:lang w:val="en-GB"/>
              </w:rPr>
              <w:t>the Data</w:t>
            </w: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 xml:space="preserve"> Exchange Platform)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9CE89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ID code:</w:t>
            </w:r>
          </w:p>
          <w:p w14:paraId="2D613C22" w14:textId="1CA33CD1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61C78" w14:textId="77777777" w:rsidR="000F3642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First name:</w:t>
            </w:r>
          </w:p>
          <w:p w14:paraId="064CA911" w14:textId="27BB2ACF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B14EE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Surname:</w:t>
            </w:r>
          </w:p>
          <w:p w14:paraId="45FE93F1" w14:textId="54251412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8D843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Email:</w:t>
            </w:r>
          </w:p>
          <w:p w14:paraId="527E692E" w14:textId="4F06D4F8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9F702E" w:rsidRPr="000F3642" w14:paraId="5B46F7B5" w14:textId="77777777" w:rsidTr="00173DE3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F155E" w14:textId="77777777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Authorised employee of the User*</w:t>
            </w:r>
          </w:p>
          <w:p w14:paraId="0A49AB4A" w14:textId="174C90AE" w:rsidR="00374C11" w:rsidRPr="000F3642" w:rsidRDefault="00374C11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>(fill in if the TSO manages the authorised employees of the User)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CF0DA" w14:textId="412B8B04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ID code: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0B32A" w14:textId="4D886E74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60F2D" w14:textId="2166E43F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2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FEAD" w14:textId="379BC805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Email:</w:t>
            </w:r>
          </w:p>
        </w:tc>
      </w:tr>
      <w:tr w:rsidR="00E27AF6" w:rsidRPr="000F3642" w14:paraId="2056CA5B" w14:textId="77777777" w:rsidTr="00173DE3">
        <w:tc>
          <w:tcPr>
            <w:tcW w:w="93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BE5AC" w14:textId="563855B8" w:rsidR="00E27AF6" w:rsidRPr="000F3642" w:rsidRDefault="00E27AF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The User and the TSO have agreed to use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(as defined in the Electricity Market Act) under the following terms and conditions:</w:t>
            </w:r>
          </w:p>
        </w:tc>
      </w:tr>
      <w:tr w:rsidR="007327DB" w:rsidRPr="000F3642" w14:paraId="123D20E4" w14:textId="77777777" w:rsidTr="00173DE3">
        <w:trPr>
          <w:trHeight w:val="567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119C7" w14:textId="117103B3" w:rsidR="007327DB" w:rsidRPr="000F3642" w:rsidRDefault="007327DB" w:rsidP="00E47FC2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Role of the user on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 xml:space="preserve">Data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Exchange Platform under the Electricity Market Act</w:t>
            </w: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9B3F" w14:textId="5E2BEDFA" w:rsidR="007327DB" w:rsidRPr="000F364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Open supplier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13911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FAA82" w14:textId="73C41B02" w:rsidR="007327DB" w:rsidRPr="000F364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Network operator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-19317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6B225" w14:textId="36748B69" w:rsidR="007327DB" w:rsidRPr="000F364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Balance provider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-18768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7327DB" w:rsidRPr="000F3642" w14:paraId="15CF4F50" w14:textId="77777777" w:rsidTr="00173DE3">
        <w:trPr>
          <w:trHeight w:val="567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4233D" w14:textId="77777777" w:rsidR="007327DB" w:rsidRPr="000F3642" w:rsidRDefault="007327DB" w:rsidP="00E47FC2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ED77E" w14:textId="1B6D05E7" w:rsidR="007327DB" w:rsidRPr="000F3642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Line possessor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14304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DCCF3" w14:textId="606A54D8" w:rsidR="007327DB" w:rsidRPr="000F3642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Producer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3264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8B6F3" w14:textId="25176146" w:rsidR="007327DB" w:rsidRPr="000F3642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Aggregator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731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7327DB" w:rsidRPr="000F3642" w14:paraId="52C8F34A" w14:textId="77777777" w:rsidTr="00173DE3">
        <w:trPr>
          <w:trHeight w:val="1609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26B08" w14:textId="77777777" w:rsidR="007327DB" w:rsidRPr="000F3642" w:rsidRDefault="007327DB" w:rsidP="00E47FC2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9F9C2" w14:textId="655066A6" w:rsidR="007327DB" w:rsidRPr="000F3642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Closed distribution network possessor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20470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F4AB0" w14:textId="3BAFF61B" w:rsidR="007327DB" w:rsidRPr="000F3642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eastAsia="MS Gothic" w:hAnsi="Helvetica"/>
                <w:sz w:val="20"/>
                <w:szCs w:val="20"/>
                <w:lang w:val="en-GB"/>
              </w:rPr>
              <w:t xml:space="preserve">Charging point operator </w:t>
            </w:r>
            <w:sdt>
              <w:sdtPr>
                <w:rPr>
                  <w:rFonts w:ascii="Helvetica" w:eastAsia="MS Gothic" w:hAnsi="Helvetica"/>
                  <w:sz w:val="20"/>
                  <w:szCs w:val="20"/>
                  <w:lang w:val="en-GB"/>
                </w:rPr>
                <w:id w:val="8220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0E9DF" w14:textId="1389C6BD" w:rsidR="007327DB" w:rsidRPr="000F364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825AFC" w:rsidRPr="000F3642" w14:paraId="5FDDFD6D" w14:textId="77777777" w:rsidTr="00173DE3">
        <w:trPr>
          <w:trHeight w:val="708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0B141" w14:textId="37FC2B7C" w:rsidR="00825AFC" w:rsidRPr="000F3642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lastRenderedPageBreak/>
              <w:t xml:space="preserve">Purpose for which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 xml:space="preserve">data are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used based on customer’s consent*</w:t>
            </w:r>
          </w:p>
          <w:p w14:paraId="5AB3732E" w14:textId="5E8A23B1" w:rsidR="00825AFC" w:rsidRPr="000F3642" w:rsidRDefault="00825AFC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>(to be filled in only by an open supplier, aggregator)</w:t>
            </w:r>
          </w:p>
        </w:tc>
        <w:tc>
          <w:tcPr>
            <w:tcW w:w="6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B2DD0" w14:textId="77777777" w:rsidR="00825AFC" w:rsidRPr="000F3642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Open supplier: Processing of metering point data and metering data for the purpose of making a personal price quote. The selected electricity seller is the data controller.</w:t>
            </w:r>
          </w:p>
          <w:p w14:paraId="753340C6" w14:textId="10BE89EB" w:rsidR="00825AFC" w:rsidRPr="000F3642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Helvetica" w:hAnsi="Helvetica"/>
              <w:sz w:val="20"/>
              <w:szCs w:val="20"/>
              <w:lang w:val="en-GB"/>
            </w:rPr>
            <w:id w:val="21025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single" w:sz="4" w:space="0" w:color="00000A"/>
                  <w:left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3156894C" w14:textId="279E8DEC" w:rsidR="00825AFC" w:rsidRPr="000F3642" w:rsidRDefault="001E40E5" w:rsidP="004F0F38">
                <w:pPr>
                  <w:spacing w:before="120" w:after="120"/>
                  <w:jc w:val="both"/>
                  <w:rPr>
                    <w:rFonts w:ascii="Helvetica" w:hAnsi="Helvetica"/>
                    <w:sz w:val="20"/>
                    <w:szCs w:val="20"/>
                    <w:lang w:val="en-GB"/>
                  </w:rPr>
                </w:pPr>
                <w:r w:rsidRPr="000F3642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5AFC" w:rsidRPr="000F3642" w14:paraId="6E234D5E" w14:textId="77777777" w:rsidTr="00173DE3">
        <w:trPr>
          <w:trHeight w:val="708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4E797" w14:textId="77777777" w:rsidR="00825AFC" w:rsidRPr="000F3642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55151" w14:textId="50D01536" w:rsidR="00825AFC" w:rsidRPr="000F3642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Aggregator: Processing of metering point data and metering data for the purpose of providing aggregation services. The selected aggregator is the data controller.</w:t>
            </w:r>
          </w:p>
        </w:tc>
        <w:sdt>
          <w:sdtPr>
            <w:rPr>
              <w:rFonts w:ascii="Helvetica" w:hAnsi="Helvetica"/>
              <w:sz w:val="20"/>
              <w:szCs w:val="20"/>
              <w:lang w:val="en-GB"/>
            </w:rPr>
            <w:id w:val="146823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640D5283" w14:textId="4A30284E" w:rsidR="00825AFC" w:rsidRPr="000F3642" w:rsidRDefault="00A90882" w:rsidP="004F0F38">
                <w:pPr>
                  <w:spacing w:before="120" w:after="120"/>
                  <w:jc w:val="both"/>
                  <w:rPr>
                    <w:rFonts w:ascii="Helvetica" w:hAnsi="Helvetica"/>
                    <w:sz w:val="20"/>
                    <w:szCs w:val="20"/>
                    <w:lang w:val="en-GB"/>
                  </w:rPr>
                </w:pPr>
                <w:r w:rsidRPr="000F364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2244" w:rsidRPr="000F3642" w14:paraId="4D2F876F" w14:textId="77777777" w:rsidTr="00122244">
        <w:tc>
          <w:tcPr>
            <w:tcW w:w="9351" w:type="dxa"/>
          </w:tcPr>
          <w:p w14:paraId="530355AF" w14:textId="70606A9F" w:rsidR="00122244" w:rsidRPr="000F3642" w:rsidRDefault="00122244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Pursuant to this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Agreement (hereinafter: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EP Agreement), the TSO grants the User the right to use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in the role and for the purposes set out in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EP Agreement and in accordance with the General Terms &amp; Conditions of the Live Environment of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(hereinafter: the T&amp;C). The User undertakes to comply with the T&amp;C throughout the duration of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EP Agreement. In the event of a conflict between this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EP Agreement and the T&amp;C, the provisions of the T&amp;C shall prevail.</w:t>
            </w:r>
          </w:p>
          <w:p w14:paraId="48B9D21E" w14:textId="6B44BFA8" w:rsidR="001A4F4B" w:rsidRPr="000F3642" w:rsidRDefault="001A4F4B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If the role of the User set out in this Agreement changes, the User shall promptly email a request to the TSO at </w:t>
            </w:r>
            <w:hyperlink r:id="rId8" w:history="1">
              <w:r w:rsidRPr="000F3642">
                <w:rPr>
                  <w:rStyle w:val="Hyperlink"/>
                  <w:rFonts w:ascii="Helvetica" w:hAnsi="Helvetica"/>
                  <w:sz w:val="20"/>
                  <w:szCs w:val="20"/>
                  <w:lang w:val="en-GB"/>
                </w:rPr>
                <w:t>info@elering.ee</w:t>
              </w:r>
            </w:hyperlink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and the corresponding changes will be recorded in writing as amendments to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EP Agreement.</w:t>
            </w:r>
          </w:p>
          <w:p w14:paraId="43F7DE23" w14:textId="1957F0E5" w:rsidR="00E20DDB" w:rsidRPr="000F3642" w:rsidRDefault="00E20DDB" w:rsidP="00E20DD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The final provisions of the T&amp;C shall apply to this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EP Agreement.</w:t>
            </w:r>
          </w:p>
          <w:p w14:paraId="5F431339" w14:textId="77777777" w:rsidR="00E20DDB" w:rsidRPr="000F3642" w:rsidRDefault="00E20DDB" w:rsidP="00E20DDB">
            <w:pPr>
              <w:pStyle w:val="ListParagraph"/>
              <w:keepNext/>
              <w:tabs>
                <w:tab w:val="left" w:pos="851"/>
              </w:tabs>
              <w:spacing w:before="120" w:after="120" w:line="276" w:lineRule="auto"/>
              <w:ind w:left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</w:pPr>
          </w:p>
          <w:p w14:paraId="4D2F875D" w14:textId="1E16EDDB" w:rsidR="00122244" w:rsidRPr="000F3642" w:rsidRDefault="00E85C88" w:rsidP="00DB56F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Annexes: Annex 1 – General Terms &amp; Conditions of the Live Environment of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the 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122244" w:rsidRPr="000F3642" w14:paraId="4D2F8763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5E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4D2F875F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>/signed digitally /</w:t>
                  </w:r>
                </w:p>
                <w:p w14:paraId="4D2F8760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Elering AS</w:t>
                  </w:r>
                </w:p>
                <w:p w14:paraId="4D2F8762" w14:textId="21830719" w:rsidR="00122244" w:rsidRPr="000F3642" w:rsidRDefault="00122244" w:rsidP="00BD3CEB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22244" w:rsidRPr="000F3642" w14:paraId="4D2F8769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64" w14:textId="378EDC29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4D2F8765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>/signed digitally /</w:t>
                  </w:r>
                </w:p>
                <w:p w14:paraId="4D2F8768" w14:textId="45ED7971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……….</w:t>
                  </w:r>
                </w:p>
              </w:tc>
            </w:tr>
          </w:tbl>
          <w:p w14:paraId="4D2F876A" w14:textId="77777777" w:rsidR="00122244" w:rsidRPr="000F3642" w:rsidRDefault="00122244" w:rsidP="00D4000C">
            <w:pPr>
              <w:rPr>
                <w:lang w:val="en-GB"/>
              </w:rPr>
            </w:pPr>
          </w:p>
          <w:p w14:paraId="4D2F876B" w14:textId="77777777" w:rsidR="00122244" w:rsidRPr="000F3642" w:rsidRDefault="00122244" w:rsidP="00D4000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lang w:val="en-GB"/>
              </w:rPr>
            </w:pPr>
          </w:p>
          <w:p w14:paraId="4D2F876C" w14:textId="17703553" w:rsidR="00122244" w:rsidRPr="000F3642" w:rsidRDefault="00122244" w:rsidP="00D4000C">
            <w:pPr>
              <w:rPr>
                <w:lang w:val="en-GB"/>
              </w:rPr>
            </w:pPr>
          </w:p>
          <w:p w14:paraId="46BA6A06" w14:textId="78823CD8" w:rsidR="00122244" w:rsidRPr="000F3642" w:rsidRDefault="00122244" w:rsidP="00D4000C">
            <w:pPr>
              <w:rPr>
                <w:lang w:val="en-GB"/>
              </w:rPr>
            </w:pPr>
          </w:p>
          <w:p w14:paraId="3765346A" w14:textId="77777777" w:rsidR="00122244" w:rsidRPr="000F3642" w:rsidRDefault="00122244" w:rsidP="00D4000C">
            <w:pPr>
              <w:rPr>
                <w:lang w:val="en-GB"/>
              </w:rPr>
            </w:pPr>
          </w:p>
          <w:p w14:paraId="4D2F876D" w14:textId="77777777" w:rsidR="00122244" w:rsidRPr="000F3642" w:rsidRDefault="00122244" w:rsidP="00D4000C">
            <w:pPr>
              <w:rPr>
                <w:lang w:val="en-GB"/>
              </w:rPr>
            </w:pPr>
          </w:p>
        </w:tc>
      </w:tr>
    </w:tbl>
    <w:p w14:paraId="4D2F8770" w14:textId="77777777" w:rsidR="00DF7B2E" w:rsidRPr="000F3642" w:rsidRDefault="00DF7B2E">
      <w:pPr>
        <w:rPr>
          <w:lang w:val="en-GB"/>
        </w:rPr>
      </w:pPr>
    </w:p>
    <w:sectPr w:rsidR="00DF7B2E" w:rsidRPr="000F3642" w:rsidSect="005340E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C6B6" w14:textId="77777777" w:rsidR="00B877BB" w:rsidRDefault="00B877BB" w:rsidP="002620A5">
      <w:pPr>
        <w:spacing w:after="0" w:line="240" w:lineRule="auto"/>
      </w:pPr>
      <w:r>
        <w:separator/>
      </w:r>
    </w:p>
  </w:endnote>
  <w:endnote w:type="continuationSeparator" w:id="0">
    <w:p w14:paraId="2376AF76" w14:textId="77777777" w:rsidR="00B877BB" w:rsidRDefault="00B877BB" w:rsidP="002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5347" w14:textId="77777777" w:rsidR="00B877BB" w:rsidRDefault="00B877BB" w:rsidP="002620A5">
      <w:pPr>
        <w:spacing w:after="0" w:line="240" w:lineRule="auto"/>
      </w:pPr>
      <w:r>
        <w:separator/>
      </w:r>
    </w:p>
  </w:footnote>
  <w:footnote w:type="continuationSeparator" w:id="0">
    <w:p w14:paraId="2B59A73D" w14:textId="77777777" w:rsidR="00B877BB" w:rsidRDefault="00B877BB" w:rsidP="0026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00"/>
    <w:multiLevelType w:val="multilevel"/>
    <w:tmpl w:val="06A2E5D6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35"/>
    <w:multiLevelType w:val="multilevel"/>
    <w:tmpl w:val="14183950"/>
    <w:lvl w:ilvl="0">
      <w:start w:val="1"/>
      <w:numFmt w:val="none"/>
      <w:lvlText w:val="(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AA37B3"/>
    <w:multiLevelType w:val="hybridMultilevel"/>
    <w:tmpl w:val="07BC1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134E4"/>
    <w:multiLevelType w:val="hybridMultilevel"/>
    <w:tmpl w:val="CABC359C"/>
    <w:lvl w:ilvl="0" w:tplc="65B43F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65444F"/>
    <w:multiLevelType w:val="hybridMultilevel"/>
    <w:tmpl w:val="4F4C9EA2"/>
    <w:lvl w:ilvl="0" w:tplc="5652FB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76B"/>
    <w:multiLevelType w:val="multilevel"/>
    <w:tmpl w:val="D04A376C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64304C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12356"/>
    <w:multiLevelType w:val="multilevel"/>
    <w:tmpl w:val="16F409A6"/>
    <w:lvl w:ilvl="0">
      <w:start w:val="1"/>
      <w:numFmt w:val="none"/>
      <w:lvlText w:val="(i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B232D3"/>
    <w:multiLevelType w:val="hybridMultilevel"/>
    <w:tmpl w:val="CEBC7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9F"/>
    <w:multiLevelType w:val="multilevel"/>
    <w:tmpl w:val="C1F8C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5743608">
    <w:abstractNumId w:val="6"/>
  </w:num>
  <w:num w:numId="2" w16cid:durableId="700782893">
    <w:abstractNumId w:val="0"/>
  </w:num>
  <w:num w:numId="3" w16cid:durableId="116532138">
    <w:abstractNumId w:val="9"/>
  </w:num>
  <w:num w:numId="4" w16cid:durableId="392319525">
    <w:abstractNumId w:val="1"/>
  </w:num>
  <w:num w:numId="5" w16cid:durableId="822619974">
    <w:abstractNumId w:val="7"/>
  </w:num>
  <w:num w:numId="6" w16cid:durableId="882642353">
    <w:abstractNumId w:val="5"/>
  </w:num>
  <w:num w:numId="7" w16cid:durableId="1725713229">
    <w:abstractNumId w:val="4"/>
  </w:num>
  <w:num w:numId="8" w16cid:durableId="815882023">
    <w:abstractNumId w:val="8"/>
  </w:num>
  <w:num w:numId="9" w16cid:durableId="472867091">
    <w:abstractNumId w:val="2"/>
  </w:num>
  <w:num w:numId="10" w16cid:durableId="1022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75"/>
    <w:rsid w:val="00021300"/>
    <w:rsid w:val="000369DB"/>
    <w:rsid w:val="0004153B"/>
    <w:rsid w:val="0004313C"/>
    <w:rsid w:val="000614DE"/>
    <w:rsid w:val="000677BE"/>
    <w:rsid w:val="000706F0"/>
    <w:rsid w:val="00090FA4"/>
    <w:rsid w:val="000B0197"/>
    <w:rsid w:val="000F3642"/>
    <w:rsid w:val="00105D8A"/>
    <w:rsid w:val="00122244"/>
    <w:rsid w:val="001277E1"/>
    <w:rsid w:val="00173DE3"/>
    <w:rsid w:val="001A4F4B"/>
    <w:rsid w:val="001B3F0C"/>
    <w:rsid w:val="001C0BEC"/>
    <w:rsid w:val="001C15FA"/>
    <w:rsid w:val="001C21DD"/>
    <w:rsid w:val="001D3C62"/>
    <w:rsid w:val="001D3D52"/>
    <w:rsid w:val="001E40E5"/>
    <w:rsid w:val="00213934"/>
    <w:rsid w:val="00241FEF"/>
    <w:rsid w:val="002620A5"/>
    <w:rsid w:val="00283EE5"/>
    <w:rsid w:val="002D4AD4"/>
    <w:rsid w:val="00301BC6"/>
    <w:rsid w:val="00331346"/>
    <w:rsid w:val="003502F5"/>
    <w:rsid w:val="00354C5C"/>
    <w:rsid w:val="00360190"/>
    <w:rsid w:val="003636C6"/>
    <w:rsid w:val="00374C11"/>
    <w:rsid w:val="00376A24"/>
    <w:rsid w:val="003B2CB9"/>
    <w:rsid w:val="003D6BCD"/>
    <w:rsid w:val="003D6F65"/>
    <w:rsid w:val="00407792"/>
    <w:rsid w:val="00455380"/>
    <w:rsid w:val="0046513E"/>
    <w:rsid w:val="004E1EA4"/>
    <w:rsid w:val="004E4224"/>
    <w:rsid w:val="005340EA"/>
    <w:rsid w:val="005510EC"/>
    <w:rsid w:val="0055281F"/>
    <w:rsid w:val="005626E2"/>
    <w:rsid w:val="00584F14"/>
    <w:rsid w:val="005B6A18"/>
    <w:rsid w:val="005C2CB9"/>
    <w:rsid w:val="005D4074"/>
    <w:rsid w:val="005F0072"/>
    <w:rsid w:val="005F59B9"/>
    <w:rsid w:val="0060452F"/>
    <w:rsid w:val="006113DE"/>
    <w:rsid w:val="00612C3B"/>
    <w:rsid w:val="0066775A"/>
    <w:rsid w:val="00670865"/>
    <w:rsid w:val="006877AA"/>
    <w:rsid w:val="007240A4"/>
    <w:rsid w:val="007327DB"/>
    <w:rsid w:val="00752246"/>
    <w:rsid w:val="00752FAA"/>
    <w:rsid w:val="007C36BF"/>
    <w:rsid w:val="007D0622"/>
    <w:rsid w:val="00825AFC"/>
    <w:rsid w:val="00836BDE"/>
    <w:rsid w:val="0089258D"/>
    <w:rsid w:val="008A09AA"/>
    <w:rsid w:val="008A790D"/>
    <w:rsid w:val="008B780E"/>
    <w:rsid w:val="008D3358"/>
    <w:rsid w:val="00922A78"/>
    <w:rsid w:val="009D4872"/>
    <w:rsid w:val="009E0406"/>
    <w:rsid w:val="009F702E"/>
    <w:rsid w:val="00A20E58"/>
    <w:rsid w:val="00A80E52"/>
    <w:rsid w:val="00A81AF5"/>
    <w:rsid w:val="00A90882"/>
    <w:rsid w:val="00B86E32"/>
    <w:rsid w:val="00B877BB"/>
    <w:rsid w:val="00BD3CEB"/>
    <w:rsid w:val="00BF4A31"/>
    <w:rsid w:val="00C1603A"/>
    <w:rsid w:val="00C42951"/>
    <w:rsid w:val="00C65E75"/>
    <w:rsid w:val="00C759CA"/>
    <w:rsid w:val="00C767AE"/>
    <w:rsid w:val="00C82EA7"/>
    <w:rsid w:val="00CB05BF"/>
    <w:rsid w:val="00D06DEE"/>
    <w:rsid w:val="00D32EF0"/>
    <w:rsid w:val="00D4000C"/>
    <w:rsid w:val="00D46D74"/>
    <w:rsid w:val="00D522BF"/>
    <w:rsid w:val="00D57088"/>
    <w:rsid w:val="00D72A18"/>
    <w:rsid w:val="00DB56FC"/>
    <w:rsid w:val="00DC4A46"/>
    <w:rsid w:val="00DE5873"/>
    <w:rsid w:val="00DF7B2E"/>
    <w:rsid w:val="00E20DDB"/>
    <w:rsid w:val="00E27AF6"/>
    <w:rsid w:val="00E31FA9"/>
    <w:rsid w:val="00E34048"/>
    <w:rsid w:val="00E47FC2"/>
    <w:rsid w:val="00E85BD0"/>
    <w:rsid w:val="00E85C88"/>
    <w:rsid w:val="00E87285"/>
    <w:rsid w:val="00E91309"/>
    <w:rsid w:val="00EA6FD6"/>
    <w:rsid w:val="00EB4A2C"/>
    <w:rsid w:val="00ED5478"/>
    <w:rsid w:val="00F01229"/>
    <w:rsid w:val="00F24EAE"/>
    <w:rsid w:val="00F9219D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8711"/>
  <w15:docId w15:val="{E45781E1-74E5-4099-9B31-1F6C955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5"/>
    <w:pPr>
      <w:suppressAutoHyphens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FAA"/>
    <w:rPr>
      <w:rFonts w:ascii="Calibri" w:eastAsia="Arial Unicode M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AA"/>
    <w:rPr>
      <w:rFonts w:ascii="Calibri" w:eastAsia="Arial Unicode M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A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5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5"/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067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7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F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1BC6"/>
    <w:pPr>
      <w:spacing w:after="0" w:line="240" w:lineRule="auto"/>
    </w:pPr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ring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4CD3-EF4A-46B2-AB7D-99384C7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Kajali Kotsar</cp:lastModifiedBy>
  <cp:revision>3</cp:revision>
  <cp:lastPrinted>2017-07-25T17:25:00Z</cp:lastPrinted>
  <dcterms:created xsi:type="dcterms:W3CDTF">2023-08-01T13:43:00Z</dcterms:created>
  <dcterms:modified xsi:type="dcterms:W3CDTF">2023-08-02T05:54:00Z</dcterms:modified>
</cp:coreProperties>
</file>